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67AC5">
      <w:pPr>
        <w:spacing w:line="240" w:lineRule="auto"/>
        <w:ind w:firstLine="0" w:firstLineChars="0"/>
        <w:rPr>
          <w:bCs/>
          <w:color w:val="000000" w:themeColor="text1"/>
          <w:sz w:val="52"/>
          <w:szCs w:val="52"/>
          <w14:textFill>
            <w14:solidFill>
              <w14:schemeClr w14:val="tx1"/>
            </w14:solidFill>
          </w14:textFill>
        </w:rPr>
      </w:pPr>
      <w:bookmarkStart w:id="0" w:name="_Hlk517442320"/>
      <w:r>
        <w:rPr>
          <w:color w:val="000000" w:themeColor="text1"/>
          <w14:textFill>
            <w14:solidFill>
              <w14:schemeClr w14:val="tx1"/>
            </w14:solidFill>
          </w14:textFill>
        </w:rPr>
        <w:drawing>
          <wp:inline distT="0" distB="0" distL="114300" distR="114300">
            <wp:extent cx="2686050" cy="4476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8"/>
                    <a:stretch>
                      <a:fillRect/>
                    </a:stretch>
                  </pic:blipFill>
                  <pic:spPr>
                    <a:xfrm>
                      <a:off x="0" y="0"/>
                      <a:ext cx="2686050" cy="447675"/>
                    </a:xfrm>
                    <a:prstGeom prst="rect">
                      <a:avLst/>
                    </a:prstGeom>
                    <a:noFill/>
                    <a:ln>
                      <a:noFill/>
                    </a:ln>
                  </pic:spPr>
                </pic:pic>
              </a:graphicData>
            </a:graphic>
          </wp:inline>
        </w:drawing>
      </w:r>
    </w:p>
    <w:p w14:paraId="30309C6E">
      <w:pPr>
        <w:spacing w:before="240" w:beforeLines="100"/>
        <w:ind w:firstLine="0" w:firstLineChars="0"/>
        <w:jc w:val="center"/>
        <w:rPr>
          <w:rFonts w:eastAsia="楷体"/>
          <w:color w:val="000000" w:themeColor="text1"/>
          <w:kern w:val="0"/>
          <w:sz w:val="52"/>
          <w:szCs w:val="52"/>
          <w:lang w:bidi="ar"/>
          <w14:textFill>
            <w14:solidFill>
              <w14:schemeClr w14:val="tx1"/>
            </w14:solidFill>
          </w14:textFill>
        </w:rPr>
      </w:pPr>
    </w:p>
    <w:p w14:paraId="53EDE42A">
      <w:pPr>
        <w:spacing w:before="240" w:beforeLines="100"/>
        <w:ind w:firstLine="0" w:firstLineChars="0"/>
        <w:jc w:val="center"/>
        <w:outlineLvl w:val="0"/>
        <w:rPr>
          <w:rFonts w:eastAsia="楷体"/>
          <w:b/>
          <w:bCs/>
          <w:color w:val="000000" w:themeColor="text1"/>
          <w:kern w:val="0"/>
          <w:sz w:val="52"/>
          <w:szCs w:val="52"/>
          <w14:textFill>
            <w14:solidFill>
              <w14:schemeClr w14:val="tx1"/>
            </w14:solidFill>
          </w14:textFill>
        </w:rPr>
      </w:pPr>
      <w:bookmarkStart w:id="1" w:name="_Toc31447"/>
      <w:r>
        <w:rPr>
          <w:rFonts w:eastAsia="楷体"/>
          <w:b/>
          <w:bCs/>
          <w:color w:val="000000" w:themeColor="text1"/>
          <w:kern w:val="0"/>
          <w:sz w:val="52"/>
          <w:szCs w:val="52"/>
          <w14:textFill>
            <w14:solidFill>
              <w14:schemeClr w14:val="tx1"/>
            </w14:solidFill>
          </w14:textFill>
        </w:rPr>
        <w:t>疆电（南疆）送电川渝特高压配套火电750千伏送出工程</w:t>
      </w:r>
      <w:bookmarkEnd w:id="1"/>
    </w:p>
    <w:bookmarkEnd w:id="0"/>
    <w:p w14:paraId="6E32B81C">
      <w:pPr>
        <w:spacing w:before="240" w:beforeLines="100"/>
        <w:ind w:left="-480" w:leftChars="-200" w:firstLine="0" w:firstLineChars="0"/>
        <w:jc w:val="center"/>
        <w:outlineLvl w:val="0"/>
        <w:rPr>
          <w:rFonts w:hint="eastAsia" w:ascii="楷体" w:hAnsi="楷体" w:eastAsia="楷体" w:cs="楷体"/>
          <w:b/>
          <w:bCs/>
          <w:color w:val="000000" w:themeColor="text1"/>
          <w:kern w:val="0"/>
          <w:sz w:val="96"/>
          <w:szCs w:val="96"/>
          <w14:textFill>
            <w14:solidFill>
              <w14:schemeClr w14:val="tx1"/>
            </w14:solidFill>
          </w14:textFill>
        </w:rPr>
      </w:pPr>
      <w:bookmarkStart w:id="2" w:name="_Toc7156"/>
      <w:bookmarkStart w:id="3" w:name="_Toc338"/>
      <w:bookmarkStart w:id="4" w:name="_Toc12684"/>
      <w:bookmarkStart w:id="5" w:name="_Toc27461"/>
      <w:bookmarkStart w:id="6" w:name="_Toc16047"/>
      <w:bookmarkStart w:id="7" w:name="_Toc20099"/>
      <w:bookmarkStart w:id="8" w:name="_Toc31780"/>
      <w:bookmarkStart w:id="9" w:name="_Toc25875"/>
      <w:bookmarkStart w:id="10" w:name="_Toc9036"/>
      <w:bookmarkStart w:id="11" w:name="_Toc7684"/>
      <w:bookmarkStart w:id="12" w:name="_Toc16742"/>
      <w:r>
        <w:rPr>
          <w:rFonts w:hint="eastAsia" w:ascii="楷体" w:hAnsi="楷体" w:eastAsia="楷体" w:cs="楷体"/>
          <w:b/>
          <w:bCs/>
          <w:color w:val="000000" w:themeColor="text1"/>
          <w:kern w:val="0"/>
          <w:sz w:val="96"/>
          <w:szCs w:val="96"/>
          <w:lang w:val="en-US" w:eastAsia="zh-CN"/>
          <w14:textFill>
            <w14:solidFill>
              <w14:schemeClr w14:val="tx1"/>
            </w14:solidFill>
          </w14:textFill>
        </w:rPr>
        <w:t>生态</w:t>
      </w:r>
      <w:r>
        <w:rPr>
          <w:rFonts w:hint="eastAsia" w:ascii="楷体" w:hAnsi="楷体" w:eastAsia="楷体" w:cs="楷体"/>
          <w:b/>
          <w:bCs/>
          <w:color w:val="000000" w:themeColor="text1"/>
          <w:kern w:val="0"/>
          <w:sz w:val="96"/>
          <w:szCs w:val="96"/>
          <w14:textFill>
            <w14:solidFill>
              <w14:schemeClr w14:val="tx1"/>
            </w14:solidFill>
          </w14:textFill>
        </w:rPr>
        <w:t>环境影响报告书</w:t>
      </w:r>
      <w:bookmarkEnd w:id="2"/>
      <w:bookmarkEnd w:id="3"/>
      <w:bookmarkEnd w:id="4"/>
      <w:bookmarkEnd w:id="5"/>
      <w:bookmarkEnd w:id="6"/>
      <w:bookmarkEnd w:id="7"/>
      <w:bookmarkEnd w:id="8"/>
      <w:bookmarkEnd w:id="9"/>
      <w:bookmarkEnd w:id="10"/>
      <w:bookmarkEnd w:id="11"/>
      <w:bookmarkEnd w:id="12"/>
    </w:p>
    <w:p w14:paraId="2ACDF459">
      <w:pPr>
        <w:tabs>
          <w:tab w:val="left" w:pos="2987"/>
        </w:tabs>
        <w:ind w:firstLine="480"/>
        <w:rPr>
          <w:rFonts w:hint="eastAsia" w:eastAsia="宋体"/>
          <w:color w:val="000000" w:themeColor="text1"/>
          <w:lang w:eastAsia="zh-CN"/>
          <w14:textFill>
            <w14:solidFill>
              <w14:schemeClr w14:val="tx1"/>
            </w14:solidFill>
          </w14:textFill>
        </w:rPr>
      </w:pPr>
    </w:p>
    <w:p w14:paraId="3A23BCA5">
      <w:pPr>
        <w:ind w:firstLine="0" w:firstLineChars="0"/>
        <w:rPr>
          <w:color w:val="000000" w:themeColor="text1"/>
          <w14:textFill>
            <w14:solidFill>
              <w14:schemeClr w14:val="tx1"/>
            </w14:solidFill>
          </w14:textFill>
        </w:rPr>
      </w:pPr>
    </w:p>
    <w:p w14:paraId="0808D645">
      <w:pPr>
        <w:ind w:firstLine="480"/>
        <w:rPr>
          <w:color w:val="000000" w:themeColor="text1"/>
          <w14:textFill>
            <w14:solidFill>
              <w14:schemeClr w14:val="tx1"/>
            </w14:solidFill>
          </w14:textFill>
        </w:rPr>
      </w:pPr>
    </w:p>
    <w:p w14:paraId="5610BDC0">
      <w:pPr>
        <w:ind w:firstLine="480"/>
        <w:rPr>
          <w:color w:val="000000" w:themeColor="text1"/>
          <w14:textFill>
            <w14:solidFill>
              <w14:schemeClr w14:val="tx1"/>
            </w14:solidFill>
          </w14:textFill>
        </w:rPr>
      </w:pPr>
    </w:p>
    <w:p w14:paraId="5B4C60CA">
      <w:pPr>
        <w:ind w:firstLine="0" w:firstLineChars="0"/>
        <w:rPr>
          <w:color w:val="000000" w:themeColor="text1"/>
          <w14:textFill>
            <w14:solidFill>
              <w14:schemeClr w14:val="tx1"/>
            </w14:solidFill>
          </w14:textFill>
        </w:rPr>
      </w:pPr>
    </w:p>
    <w:p w14:paraId="1C2A10C2">
      <w:pPr>
        <w:ind w:firstLine="480"/>
        <w:rPr>
          <w:color w:val="000000" w:themeColor="text1"/>
          <w14:textFill>
            <w14:solidFill>
              <w14:schemeClr w14:val="tx1"/>
            </w14:solidFill>
          </w14:textFill>
        </w:rPr>
      </w:pPr>
    </w:p>
    <w:p w14:paraId="14D1A11F">
      <w:pPr>
        <w:ind w:firstLine="480"/>
        <w:rPr>
          <w:color w:val="000000" w:themeColor="text1"/>
          <w14:textFill>
            <w14:solidFill>
              <w14:schemeClr w14:val="tx1"/>
            </w14:solidFill>
          </w14:textFill>
        </w:rPr>
      </w:pPr>
    </w:p>
    <w:p w14:paraId="491ED00B">
      <w:pPr>
        <w:ind w:firstLine="0" w:firstLineChars="0"/>
        <w:rPr>
          <w:color w:val="000000" w:themeColor="text1"/>
          <w14:textFill>
            <w14:solidFill>
              <w14:schemeClr w14:val="tx1"/>
            </w14:solidFill>
          </w14:textFill>
        </w:rPr>
      </w:pPr>
    </w:p>
    <w:p w14:paraId="3E200F29">
      <w:pPr>
        <w:ind w:firstLine="480"/>
        <w:rPr>
          <w:color w:val="000000" w:themeColor="text1"/>
          <w14:textFill>
            <w14:solidFill>
              <w14:schemeClr w14:val="tx1"/>
            </w14:solidFill>
          </w14:textFill>
        </w:rPr>
      </w:pPr>
    </w:p>
    <w:p w14:paraId="6EF27793">
      <w:pPr>
        <w:ind w:firstLine="480"/>
        <w:rPr>
          <w:color w:val="000000" w:themeColor="text1"/>
          <w14:textFill>
            <w14:solidFill>
              <w14:schemeClr w14:val="tx1"/>
            </w14:solidFill>
          </w14:textFill>
        </w:rPr>
      </w:pPr>
    </w:p>
    <w:p w14:paraId="5A39209A">
      <w:pPr>
        <w:ind w:firstLine="480"/>
        <w:rPr>
          <w:color w:val="000000" w:themeColor="text1"/>
          <w14:textFill>
            <w14:solidFill>
              <w14:schemeClr w14:val="tx1"/>
            </w14:solidFill>
          </w14:textFill>
        </w:rPr>
      </w:pPr>
    </w:p>
    <w:p w14:paraId="14208502">
      <w:pPr>
        <w:ind w:firstLine="480"/>
        <w:rPr>
          <w:color w:val="000000" w:themeColor="text1"/>
          <w14:textFill>
            <w14:solidFill>
              <w14:schemeClr w14:val="tx1"/>
            </w14:solidFill>
          </w14:textFill>
        </w:rPr>
      </w:pPr>
    </w:p>
    <w:p w14:paraId="2712F86C">
      <w:pPr>
        <w:ind w:firstLine="480"/>
        <w:rPr>
          <w:color w:val="000000" w:themeColor="text1"/>
          <w14:textFill>
            <w14:solidFill>
              <w14:schemeClr w14:val="tx1"/>
            </w14:solidFill>
          </w14:textFill>
        </w:rPr>
      </w:pPr>
    </w:p>
    <w:p w14:paraId="66E240E1">
      <w:pPr>
        <w:ind w:firstLine="0" w:firstLineChars="0"/>
        <w:rPr>
          <w:color w:val="000000" w:themeColor="text1"/>
          <w14:textFill>
            <w14:solidFill>
              <w14:schemeClr w14:val="tx1"/>
            </w14:solidFill>
          </w14:textFill>
        </w:rPr>
      </w:pPr>
    </w:p>
    <w:p w14:paraId="10DFE8F5">
      <w:pPr>
        <w:snapToGrid w:val="0"/>
        <w:ind w:firstLine="0" w:firstLineChars="0"/>
        <w:jc w:val="center"/>
        <w:outlineLvl w:val="0"/>
        <w:rPr>
          <w:rFonts w:eastAsia="楷体"/>
          <w:b/>
          <w:bCs/>
          <w:color w:val="000000" w:themeColor="text1"/>
          <w:kern w:val="0"/>
          <w:sz w:val="32"/>
          <w:szCs w:val="32"/>
          <w:lang w:bidi="ar"/>
          <w14:textFill>
            <w14:solidFill>
              <w14:schemeClr w14:val="tx1"/>
            </w14:solidFill>
          </w14:textFill>
        </w:rPr>
      </w:pPr>
      <w:bookmarkStart w:id="13" w:name="_Toc4805"/>
      <w:bookmarkStart w:id="14" w:name="_Toc22980"/>
      <w:bookmarkStart w:id="15" w:name="_Toc27784"/>
      <w:bookmarkStart w:id="16" w:name="_Toc17451"/>
      <w:bookmarkStart w:id="17" w:name="_Toc26743"/>
      <w:bookmarkStart w:id="18" w:name="_Toc3060"/>
      <w:bookmarkStart w:id="19" w:name="_Toc22567"/>
      <w:bookmarkStart w:id="20" w:name="_Toc25685"/>
      <w:bookmarkStart w:id="21" w:name="_Toc6786"/>
      <w:bookmarkStart w:id="22" w:name="_Toc10765"/>
      <w:bookmarkStart w:id="23" w:name="_Toc15502"/>
      <w:r>
        <w:rPr>
          <w:rFonts w:eastAsia="楷体"/>
          <w:b/>
          <w:bCs/>
          <w:color w:val="000000" w:themeColor="text1"/>
          <w:kern w:val="0"/>
          <w:sz w:val="32"/>
          <w:szCs w:val="32"/>
          <w:lang w:bidi="ar"/>
          <w14:textFill>
            <w14:solidFill>
              <w14:schemeClr w14:val="tx1"/>
            </w14:solidFill>
          </w14:textFill>
        </w:rPr>
        <w:t>建设单位：国网新疆电力有限公司</w:t>
      </w:r>
      <w:bookmarkEnd w:id="13"/>
      <w:bookmarkEnd w:id="14"/>
      <w:bookmarkEnd w:id="15"/>
      <w:bookmarkEnd w:id="16"/>
      <w:bookmarkEnd w:id="17"/>
      <w:bookmarkEnd w:id="18"/>
      <w:bookmarkEnd w:id="19"/>
      <w:bookmarkEnd w:id="20"/>
      <w:bookmarkEnd w:id="21"/>
      <w:r>
        <w:rPr>
          <w:rFonts w:hint="eastAsia" w:eastAsia="楷体"/>
          <w:b/>
          <w:bCs/>
          <w:color w:val="000000" w:themeColor="text1"/>
          <w:kern w:val="0"/>
          <w:sz w:val="32"/>
          <w:szCs w:val="32"/>
          <w:lang w:bidi="ar"/>
          <w14:textFill>
            <w14:solidFill>
              <w14:schemeClr w14:val="tx1"/>
            </w14:solidFill>
          </w14:textFill>
        </w:rPr>
        <w:t>建设分公司</w:t>
      </w:r>
      <w:bookmarkEnd w:id="22"/>
      <w:bookmarkEnd w:id="23"/>
    </w:p>
    <w:p w14:paraId="78F8C416">
      <w:pPr>
        <w:snapToGrid w:val="0"/>
        <w:ind w:firstLine="0" w:firstLineChars="0"/>
        <w:jc w:val="center"/>
        <w:outlineLvl w:val="0"/>
        <w:rPr>
          <w:rFonts w:eastAsia="楷体"/>
          <w:b/>
          <w:bCs/>
          <w:color w:val="000000" w:themeColor="text1"/>
          <w:kern w:val="0"/>
          <w:sz w:val="32"/>
          <w:szCs w:val="32"/>
          <w:lang w:bidi="ar"/>
          <w14:textFill>
            <w14:solidFill>
              <w14:schemeClr w14:val="tx1"/>
            </w14:solidFill>
          </w14:textFill>
        </w:rPr>
      </w:pPr>
      <w:bookmarkStart w:id="24" w:name="_Toc23361"/>
      <w:bookmarkStart w:id="25" w:name="_Toc20227"/>
      <w:bookmarkStart w:id="26" w:name="_Toc10286"/>
      <w:bookmarkStart w:id="27" w:name="_Toc24411"/>
      <w:bookmarkStart w:id="28" w:name="_Toc22813"/>
      <w:bookmarkStart w:id="29" w:name="_Toc6225"/>
      <w:bookmarkStart w:id="30" w:name="_Toc16723"/>
      <w:bookmarkStart w:id="31" w:name="_Toc6323"/>
      <w:bookmarkStart w:id="32" w:name="_Toc11521"/>
      <w:bookmarkStart w:id="33" w:name="_Toc18391"/>
      <w:bookmarkStart w:id="34" w:name="_Toc30451"/>
      <w:r>
        <w:rPr>
          <w:rFonts w:eastAsia="楷体"/>
          <w:b/>
          <w:bCs/>
          <w:color w:val="000000" w:themeColor="text1"/>
          <w:kern w:val="0"/>
          <w:sz w:val="32"/>
          <w:szCs w:val="32"/>
          <w:lang w:bidi="ar"/>
          <w14:textFill>
            <w14:solidFill>
              <w14:schemeClr w14:val="tx1"/>
            </w14:solidFill>
          </w14:textFill>
        </w:rPr>
        <w:t>编制单位：南京国环科技股份有限公司</w:t>
      </w:r>
      <w:bookmarkEnd w:id="24"/>
      <w:bookmarkEnd w:id="25"/>
      <w:bookmarkEnd w:id="26"/>
      <w:bookmarkEnd w:id="27"/>
      <w:bookmarkEnd w:id="28"/>
      <w:bookmarkEnd w:id="29"/>
      <w:bookmarkEnd w:id="30"/>
      <w:bookmarkEnd w:id="31"/>
      <w:bookmarkEnd w:id="32"/>
      <w:bookmarkEnd w:id="33"/>
      <w:bookmarkEnd w:id="34"/>
    </w:p>
    <w:p w14:paraId="7A876BF6">
      <w:pPr>
        <w:snapToGrid w:val="0"/>
        <w:ind w:firstLine="0" w:firstLineChars="0"/>
        <w:jc w:val="center"/>
        <w:rPr>
          <w:rFonts w:eastAsia="楷体"/>
          <w:color w:val="000000" w:themeColor="text1"/>
          <w:kern w:val="0"/>
          <w:sz w:val="32"/>
          <w:szCs w:val="32"/>
          <w:lang w:bidi="ar"/>
          <w14:textFill>
            <w14:solidFill>
              <w14:schemeClr w14:val="tx1"/>
            </w14:solidFill>
          </w14:textFill>
        </w:rPr>
      </w:pPr>
      <w:r>
        <w:rPr>
          <w:rFonts w:eastAsia="楷体"/>
          <w:b/>
          <w:bCs/>
          <w:color w:val="000000" w:themeColor="text1"/>
          <w:sz w:val="32"/>
          <w:szCs w:val="32"/>
          <w14:textFill>
            <w14:solidFill>
              <w14:schemeClr w14:val="tx1"/>
            </w14:solidFill>
          </w14:textFill>
        </w:rPr>
        <w:t>二〇二</w:t>
      </w:r>
      <w:r>
        <w:rPr>
          <w:rFonts w:hint="eastAsia" w:eastAsia="楷体"/>
          <w:b/>
          <w:bCs/>
          <w:color w:val="000000" w:themeColor="text1"/>
          <w:sz w:val="32"/>
          <w:szCs w:val="32"/>
          <w:lang w:val="en-US" w:eastAsia="zh-CN"/>
          <w14:textFill>
            <w14:solidFill>
              <w14:schemeClr w14:val="tx1"/>
            </w14:solidFill>
          </w14:textFill>
        </w:rPr>
        <w:t>六</w:t>
      </w:r>
      <w:r>
        <w:rPr>
          <w:rFonts w:eastAsia="楷体"/>
          <w:b/>
          <w:bCs/>
          <w:color w:val="000000" w:themeColor="text1"/>
          <w:sz w:val="32"/>
          <w:szCs w:val="32"/>
          <w14:textFill>
            <w14:solidFill>
              <w14:schemeClr w14:val="tx1"/>
            </w14:solidFill>
          </w14:textFill>
        </w:rPr>
        <w:t>年</w:t>
      </w:r>
      <w:r>
        <w:rPr>
          <w:rFonts w:hint="eastAsia" w:eastAsia="楷体"/>
          <w:b/>
          <w:bCs/>
          <w:color w:val="000000" w:themeColor="text1"/>
          <w:sz w:val="32"/>
          <w:szCs w:val="32"/>
          <w:lang w:val="en-US" w:eastAsia="zh-CN"/>
          <w14:textFill>
            <w14:solidFill>
              <w14:schemeClr w14:val="tx1"/>
            </w14:solidFill>
          </w14:textFill>
        </w:rPr>
        <w:t>十</w:t>
      </w:r>
      <w:r>
        <w:rPr>
          <w:rFonts w:eastAsia="楷体"/>
          <w:color w:val="000000" w:themeColor="text1"/>
          <w:sz w:val="32"/>
          <w:szCs w:val="32"/>
          <w14:textFill>
            <w14:solidFill>
              <w14:schemeClr w14:val="tx1"/>
            </w14:solidFill>
          </w14:textFill>
        </w:rPr>
        <w:t>月</w:t>
      </w:r>
    </w:p>
    <w:p w14:paraId="3845B2D4">
      <w:pPr>
        <w:pStyle w:val="2"/>
        <w:keepNext w:val="0"/>
        <w:pageBreakBefore/>
        <w:spacing w:before="192" w:after="192"/>
        <w:jc w:val="left"/>
        <w:rPr>
          <w:color w:val="000000" w:themeColor="text1"/>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40" w:right="1466" w:bottom="1440" w:left="1800" w:header="851" w:footer="850" w:gutter="0"/>
          <w:pgNumType w:fmt="numberInDash" w:start="1"/>
          <w:cols w:space="720" w:num="1"/>
          <w:docGrid w:linePitch="286" w:charSpace="0"/>
        </w:sectPr>
      </w:pPr>
      <w:bookmarkStart w:id="35" w:name="_Toc1533"/>
    </w:p>
    <w:sdt>
      <w:sdtPr>
        <w:rPr>
          <w:rFonts w:ascii="宋体" w:hAnsi="宋体"/>
          <w:color w:val="000000" w:themeColor="text1"/>
          <w:sz w:val="21"/>
          <w14:textFill>
            <w14:solidFill>
              <w14:schemeClr w14:val="tx1"/>
            </w14:solidFill>
          </w14:textFill>
        </w:rPr>
        <w:id w:val="147452753"/>
        <w15:color w:val="DBDBDB"/>
        <w:docPartObj>
          <w:docPartGallery w:val="Table of Contents"/>
          <w:docPartUnique/>
        </w:docPartObj>
      </w:sdtPr>
      <w:sdtEndPr>
        <w:rPr>
          <w:rFonts w:ascii="宋体" w:hAnsi="宋体"/>
          <w:b/>
          <w:color w:val="000000" w:themeColor="text1"/>
          <w:sz w:val="21"/>
          <w14:textFill>
            <w14:solidFill>
              <w14:schemeClr w14:val="tx1"/>
            </w14:solidFill>
          </w14:textFill>
        </w:rPr>
      </w:sdtEndPr>
      <w:sdtContent>
        <w:p w14:paraId="64EA4F99">
          <w:pPr>
            <w:spacing w:line="240" w:lineRule="auto"/>
            <w:ind w:firstLine="0" w:firstLineChars="0"/>
            <w:jc w:val="center"/>
            <w:rPr>
              <w:color w:val="000000" w:themeColor="text1"/>
              <w14:textFill>
                <w14:solidFill>
                  <w14:schemeClr w14:val="tx1"/>
                </w14:solidFill>
              </w14:textFill>
            </w:rPr>
          </w:pPr>
          <w:r>
            <w:rPr>
              <w:rFonts w:ascii="宋体" w:hAnsi="宋体"/>
              <w:b/>
              <w:bCs/>
              <w:color w:val="000000" w:themeColor="text1"/>
              <w:sz w:val="32"/>
              <w:szCs w:val="32"/>
              <w14:textFill>
                <w14:solidFill>
                  <w14:schemeClr w14:val="tx1"/>
                </w14:solidFill>
              </w14:textFill>
            </w:rPr>
            <w:t>目</w:t>
          </w:r>
          <w:r>
            <w:rPr>
              <w:rFonts w:hint="eastAsia" w:ascii="宋体" w:hAnsi="宋体"/>
              <w:b/>
              <w:bCs/>
              <w:color w:val="000000" w:themeColor="text1"/>
              <w:sz w:val="32"/>
              <w:szCs w:val="32"/>
              <w14:textFill>
                <w14:solidFill>
                  <w14:schemeClr w14:val="tx1"/>
                </w14:solidFill>
              </w14:textFill>
            </w:rPr>
            <w:t xml:space="preserve"> </w:t>
          </w:r>
          <w:r>
            <w:rPr>
              <w:rFonts w:ascii="宋体" w:hAnsi="宋体"/>
              <w:b/>
              <w:bCs/>
              <w:color w:val="000000" w:themeColor="text1"/>
              <w:sz w:val="32"/>
              <w:szCs w:val="32"/>
              <w14:textFill>
                <w14:solidFill>
                  <w14:schemeClr w14:val="tx1"/>
                </w14:solidFill>
              </w14:textFill>
            </w:rPr>
            <w:t>录</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TOC \o "1-2" \h \u </w:instrText>
          </w:r>
          <w:r>
            <w:rPr>
              <w:color w:val="000000" w:themeColor="text1"/>
              <w14:textFill>
                <w14:solidFill>
                  <w14:schemeClr w14:val="tx1"/>
                </w14:solidFill>
              </w14:textFill>
            </w:rPr>
            <w:fldChar w:fldCharType="separate"/>
          </w:r>
        </w:p>
        <w:p w14:paraId="0BFC7F98">
          <w:pPr>
            <w:pStyle w:val="15"/>
            <w:tabs>
              <w:tab w:val="right" w:leader="dot" w:pos="8306"/>
            </w:tabs>
            <w:ind w:firstLine="482"/>
            <w:rPr>
              <w:b/>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"_Toc2723"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1</w:t>
          </w:r>
          <w:r>
            <w:rPr>
              <w:rFonts w:hint="eastAsia"/>
              <w:b/>
              <w:bCs/>
              <w:color w:val="000000" w:themeColor="text1"/>
              <w14:textFill>
                <w14:solidFill>
                  <w14:schemeClr w14:val="tx1"/>
                </w14:solidFill>
              </w14:textFill>
            </w:rPr>
            <w:t>前言</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_Toc2723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1</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70B7A9FB">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"_Toc25720"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1.1</w:t>
          </w:r>
          <w:r>
            <w:rPr>
              <w:rFonts w:hint="eastAsia"/>
              <w:color w:val="000000" w:themeColor="text1"/>
              <w14:textFill>
                <w14:solidFill>
                  <w14:schemeClr w14:val="tx1"/>
                </w14:solidFill>
              </w14:textFill>
            </w:rPr>
            <w:t>项目建设必要性</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_Toc25720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100F220">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"_Toc16311"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w:t>
          </w:r>
          <w:r>
            <w:rPr>
              <w:rFonts w:hint="eastAsia"/>
              <w:color w:val="000000" w:themeColor="text1"/>
              <w14:textFill>
                <w14:solidFill>
                  <w14:schemeClr w14:val="tx1"/>
                </w14:solidFill>
              </w14:textFill>
            </w:rPr>
            <w:t>项目建设规模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_Toc16311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C559DDA">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"_Toc28915"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rFonts w:hint="eastAsia"/>
              <w:color w:val="000000" w:themeColor="text1"/>
              <w14:textFill>
                <w14:solidFill>
                  <w14:schemeClr w14:val="tx1"/>
                </w14:solidFill>
              </w14:textFill>
            </w:rPr>
            <w:t>建设项目特点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_Toc28915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B958112">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"_Toc23751"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rFonts w:hint="eastAsia"/>
              <w:color w:val="000000" w:themeColor="text1"/>
              <w14:textFill>
                <w14:solidFill>
                  <w14:schemeClr w14:val="tx1"/>
                </w14:solidFill>
              </w14:textFill>
            </w:rPr>
            <w:t>环境影响评价工作过程</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_Toc23751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1857750">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"_Toc349"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rFonts w:hint="eastAsia"/>
              <w:color w:val="000000" w:themeColor="text1"/>
              <w14:textFill>
                <w14:solidFill>
                  <w14:schemeClr w14:val="tx1"/>
                </w14:solidFill>
              </w14:textFill>
            </w:rPr>
            <w:t>分析判定情况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83F27EE">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"_Toc26452"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w:t>
          </w:r>
          <w:r>
            <w:rPr>
              <w:rFonts w:hint="eastAsia"/>
              <w:color w:val="000000" w:themeColor="text1"/>
              <w14:textFill>
                <w14:solidFill>
                  <w14:schemeClr w14:val="tx1"/>
                </w14:solidFill>
              </w14:textFill>
            </w:rPr>
            <w:t>关注的主要环境问题</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_Toc26452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9EBB692">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"_Toc22132"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rFonts w:hint="eastAsia"/>
              <w:color w:val="000000" w:themeColor="text1"/>
              <w14:textFill>
                <w14:solidFill>
                  <w14:schemeClr w14:val="tx1"/>
                </w14:solidFill>
              </w14:textFill>
            </w:rPr>
            <w:t>主要评价结论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_Toc22132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2C7C21A">
          <w:pPr>
            <w:pStyle w:val="15"/>
            <w:tabs>
              <w:tab w:val="right" w:leader="dot" w:pos="8306"/>
            </w:tabs>
            <w:ind w:firstLine="482"/>
            <w:rPr>
              <w:b/>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"_Toc4473"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2</w:t>
          </w:r>
          <w:r>
            <w:rPr>
              <w:rFonts w:hint="eastAsia"/>
              <w:b/>
              <w:bCs/>
              <w:color w:val="000000" w:themeColor="text1"/>
              <w14:textFill>
                <w14:solidFill>
                  <w14:schemeClr w14:val="tx1"/>
                </w14:solidFill>
              </w14:textFill>
            </w:rPr>
            <w:t>总则</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_Toc4473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7</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346E28BA">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"_Toc17647"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rFonts w:hint="eastAsia"/>
              <w:color w:val="000000" w:themeColor="text1"/>
              <w14:textFill>
                <w14:solidFill>
                  <w14:schemeClr w14:val="tx1"/>
                </w14:solidFill>
              </w14:textFill>
            </w:rPr>
            <w:t>编制依据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_Toc17647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11D33C7">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"_Toc17390"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rFonts w:hint="eastAsia"/>
              <w:color w:val="000000" w:themeColor="text1"/>
              <w14:textFill>
                <w14:solidFill>
                  <w14:schemeClr w14:val="tx1"/>
                </w14:solidFill>
              </w14:textFill>
            </w:rPr>
            <w:t>评价因子与评价标准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_Toc17390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858025A">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"_Toc26109"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rFonts w:hint="eastAsia"/>
              <w:color w:val="000000" w:themeColor="text1"/>
              <w14:textFill>
                <w14:solidFill>
                  <w14:schemeClr w14:val="tx1"/>
                </w14:solidFill>
              </w14:textFill>
            </w:rPr>
            <w:t>评价工作等级</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_Toc26109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35F2537">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"_Toc8473"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2.4评价范围</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_Toc8473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4239136">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"_Toc20632"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rFonts w:hint="eastAsia"/>
              <w:color w:val="000000" w:themeColor="text1"/>
              <w14:textFill>
                <w14:solidFill>
                  <w14:schemeClr w14:val="tx1"/>
                </w14:solidFill>
              </w14:textFill>
            </w:rPr>
            <w:t>环境保护目标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_Toc20632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386A37A">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"_Toc4496"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rFonts w:hint="eastAsia"/>
              <w:color w:val="000000" w:themeColor="text1"/>
              <w14:textFill>
                <w14:solidFill>
                  <w14:schemeClr w14:val="tx1"/>
                </w14:solidFill>
              </w14:textFill>
            </w:rPr>
            <w:t>评价重点</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_Toc4496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F3A5782">
          <w:pPr>
            <w:pStyle w:val="15"/>
            <w:tabs>
              <w:tab w:val="right" w:leader="dot" w:pos="8306"/>
            </w:tabs>
            <w:ind w:firstLine="482"/>
            <w:rPr>
              <w:b/>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"_Toc19066"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3</w:t>
          </w:r>
          <w:r>
            <w:rPr>
              <w:rFonts w:hint="eastAsia"/>
              <w:b/>
              <w:bCs/>
              <w:color w:val="000000" w:themeColor="text1"/>
              <w14:textFill>
                <w14:solidFill>
                  <w14:schemeClr w14:val="tx1"/>
                </w14:solidFill>
              </w14:textFill>
            </w:rPr>
            <w:t>建设项目概况与分析</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_Toc19066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18</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2C3C0E6A">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"_Toc11706"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rFonts w:hint="eastAsia"/>
              <w:color w:val="000000" w:themeColor="text1"/>
              <w14:textFill>
                <w14:solidFill>
                  <w14:schemeClr w14:val="tx1"/>
                </w14:solidFill>
              </w14:textFill>
            </w:rPr>
            <w:t>项目概况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_Toc11706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701B979">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"_Toc5560"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3.2与政策法规等相符性分析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_Toc5560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8351CF1">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"_Toc13681"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3.3环境影响因素识别</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_Toc13681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8A4160D">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"_Toc3549"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3.4生态影响途径分析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_Toc3549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9EEDC04">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"_Toc17746"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3.5初步设计环境保护措施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_Toc17746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B7B89DA">
          <w:pPr>
            <w:pStyle w:val="15"/>
            <w:tabs>
              <w:tab w:val="right" w:leader="dot" w:pos="8306"/>
            </w:tabs>
            <w:ind w:firstLine="482"/>
            <w:rPr>
              <w:b/>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"_Toc16083"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4环境现状调查与评价</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_Toc16083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56</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2D64488A">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"_Toc27359"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4.1区域概况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_Toc27359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B3F8F86">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"_Toc29823"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4.2自然环境</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_Toc29823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0720D20">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"_Toc26630"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4.3</w:t>
          </w:r>
          <w:r>
            <w:rPr>
              <w:rFonts w:hint="eastAsia"/>
              <w:color w:val="000000" w:themeColor="text1"/>
              <w:szCs w:val="32"/>
              <w14:textFill>
                <w14:solidFill>
                  <w14:schemeClr w14:val="tx1"/>
                </w14:solidFill>
              </w14:textFill>
            </w:rPr>
            <w:t>电磁环境现状评价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_Toc26630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26E71CC">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"_Toc15298"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4.4声环境现状评价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_Toc15298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2106B8A">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"_Toc23127"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4.5生态环境现状调查与评价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_Toc23127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AFA4B19">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"_Toc12863"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4.6地表水环境现状评价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_Toc12863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F1FE03E">
          <w:pPr>
            <w:pStyle w:val="15"/>
            <w:tabs>
              <w:tab w:val="right" w:leader="dot" w:pos="8306"/>
            </w:tabs>
            <w:ind w:firstLine="482"/>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"_Toc3458"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5施工期环境影响评价</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_Toc3458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71</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24EA5C34">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"_Toc6388"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5.1生态环境影响预测与评价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_Toc6388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DDFFAC6">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"_Toc3161"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5.2</w:t>
          </w:r>
          <w:r>
            <w:rPr>
              <w:rFonts w:hint="eastAsia"/>
              <w:color w:val="000000" w:themeColor="text1"/>
              <w:szCs w:val="32"/>
              <w14:textFill>
                <w14:solidFill>
                  <w14:schemeClr w14:val="tx1"/>
                </w14:solidFill>
              </w14:textFill>
            </w:rPr>
            <w:t>声环境影响</w:t>
          </w:r>
          <w:r>
            <w:rPr>
              <w:color w:val="000000" w:themeColor="text1"/>
              <w:szCs w:val="32"/>
              <w14:textFill>
                <w14:solidFill>
                  <w14:schemeClr w14:val="tx1"/>
                </w14:solidFill>
              </w14:textFill>
            </w:rPr>
            <w:t>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4A46D80">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"_Toc26797"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5.3施工扬尘环境影响分析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_Toc26797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3098CBC">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"_Toc2331"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5.4固体废物环境影响分析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068DBD8">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"_Toc15550"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5.5施工</w:t>
          </w:r>
          <w:r>
            <w:rPr>
              <w:rFonts w:hint="eastAsia"/>
              <w:color w:val="000000" w:themeColor="text1"/>
              <w:szCs w:val="32"/>
              <w14:textFill>
                <w14:solidFill>
                  <w14:schemeClr w14:val="tx1"/>
                </w14:solidFill>
              </w14:textFill>
            </w:rPr>
            <w:t>期地表水</w:t>
          </w:r>
          <w:r>
            <w:rPr>
              <w:color w:val="000000" w:themeColor="text1"/>
              <w:szCs w:val="32"/>
              <w14:textFill>
                <w14:solidFill>
                  <w14:schemeClr w14:val="tx1"/>
                </w14:solidFill>
              </w14:textFill>
            </w:rPr>
            <w:t>环境影响分析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_Toc15550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1C6B540">
          <w:pPr>
            <w:pStyle w:val="15"/>
            <w:tabs>
              <w:tab w:val="right" w:leader="dot" w:pos="8306"/>
            </w:tabs>
            <w:ind w:firstLine="482"/>
            <w:rPr>
              <w:b/>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"_Toc894"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6运行期环境影响评价</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_Toc894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78</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7F243289">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"_Toc26870"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6.1电磁环境影响预测与评价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_Toc26870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AB3AD41">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"_Toc12118"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6.2声环境影响预测与评价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_Toc12118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114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A0A5747">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"_Toc19471"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6.</w:t>
          </w:r>
          <w:r>
            <w:rPr>
              <w:rFonts w:hint="eastAsia"/>
              <w:color w:val="000000" w:themeColor="text1"/>
              <w:szCs w:val="32"/>
              <w14:textFill>
                <w14:solidFill>
                  <w14:schemeClr w14:val="tx1"/>
                </w14:solidFill>
              </w14:textFill>
            </w:rPr>
            <w:t>3</w:t>
          </w:r>
          <w:r>
            <w:rPr>
              <w:color w:val="000000" w:themeColor="text1"/>
              <w:szCs w:val="32"/>
              <w14:textFill>
                <w14:solidFill>
                  <w14:schemeClr w14:val="tx1"/>
                </w14:solidFill>
              </w14:textFill>
            </w:rPr>
            <w:t>地表水环境影响分析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_Toc19471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9C30F45">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"_Toc27079"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6.</w:t>
          </w:r>
          <w:r>
            <w:rPr>
              <w:rFonts w:hint="eastAsia"/>
              <w:color w:val="000000" w:themeColor="text1"/>
              <w:szCs w:val="32"/>
              <w14:textFill>
                <w14:solidFill>
                  <w14:schemeClr w14:val="tx1"/>
                </w14:solidFill>
              </w14:textFill>
            </w:rPr>
            <w:t>4</w:t>
          </w:r>
          <w:r>
            <w:rPr>
              <w:color w:val="000000" w:themeColor="text1"/>
              <w:szCs w:val="32"/>
              <w14:textFill>
                <w14:solidFill>
                  <w14:schemeClr w14:val="tx1"/>
                </w14:solidFill>
              </w14:textFill>
            </w:rPr>
            <w:t>固体废物环境影响分析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_Toc27079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B2D80B1">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"_Toc10920"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6.</w:t>
          </w:r>
          <w:r>
            <w:rPr>
              <w:rFonts w:hint="eastAsia"/>
              <w:color w:val="000000" w:themeColor="text1"/>
              <w:szCs w:val="32"/>
              <w14:textFill>
                <w14:solidFill>
                  <w14:schemeClr w14:val="tx1"/>
                </w14:solidFill>
              </w14:textFill>
            </w:rPr>
            <w:t>5</w:t>
          </w:r>
          <w:r>
            <w:rPr>
              <w:color w:val="000000" w:themeColor="text1"/>
              <w:szCs w:val="32"/>
              <w14:textFill>
                <w14:solidFill>
                  <w14:schemeClr w14:val="tx1"/>
                </w14:solidFill>
              </w14:textFill>
            </w:rPr>
            <w:t>环境风险分析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_Toc10920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BAEC9BD">
          <w:pPr>
            <w:pStyle w:val="15"/>
            <w:tabs>
              <w:tab w:val="right" w:leader="dot" w:pos="8306"/>
            </w:tabs>
            <w:ind w:firstLine="482"/>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"_Toc30932"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7环境保护设施、措施分析与论证</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_Toc30932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121</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3B7E1D6B">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"_Toc32531"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7.1环境保护措施分析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_Toc32531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121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03B6FD4">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"_Toc28800"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7.2措施的经济、技术可行性分析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_Toc28800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33E0FAD">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"_Toc19571"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7.3环境保护设施、措施及投资估算</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_Toc19571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EEC3CD5">
          <w:pPr>
            <w:pStyle w:val="15"/>
            <w:tabs>
              <w:tab w:val="right" w:leader="dot" w:pos="8306"/>
            </w:tabs>
            <w:ind w:firstLine="482"/>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"_Toc12764"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8环境管理与监测计划</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_Toc12764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134</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77E6A12D">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"_Toc14342"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8.1环境管理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_Toc14342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5C22778">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"_Toc23490"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8.2环境监测</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_Toc23490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47104A0">
          <w:pPr>
            <w:pStyle w:val="15"/>
            <w:tabs>
              <w:tab w:val="right" w:leader="dot" w:pos="8306"/>
            </w:tabs>
            <w:ind w:firstLine="482"/>
            <w:rPr>
              <w:b/>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"_Toc405" </w:instrText>
          </w:r>
          <w:r>
            <w:rPr>
              <w:color w:val="000000" w:themeColor="text1"/>
              <w14:textFill>
                <w14:solidFill>
                  <w14:schemeClr w14:val="tx1"/>
                </w14:solidFill>
              </w14:textFill>
            </w:rPr>
            <w:fldChar w:fldCharType="separate"/>
          </w:r>
          <w:r>
            <w:rPr>
              <w:b/>
              <w:bCs/>
              <w:color w:val="000000" w:themeColor="text1"/>
              <w14:textFill>
                <w14:solidFill>
                  <w14:schemeClr w14:val="tx1"/>
                </w14:solidFill>
              </w14:textFill>
            </w:rPr>
            <w:t>9环境影响评价结论</w:t>
          </w:r>
          <w:r>
            <w:rPr>
              <w:b/>
              <w:bCs/>
              <w:color w:val="000000" w:themeColor="text1"/>
              <w14:textFill>
                <w14:solidFill>
                  <w14:schemeClr w14:val="tx1"/>
                </w14:solidFill>
              </w14:textFill>
            </w:rPr>
            <w:tab/>
          </w:r>
          <w:r>
            <w:rPr>
              <w:b/>
              <w:bCs/>
              <w:color w:val="000000" w:themeColor="text1"/>
              <w14:textFill>
                <w14:solidFill>
                  <w14:schemeClr w14:val="tx1"/>
                </w14:solidFill>
              </w14:textFill>
            </w:rPr>
            <w:fldChar w:fldCharType="begin"/>
          </w:r>
          <w:r>
            <w:rPr>
              <w:b/>
              <w:bCs/>
              <w:color w:val="000000" w:themeColor="text1"/>
              <w14:textFill>
                <w14:solidFill>
                  <w14:schemeClr w14:val="tx1"/>
                </w14:solidFill>
              </w14:textFill>
            </w:rPr>
            <w:instrText xml:space="preserve"> PAGEREF _Toc405 \h </w:instrText>
          </w:r>
          <w:r>
            <w:rPr>
              <w:b/>
              <w:bCs/>
              <w:color w:val="000000" w:themeColor="text1"/>
              <w14:textFill>
                <w14:solidFill>
                  <w14:schemeClr w14:val="tx1"/>
                </w14:solidFill>
              </w14:textFill>
            </w:rPr>
            <w:fldChar w:fldCharType="separate"/>
          </w:r>
          <w:r>
            <w:rPr>
              <w:b/>
              <w:bCs/>
              <w:color w:val="000000" w:themeColor="text1"/>
              <w14:textFill>
                <w14:solidFill>
                  <w14:schemeClr w14:val="tx1"/>
                </w14:solidFill>
              </w14:textFill>
            </w:rPr>
            <w:t>138</w:t>
          </w:r>
          <w:r>
            <w:rPr>
              <w:b/>
              <w:bCs/>
              <w:color w:val="000000" w:themeColor="text1"/>
              <w14:textFill>
                <w14:solidFill>
                  <w14:schemeClr w14:val="tx1"/>
                </w14:solidFill>
              </w14:textFill>
            </w:rPr>
            <w:fldChar w:fldCharType="end"/>
          </w:r>
          <w:r>
            <w:rPr>
              <w:b/>
              <w:bCs/>
              <w:color w:val="000000" w:themeColor="text1"/>
              <w14:textFill>
                <w14:solidFill>
                  <w14:schemeClr w14:val="tx1"/>
                </w14:solidFill>
              </w14:textFill>
            </w:rPr>
            <w:fldChar w:fldCharType="end"/>
          </w:r>
        </w:p>
        <w:p w14:paraId="5ECB6CC1">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"_Toc510"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9.1项目概况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D1800E7">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"_Toc31819"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9.2环境质量现状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_Toc31819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CE7811F">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"_Toc26427"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9.3工程与法规政策及相关规划相符性</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_Toc26427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8516EFC">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"_Toc29589"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9.4主要环境影响</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_Toc29589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71B8287">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"_Toc5878"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9.5环境保护措施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_Toc5878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56B4BBC">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"_Toc952"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9.6环境保护措施经济、技术论证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_Toc952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0454B34">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"_Toc26673"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9.7公众意见采纳情况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_Toc26673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D62F6E9">
          <w:pPr>
            <w:pStyle w:val="19"/>
            <w:tabs>
              <w:tab w:val="right" w:leader="dot" w:pos="8306"/>
            </w:tabs>
            <w:ind w:left="480"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"_Toc27700" </w:instrText>
          </w:r>
          <w:r>
            <w:rPr>
              <w:color w:val="000000" w:themeColor="text1"/>
              <w14:textFill>
                <w14:solidFill>
                  <w14:schemeClr w14:val="tx1"/>
                </w14:solidFill>
              </w14:textFill>
            </w:rPr>
            <w:fldChar w:fldCharType="separate"/>
          </w:r>
          <w:r>
            <w:rPr>
              <w:color w:val="000000" w:themeColor="text1"/>
              <w:szCs w:val="32"/>
              <w14:textFill>
                <w14:solidFill>
                  <w14:schemeClr w14:val="tx1"/>
                </w14:solidFill>
              </w14:textFill>
            </w:rPr>
            <w:t>9.8总结论与建议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_Toc27700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8A72D80">
          <w:pPr>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end"/>
          </w:r>
        </w:p>
      </w:sdtContent>
    </w:sdt>
    <w:p w14:paraId="00894DB6">
      <w:pPr>
        <w:ind w:firstLine="0" w:firstLineChars="0"/>
        <w:rPr>
          <w:b/>
          <w:bCs/>
          <w:color w:val="000000" w:themeColor="text1"/>
          <w:sz w:val="28"/>
          <w:szCs w:val="28"/>
          <w14:textFill>
            <w14:solidFill>
              <w14:schemeClr w14:val="tx1"/>
            </w14:solidFill>
          </w14:textFill>
        </w:rPr>
        <w:sectPr>
          <w:footerReference r:id="rId11" w:type="default"/>
          <w:pgSz w:w="11906" w:h="16838"/>
          <w:pgMar w:top="1440" w:right="1800" w:bottom="1440" w:left="1800" w:header="851" w:footer="850" w:gutter="0"/>
          <w:pgNumType w:fmt="upperRoman" w:start="1"/>
          <w:cols w:space="720" w:num="1"/>
          <w:docGrid w:linePitch="286" w:charSpace="0"/>
        </w:sectPr>
      </w:pPr>
    </w:p>
    <w:p w14:paraId="2E76FA29">
      <w:pPr>
        <w:ind w:firstLine="0" w:firstLineChars="0"/>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附件：</w:t>
      </w:r>
    </w:p>
    <w:p w14:paraId="2567D5D5">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附件1：项目环评委托书；</w:t>
      </w:r>
    </w:p>
    <w:p w14:paraId="1B8310AE">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附件2：建设项目用地预审与选址意见书；</w:t>
      </w:r>
    </w:p>
    <w:p w14:paraId="0E239933">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附件3：现有工程环保手续；</w:t>
      </w:r>
    </w:p>
    <w:p w14:paraId="06B8FB48">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附件4：巴州生态环境局出具的环评执行标准回函；</w:t>
      </w:r>
    </w:p>
    <w:p w14:paraId="018CA867">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附件5：本项目环境监测报告；</w:t>
      </w:r>
    </w:p>
    <w:p w14:paraId="0C252BD5">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附件6：类比项目监测报告；</w:t>
      </w:r>
    </w:p>
    <w:p w14:paraId="090F5340">
      <w:pPr>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附件7：审批基础信息表。</w:t>
      </w:r>
    </w:p>
    <w:p w14:paraId="2BF982D0">
      <w:pPr>
        <w:ind w:firstLine="0" w:firstLineChars="0"/>
        <w:rPr>
          <w:color w:val="000000" w:themeColor="text1"/>
          <w:highlight w:val="yellow"/>
          <w14:textFill>
            <w14:solidFill>
              <w14:schemeClr w14:val="tx1"/>
            </w14:solidFill>
          </w14:textFill>
        </w:rPr>
      </w:pPr>
    </w:p>
    <w:p w14:paraId="1E1C20C2">
      <w:pPr>
        <w:pStyle w:val="2"/>
        <w:keepNext w:val="0"/>
        <w:pageBreakBefore/>
        <w:spacing w:before="192" w:after="192"/>
        <w:jc w:val="left"/>
        <w:rPr>
          <w:color w:val="000000" w:themeColor="text1"/>
          <w14:textFill>
            <w14:solidFill>
              <w14:schemeClr w14:val="tx1"/>
            </w14:solidFill>
          </w14:textFill>
        </w:rPr>
        <w:sectPr>
          <w:footerReference r:id="rId12" w:type="default"/>
          <w:pgSz w:w="11906" w:h="16838"/>
          <w:pgMar w:top="1440" w:right="1800" w:bottom="1440" w:left="1800" w:header="851" w:footer="850" w:gutter="0"/>
          <w:pgNumType w:fmt="upperRoman" w:start="3"/>
          <w:cols w:space="720" w:num="1"/>
          <w:docGrid w:linePitch="286" w:charSpace="0"/>
        </w:sectPr>
      </w:pPr>
    </w:p>
    <w:p w14:paraId="382178FC">
      <w:pPr>
        <w:pStyle w:val="2"/>
        <w:keepNext w:val="0"/>
        <w:pageBreakBefore/>
        <w:spacing w:before="120" w:beforeLines="50" w:after="120" w:afterLines="50"/>
        <w:jc w:val="left"/>
        <w:rPr>
          <w:color w:val="000000" w:themeColor="text1"/>
          <w14:textFill>
            <w14:solidFill>
              <w14:schemeClr w14:val="tx1"/>
            </w14:solidFill>
          </w14:textFill>
        </w:rPr>
      </w:pPr>
      <w:bookmarkStart w:id="36" w:name="_Toc2723"/>
      <w:r>
        <w:rPr>
          <w:color w:val="000000" w:themeColor="text1"/>
          <w14:textFill>
            <w14:solidFill>
              <w14:schemeClr w14:val="tx1"/>
            </w14:solidFill>
          </w14:textFill>
        </w:rPr>
        <w:t>1</w:t>
      </w:r>
      <w:r>
        <w:rPr>
          <w:rFonts w:hint="eastAsia"/>
          <w:color w:val="000000" w:themeColor="text1"/>
          <w14:textFill>
            <w14:solidFill>
              <w14:schemeClr w14:val="tx1"/>
            </w14:solidFill>
          </w14:textFill>
        </w:rPr>
        <w:t>前言</w:t>
      </w:r>
      <w:bookmarkEnd w:id="35"/>
      <w:bookmarkEnd w:id="36"/>
    </w:p>
    <w:p w14:paraId="772B3276">
      <w:pPr>
        <w:pStyle w:val="3"/>
        <w:spacing w:before="120" w:beforeLines="50" w:after="120" w:afterLines="50"/>
        <w:rPr>
          <w:color w:val="000000" w:themeColor="text1"/>
          <w14:textFill>
            <w14:solidFill>
              <w14:schemeClr w14:val="tx1"/>
            </w14:solidFill>
          </w14:textFill>
        </w:rPr>
      </w:pPr>
      <w:bookmarkStart w:id="37" w:name="_Toc20822"/>
      <w:bookmarkStart w:id="38" w:name="_Toc26902"/>
      <w:bookmarkStart w:id="39" w:name="_Toc24809"/>
      <w:bookmarkStart w:id="40" w:name="_Toc25720"/>
      <w:bookmarkStart w:id="41" w:name="_Toc3333"/>
      <w:bookmarkStart w:id="42" w:name="_Toc9078"/>
      <w:bookmarkStart w:id="43" w:name="_Toc1933"/>
      <w:bookmarkStart w:id="44" w:name="_Toc32498"/>
      <w:bookmarkStart w:id="45" w:name="_Toc15099"/>
      <w:bookmarkStart w:id="46" w:name="_Toc15348"/>
      <w:bookmarkStart w:id="47" w:name="_Toc19468"/>
      <w:r>
        <w:rPr>
          <w:color w:val="000000" w:themeColor="text1"/>
          <w14:textFill>
            <w14:solidFill>
              <w14:schemeClr w14:val="tx1"/>
            </w14:solidFill>
          </w14:textFill>
        </w:rPr>
        <w:t>1.1</w:t>
      </w:r>
      <w:r>
        <w:rPr>
          <w:rFonts w:hint="eastAsia"/>
          <w:color w:val="000000" w:themeColor="text1"/>
          <w14:textFill>
            <w14:solidFill>
              <w14:schemeClr w14:val="tx1"/>
            </w14:solidFill>
          </w14:textFill>
        </w:rPr>
        <w:t>项目建设必要性</w:t>
      </w:r>
      <w:bookmarkEnd w:id="37"/>
      <w:bookmarkEnd w:id="38"/>
      <w:bookmarkEnd w:id="39"/>
      <w:bookmarkEnd w:id="40"/>
      <w:bookmarkEnd w:id="41"/>
      <w:bookmarkEnd w:id="42"/>
      <w:bookmarkEnd w:id="43"/>
      <w:bookmarkEnd w:id="44"/>
      <w:bookmarkEnd w:id="45"/>
      <w:bookmarkEnd w:id="46"/>
      <w:bookmarkEnd w:id="47"/>
    </w:p>
    <w:p w14:paraId="4F3BCDAE">
      <w:pPr>
        <w:widowControl/>
        <w:ind w:firstLine="480"/>
        <w:jc w:val="left"/>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（1）满足若羌-四川特高压直流工程配套火电送出需要</w:t>
      </w:r>
    </w:p>
    <w:p w14:paraId="444E6CF2">
      <w:pPr>
        <w:widowControl/>
        <w:ind w:firstLine="480"/>
        <w:jc w:val="left"/>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2023年12月29日，疆电外送直流四通道取得《国家“十四五”电力发展规划中期评估和滚动调整意见》批复。该工程的落地实施，对推进自治区资源优势转化，加快南疆地区沙戈荒基地开发步伐，推动全疆经济社会发展，保障川渝地区电力可靠供应，助力新时代国家“三基地一通道”建设，服务国家能源保供和转型大局具有重要意义。若羌直流配套火电396万kW，风电400万kW、光伏850万kW、储能250万kW，配套火电通过3回线路接入换流站，配套新能源通过罗布庄、塔西2座750千伏汇集站汇集送出。为满足若羌-四川特高压直流工程火电配出需要，需新建火电厂至若羌换流站750千伏线路工程。</w:t>
      </w:r>
    </w:p>
    <w:p w14:paraId="0FB64680">
      <w:pPr>
        <w:widowControl/>
        <w:ind w:firstLine="480"/>
        <w:jc w:val="left"/>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（2）是落实国家能源电力发展战略的体现，有助于新疆优势新能源开发与外送，促进当地优势能源资源转化</w:t>
      </w:r>
    </w:p>
    <w:p w14:paraId="5EBB5405">
      <w:pPr>
        <w:widowControl/>
        <w:ind w:firstLine="480"/>
        <w:jc w:val="left"/>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2021年3月，国家发展改革委、能源局发布《关于推进电力源网荷储一体化和多能互补发展的指导意见》（发改能源规〔2021〕280号），提出对于增量基地化开发外送项目，基于电网输送能力，合理发挥新能源地域互补优势，优先汇集近区新能源电力，优化配套储能规模，可再生能源电量比例原则上不低于50%等指导意见。若羌综合能源基地具有非常优质的新能源发电和煤电开发利用条件，适合“风光火（储）一体化”的多能互补开发外送模式。根据国家能源局批复意见，若羌至四川特高压直流输电工程配套电源要按照风光火储一体化方式规划、建设和运营，配套建设396万kW支撑性煤电，布局在若羌区域，本工程的建设，将为若羌区域的电源发展提供良好的送出条件，有利于当地的能源资源优势转化。</w:t>
      </w:r>
    </w:p>
    <w:p w14:paraId="53933482">
      <w:pPr>
        <w:widowControl/>
        <w:ind w:firstLine="480"/>
        <w:jc w:val="left"/>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（3）提高直流通道送电可靠性和新疆电网送电能力，有利于新能源的送出及直流的稳定运行</w:t>
      </w:r>
    </w:p>
    <w:p w14:paraId="51524042">
      <w:pPr>
        <w:widowControl/>
        <w:ind w:firstLine="480"/>
        <w:jc w:val="left"/>
        <w:rPr>
          <w:rFonts w:hint="eastAsia"/>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南疆电厂位于若羌换流站推荐站址的东南侧约12km处。配套火电容量396万kW，考虑线路经济输送能力及发热极限，检修或故障状态仅剩1回750kV输电线路时可保证送出全部容量，但由于配套火电是直流唯一可靠电源，电厂的可靠送出关系到新能源的送出及直流的稳定运行，电厂送出线路一检一跳时，配套火电需要全部切除，对直流可靠送电影响较大。因此，为提高配套火电对直流系统的支撑能力，本工程的建设是十分必要的。</w:t>
      </w:r>
    </w:p>
    <w:p w14:paraId="298B1A7A">
      <w:pPr>
        <w:widowControl/>
        <w:ind w:firstLine="480"/>
        <w:jc w:val="left"/>
        <w:rPr>
          <w:rFonts w:hint="eastAsia"/>
          <w:bCs/>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16</w:t>
      </w:r>
      <w:r>
        <w:rPr>
          <w:rFonts w:hint="eastAsia"/>
          <w:color w:val="000000" w:themeColor="text1"/>
          <w14:textFill>
            <w14:solidFill>
              <w14:schemeClr w14:val="tx1"/>
            </w14:solidFill>
          </w14:textFill>
        </w:rPr>
        <w:t>日，新疆维吾尔自治区发展和改革委员会出具了《自治区发展改革委关于</w:t>
      </w:r>
      <w:r>
        <w:rPr>
          <w:rFonts w:hint="eastAsia"/>
          <w:color w:val="000000" w:themeColor="text1"/>
          <w:lang w:val="en-US" w:eastAsia="zh-CN"/>
          <w14:textFill>
            <w14:solidFill>
              <w14:schemeClr w14:val="tx1"/>
            </w14:solidFill>
          </w14:textFill>
        </w:rPr>
        <w:t>疆电（南疆）送电川渝工程送端750千伏接入及配套电源送出工程</w:t>
      </w:r>
      <w:r>
        <w:rPr>
          <w:rFonts w:hint="eastAsia"/>
          <w:color w:val="000000" w:themeColor="text1"/>
          <w14:textFill>
            <w14:solidFill>
              <w14:schemeClr w14:val="tx1"/>
            </w14:solidFill>
          </w14:textFill>
        </w:rPr>
        <w:t>核准的批复》（新发改批复〔202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224</w:t>
      </w:r>
      <w:r>
        <w:rPr>
          <w:rFonts w:hint="eastAsia"/>
          <w:color w:val="000000" w:themeColor="text1"/>
          <w14:textFill>
            <w14:solidFill>
              <w14:schemeClr w14:val="tx1"/>
            </w14:solidFill>
          </w14:textFill>
        </w:rPr>
        <w:t>号）（本项目代码：240</w:t>
      </w:r>
      <w:r>
        <w:rPr>
          <w:rFonts w:hint="eastAsia"/>
          <w:color w:val="000000" w:themeColor="text1"/>
          <w:lang w:val="en-US" w:eastAsia="zh-CN"/>
          <w14:textFill>
            <w14:solidFill>
              <w14:schemeClr w14:val="tx1"/>
            </w14:solidFill>
          </w14:textFill>
        </w:rPr>
        <w:t>9</w:t>
      </w:r>
      <w:r>
        <w:rPr>
          <w:rFonts w:hint="eastAsia"/>
          <w:color w:val="000000" w:themeColor="text1"/>
          <w14:textFill>
            <w14:solidFill>
              <w14:schemeClr w14:val="tx1"/>
            </w14:solidFill>
          </w14:textFill>
        </w:rPr>
        <w:t>-65</w:t>
      </w:r>
      <w:r>
        <w:rPr>
          <w:rFonts w:hint="eastAsia"/>
          <w:color w:val="000000" w:themeColor="text1"/>
          <w:lang w:val="en-US" w:eastAsia="zh-CN"/>
          <w14:textFill>
            <w14:solidFill>
              <w14:schemeClr w14:val="tx1"/>
            </w14:solidFill>
          </w14:textFill>
        </w:rPr>
        <w:t>2824</w:t>
      </w:r>
      <w:r>
        <w:rPr>
          <w:rFonts w:hint="eastAsia"/>
          <w:color w:val="000000" w:themeColor="text1"/>
          <w14:textFill>
            <w14:solidFill>
              <w14:schemeClr w14:val="tx1"/>
            </w14:solidFill>
          </w14:textFill>
        </w:rPr>
        <w:t>-04-01-</w:t>
      </w:r>
      <w:r>
        <w:rPr>
          <w:rFonts w:hint="eastAsia"/>
          <w:color w:val="000000" w:themeColor="text1"/>
          <w:lang w:val="en-US" w:eastAsia="zh-CN"/>
          <w14:textFill>
            <w14:solidFill>
              <w14:schemeClr w14:val="tx1"/>
            </w14:solidFill>
          </w14:textFill>
        </w:rPr>
        <w:t>847956</w:t>
      </w:r>
      <w:r>
        <w:rPr>
          <w:rFonts w:hint="eastAsia"/>
          <w:color w:val="000000" w:themeColor="text1"/>
          <w14:textFill>
            <w14:solidFill>
              <w14:schemeClr w14:val="tx1"/>
            </w14:solidFill>
          </w14:textFill>
        </w:rPr>
        <w:t>）。</w:t>
      </w:r>
    </w:p>
    <w:p w14:paraId="5B78066E">
      <w:pPr>
        <w:pStyle w:val="3"/>
        <w:spacing w:before="120" w:beforeLines="50" w:after="120" w:afterLines="50"/>
        <w:rPr>
          <w:color w:val="000000" w:themeColor="text1"/>
          <w14:textFill>
            <w14:solidFill>
              <w14:schemeClr w14:val="tx1"/>
            </w14:solidFill>
          </w14:textFill>
        </w:rPr>
      </w:pPr>
      <w:bookmarkStart w:id="48" w:name="_Toc28571"/>
      <w:bookmarkStart w:id="49" w:name="_Toc24457"/>
      <w:bookmarkStart w:id="50" w:name="_Toc6143"/>
      <w:bookmarkStart w:id="51" w:name="_Toc20708"/>
      <w:bookmarkStart w:id="52" w:name="_Toc8043"/>
      <w:bookmarkStart w:id="53" w:name="_Toc17164"/>
      <w:bookmarkStart w:id="54" w:name="_Toc28347"/>
      <w:bookmarkStart w:id="55" w:name="_Toc16311"/>
      <w:bookmarkStart w:id="56" w:name="_Toc8478"/>
      <w:bookmarkStart w:id="57" w:name="_Toc31458"/>
      <w:bookmarkStart w:id="58" w:name="_Toc7966"/>
      <w:r>
        <w:rPr>
          <w:color w:val="000000" w:themeColor="text1"/>
          <w14:textFill>
            <w14:solidFill>
              <w14:schemeClr w14:val="tx1"/>
            </w14:solidFill>
          </w14:textFill>
        </w:rPr>
        <w:t>1.2</w:t>
      </w:r>
      <w:r>
        <w:rPr>
          <w:rFonts w:hint="eastAsia"/>
          <w:color w:val="000000" w:themeColor="text1"/>
          <w14:textFill>
            <w14:solidFill>
              <w14:schemeClr w14:val="tx1"/>
            </w14:solidFill>
          </w14:textFill>
        </w:rPr>
        <w:t>项目建设规模</w:t>
      </w:r>
      <w:bookmarkEnd w:id="48"/>
      <w:bookmarkEnd w:id="49"/>
      <w:bookmarkEnd w:id="50"/>
      <w:bookmarkEnd w:id="51"/>
      <w:bookmarkEnd w:id="52"/>
      <w:bookmarkEnd w:id="53"/>
      <w:bookmarkEnd w:id="54"/>
      <w:bookmarkEnd w:id="55"/>
      <w:bookmarkEnd w:id="56"/>
      <w:bookmarkEnd w:id="57"/>
      <w:bookmarkEnd w:id="58"/>
    </w:p>
    <w:p w14:paraId="269B9DBA">
      <w:pPr>
        <w:pStyle w:val="25"/>
        <w:spacing w:after="0"/>
        <w:ind w:left="0" w:leftChars="0" w:firstLine="480"/>
        <w:rPr>
          <w:bCs/>
          <w:snapToGrid w:val="0"/>
          <w:color w:val="000000" w:themeColor="text1"/>
          <w14:textFill>
            <w14:solidFill>
              <w14:schemeClr w14:val="tx1"/>
            </w14:solidFill>
          </w14:textFill>
        </w:rPr>
      </w:pPr>
      <w:bookmarkStart w:id="59" w:name="_Toc27184"/>
      <w:bookmarkStart w:id="60" w:name="_Toc29701"/>
      <w:bookmarkStart w:id="61" w:name="_Toc12426"/>
      <w:bookmarkStart w:id="62" w:name="_Toc12977"/>
      <w:bookmarkStart w:id="63" w:name="_Toc496"/>
      <w:bookmarkStart w:id="64" w:name="_Toc17783"/>
      <w:bookmarkStart w:id="65" w:name="_Toc16839"/>
      <w:bookmarkStart w:id="66" w:name="_Toc24660"/>
      <w:bookmarkStart w:id="67" w:name="_Toc3262"/>
      <w:bookmarkStart w:id="68" w:name="_Toc24278"/>
      <w:bookmarkStart w:id="69" w:name="_Toc32467"/>
      <w:bookmarkStart w:id="70" w:name="_Toc11225"/>
      <w:bookmarkStart w:id="71" w:name="_Toc8391"/>
      <w:r>
        <w:rPr>
          <w:bCs/>
          <w:snapToGrid w:val="0"/>
          <w:color w:val="000000" w:themeColor="text1"/>
          <w14:textFill>
            <w14:solidFill>
              <w14:schemeClr w14:val="tx1"/>
            </w14:solidFill>
          </w14:textFill>
        </w:rPr>
        <w:t>（1）工程地理位置</w:t>
      </w:r>
      <w:bookmarkEnd w:id="59"/>
      <w:bookmarkEnd w:id="60"/>
      <w:bookmarkEnd w:id="61"/>
    </w:p>
    <w:p w14:paraId="3AFEB466">
      <w:pPr>
        <w:pStyle w:val="25"/>
        <w:spacing w:after="0"/>
        <w:ind w:left="0" w:leftChars="0" w:firstLine="480"/>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疆电（南疆）送电川渝特高压配套火电</w:t>
      </w:r>
      <w:r>
        <w:rPr>
          <w:bCs/>
          <w:snapToGrid w:val="0"/>
          <w:color w:val="000000" w:themeColor="text1"/>
          <w14:textFill>
            <w14:solidFill>
              <w14:schemeClr w14:val="tx1"/>
            </w14:solidFill>
          </w14:textFill>
        </w:rPr>
        <w:t>750</w:t>
      </w:r>
      <w:r>
        <w:rPr>
          <w:rFonts w:hint="eastAsia"/>
          <w:bCs/>
          <w:snapToGrid w:val="0"/>
          <w:color w:val="000000" w:themeColor="text1"/>
          <w14:textFill>
            <w14:solidFill>
              <w14:schemeClr w14:val="tx1"/>
            </w14:solidFill>
          </w14:textFill>
        </w:rPr>
        <w:t>千伏送出工程</w:t>
      </w:r>
      <w:r>
        <w:rPr>
          <w:bCs/>
          <w:snapToGrid w:val="0"/>
          <w:color w:val="000000" w:themeColor="text1"/>
          <w14:textFill>
            <w14:solidFill>
              <w14:schemeClr w14:val="tx1"/>
            </w14:solidFill>
          </w14:textFill>
        </w:rPr>
        <w:t>位于新疆维吾尔自治区</w:t>
      </w:r>
      <w:r>
        <w:rPr>
          <w:rFonts w:hint="eastAsia"/>
          <w:bCs/>
          <w:snapToGrid w:val="0"/>
          <w:color w:val="000000" w:themeColor="text1"/>
          <w14:textFill>
            <w14:solidFill>
              <w14:schemeClr w14:val="tx1"/>
            </w14:solidFill>
          </w14:textFill>
        </w:rPr>
        <w:t>巴音郭楞蒙古自治州若羌县。</w:t>
      </w:r>
      <w:r>
        <w:rPr>
          <w:rFonts w:hint="eastAsia"/>
          <w:color w:val="000000" w:themeColor="text1"/>
          <w14:textFill>
            <w14:solidFill>
              <w14:schemeClr w14:val="tx1"/>
            </w14:solidFill>
          </w14:textFill>
        </w:rPr>
        <w:t>线</w:t>
      </w:r>
      <w:r>
        <w:rPr>
          <w:color w:val="000000" w:themeColor="text1"/>
          <w14:textFill>
            <w14:solidFill>
              <w14:schemeClr w14:val="tx1"/>
            </w14:solidFill>
          </w14:textFill>
        </w:rPr>
        <w:t>路起点位于若羌火电厂，地理坐标：E88°31′33.822″，N38°58′0.600″；终点位于若羌±800kV换流站，地理坐标：E88°25′40.839″，N39°0′8.077″。</w:t>
      </w:r>
    </w:p>
    <w:p w14:paraId="585B8000">
      <w:pPr>
        <w:pStyle w:val="25"/>
        <w:spacing w:after="0"/>
        <w:ind w:left="0" w:leftChars="0" w:firstLine="480"/>
        <w:rPr>
          <w:bCs/>
          <w:snapToGrid w:val="0"/>
          <w:color w:val="000000" w:themeColor="text1"/>
          <w14:textFill>
            <w14:solidFill>
              <w14:schemeClr w14:val="tx1"/>
            </w14:solidFill>
          </w14:textFill>
        </w:rPr>
      </w:pPr>
      <w:bookmarkStart w:id="72" w:name="_Toc3604"/>
      <w:bookmarkStart w:id="73" w:name="_Toc14598"/>
      <w:bookmarkStart w:id="74" w:name="_Toc1783"/>
      <w:r>
        <w:rPr>
          <w:bCs/>
          <w:snapToGrid w:val="0"/>
          <w:color w:val="000000" w:themeColor="text1"/>
          <w14:textFill>
            <w14:solidFill>
              <w14:schemeClr w14:val="tx1"/>
            </w14:solidFill>
          </w14:textFill>
        </w:rPr>
        <w:t>（2）</w:t>
      </w:r>
      <w:bookmarkEnd w:id="72"/>
      <w:bookmarkEnd w:id="73"/>
      <w:bookmarkEnd w:id="74"/>
      <w:r>
        <w:rPr>
          <w:rFonts w:hint="eastAsia"/>
          <w:bCs/>
          <w:snapToGrid w:val="0"/>
          <w:color w:val="000000" w:themeColor="text1"/>
          <w14:textFill>
            <w14:solidFill>
              <w14:schemeClr w14:val="tx1"/>
            </w14:solidFill>
          </w14:textFill>
        </w:rPr>
        <w:t>若羌火电厂-若羌±800kV换流站线路工程</w:t>
      </w:r>
    </w:p>
    <w:p w14:paraId="494A5CC3">
      <w:pPr>
        <w:pStyle w:val="25"/>
        <w:spacing w:after="0"/>
        <w:ind w:left="0" w:leftChars="0" w:firstLine="480"/>
        <w:rPr>
          <w:bCs/>
          <w:snapToGrid w:val="0"/>
          <w:color w:val="000000" w:themeColor="text1"/>
          <w14:textFill>
            <w14:solidFill>
              <w14:schemeClr w14:val="tx1"/>
            </w14:solidFill>
          </w14:textFill>
        </w:rPr>
      </w:pPr>
      <w:r>
        <w:rPr>
          <w:rFonts w:hint="eastAsia"/>
          <w:bCs/>
          <w:snapToGrid w:val="0"/>
          <w:color w:val="000000" w:themeColor="text1"/>
          <w:lang w:val="en-US" w:eastAsia="zh-CN"/>
          <w14:textFill>
            <w14:solidFill>
              <w14:schemeClr w14:val="tx1"/>
            </w14:solidFill>
          </w14:textFill>
        </w:rPr>
        <w:t>本项目建设内容与正在办理的可研内容一致。</w:t>
      </w:r>
      <w:r>
        <w:rPr>
          <w:bCs/>
          <w:snapToGrid w:val="0"/>
          <w:color w:val="000000" w:themeColor="text1"/>
          <w14:textFill>
            <w14:solidFill>
              <w14:schemeClr w14:val="tx1"/>
            </w14:solidFill>
          </w14:textFill>
        </w:rPr>
        <w:t>本工程线路起自</w:t>
      </w:r>
      <w:r>
        <w:rPr>
          <w:rFonts w:hint="eastAsia"/>
          <w:bCs/>
          <w:snapToGrid w:val="0"/>
          <w:color w:val="000000" w:themeColor="text1"/>
          <w:lang w:val="en-US" w:eastAsia="zh-CN"/>
          <w14:textFill>
            <w14:solidFill>
              <w14:schemeClr w14:val="tx1"/>
            </w14:solidFill>
          </w14:textFill>
        </w:rPr>
        <w:t>在</w:t>
      </w:r>
      <w:r>
        <w:rPr>
          <w:bCs/>
          <w:snapToGrid w:val="0"/>
          <w:color w:val="000000" w:themeColor="text1"/>
          <w14:textFill>
            <w14:solidFill>
              <w14:schemeClr w14:val="tx1"/>
            </w14:solidFill>
          </w14:textFill>
        </w:rPr>
        <w:t>建的若羌火电厂，止于</w:t>
      </w:r>
      <w:r>
        <w:rPr>
          <w:rFonts w:hint="eastAsia"/>
          <w:bCs/>
          <w:snapToGrid w:val="0"/>
          <w:color w:val="000000" w:themeColor="text1"/>
          <w:lang w:val="en-US" w:eastAsia="zh-CN"/>
          <w14:textFill>
            <w14:solidFill>
              <w14:schemeClr w14:val="tx1"/>
            </w14:solidFill>
          </w14:textFill>
        </w:rPr>
        <w:t>拟</w:t>
      </w:r>
      <w:r>
        <w:rPr>
          <w:bCs/>
          <w:snapToGrid w:val="0"/>
          <w:color w:val="000000" w:themeColor="text1"/>
          <w14:textFill>
            <w14:solidFill>
              <w14:schemeClr w14:val="tx1"/>
            </w14:solidFill>
          </w14:textFill>
        </w:rPr>
        <w:t>建的若羌±800kV换流站，新建线路折单长度38.4km，其中单回路架设38.2km，同塔双回路架设2×0.1km</w:t>
      </w:r>
      <w:r>
        <w:rPr>
          <w:rFonts w:hint="eastAsia"/>
          <w:bCs/>
          <w:snapToGrid w:val="0"/>
          <w:color w:val="000000" w:themeColor="text1"/>
          <w14:textFill>
            <w14:solidFill>
              <w14:schemeClr w14:val="tx1"/>
            </w14:solidFill>
          </w14:textFill>
        </w:rPr>
        <w:t>（若羌换流站侧终端塔采用双回路角钢塔）</w:t>
      </w:r>
      <w:r>
        <w:rPr>
          <w:bCs/>
          <w:snapToGrid w:val="0"/>
          <w:color w:val="000000" w:themeColor="text1"/>
          <w14:textFill>
            <w14:solidFill>
              <w14:schemeClr w14:val="tx1"/>
            </w14:solidFill>
          </w14:textFill>
        </w:rPr>
        <w:t>；</w:t>
      </w:r>
    </w:p>
    <w:p w14:paraId="44D579BC">
      <w:pPr>
        <w:pStyle w:val="25"/>
        <w:spacing w:after="0"/>
        <w:ind w:left="0" w:leftChars="0" w:firstLine="480"/>
        <w:rPr>
          <w:bCs/>
          <w:snapToGrid w:val="0"/>
          <w:color w:val="000000" w:themeColor="text1"/>
          <w14:textFill>
            <w14:solidFill>
              <w14:schemeClr w14:val="tx1"/>
            </w14:solidFill>
          </w14:textFill>
        </w:rPr>
      </w:pPr>
      <w:r>
        <w:rPr>
          <w:bCs/>
          <w:snapToGrid w:val="0"/>
          <w:color w:val="000000" w:themeColor="text1"/>
          <w14:textFill>
            <w14:solidFill>
              <w14:schemeClr w14:val="tx1"/>
            </w14:solidFill>
          </w14:textFill>
        </w:rPr>
        <w:t>导线：采用6×JL3/G1A-400/50钢芯高导电率铝绞线；</w:t>
      </w:r>
    </w:p>
    <w:p w14:paraId="4CABF36B">
      <w:pPr>
        <w:pStyle w:val="25"/>
        <w:spacing w:after="0"/>
        <w:ind w:left="0" w:leftChars="0" w:firstLine="480"/>
        <w:rPr>
          <w:bCs/>
          <w:snapToGrid w:val="0"/>
          <w:color w:val="000000" w:themeColor="text1"/>
          <w14:textFill>
            <w14:solidFill>
              <w14:schemeClr w14:val="tx1"/>
            </w14:solidFill>
          </w14:textFill>
        </w:rPr>
      </w:pPr>
      <w:r>
        <w:rPr>
          <w:bCs/>
          <w:snapToGrid w:val="0"/>
          <w:color w:val="000000" w:themeColor="text1"/>
          <w14:textFill>
            <w14:solidFill>
              <w14:schemeClr w14:val="tx1"/>
            </w14:solidFill>
          </w14:textFill>
        </w:rPr>
        <w:t>地线：每回路均为一根采用24芯OPGW-150光缆，一根采用JLB40-150铝包钢绞线，</w:t>
      </w:r>
      <w:r>
        <w:rPr>
          <w:rFonts w:hint="eastAsia" w:ascii="宋体" w:hAnsi="宋体" w:cs="宋体"/>
          <w:bCs/>
          <w:snapToGrid w:val="0"/>
          <w:color w:val="000000" w:themeColor="text1"/>
          <w14:textFill>
            <w14:solidFill>
              <w14:schemeClr w14:val="tx1"/>
            </w14:solidFill>
          </w14:textFill>
        </w:rPr>
        <w:t>“三跨”</w:t>
      </w:r>
      <w:r>
        <w:rPr>
          <w:bCs/>
          <w:snapToGrid w:val="0"/>
          <w:color w:val="000000" w:themeColor="text1"/>
          <w14:textFill>
            <w14:solidFill>
              <w14:schemeClr w14:val="tx1"/>
            </w14:solidFill>
          </w14:textFill>
        </w:rPr>
        <w:t>段采用2根72芯OPGW-150光缆。</w:t>
      </w:r>
    </w:p>
    <w:p w14:paraId="7BA62CB4">
      <w:pPr>
        <w:snapToGrid w:val="0"/>
        <w:ind w:firstLine="480"/>
        <w:rPr>
          <w:bCs/>
          <w:snapToGrid w:val="0"/>
          <w:color w:val="000000" w:themeColor="text1"/>
          <w:highlight w:val="none"/>
          <w14:textFill>
            <w14:solidFill>
              <w14:schemeClr w14:val="tx1"/>
            </w14:solidFill>
          </w14:textFill>
        </w:rPr>
      </w:pPr>
      <w:r>
        <w:rPr>
          <w:bCs/>
          <w:snapToGrid w:val="0"/>
          <w:color w:val="000000" w:themeColor="text1"/>
          <w:highlight w:val="none"/>
          <w14:textFill>
            <w14:solidFill>
              <w14:schemeClr w14:val="tx1"/>
            </w14:solidFill>
          </w14:textFill>
        </w:rPr>
        <w:t>本工程</w:t>
      </w:r>
      <w:r>
        <w:rPr>
          <w:rFonts w:hint="eastAsia"/>
          <w:bCs/>
          <w:snapToGrid w:val="0"/>
          <w:color w:val="000000" w:themeColor="text1"/>
          <w:highlight w:val="none"/>
          <w14:textFill>
            <w14:solidFill>
              <w14:schemeClr w14:val="tx1"/>
            </w14:solidFill>
          </w14:textFill>
        </w:rPr>
        <w:t>动态</w:t>
      </w:r>
      <w:r>
        <w:rPr>
          <w:bCs/>
          <w:snapToGrid w:val="0"/>
          <w:color w:val="000000" w:themeColor="text1"/>
          <w:highlight w:val="none"/>
          <w14:textFill>
            <w14:solidFill>
              <w14:schemeClr w14:val="tx1"/>
            </w14:solidFill>
          </w14:textFill>
        </w:rPr>
        <w:t>总投资</w:t>
      </w:r>
      <w:r>
        <w:rPr>
          <w:rFonts w:hint="eastAsia"/>
          <w:bCs/>
          <w:snapToGrid w:val="0"/>
          <w:color w:val="000000" w:themeColor="text1"/>
          <w:highlight w:val="none"/>
          <w:lang w:eastAsia="zh-CN"/>
          <w14:textFill>
            <w14:solidFill>
              <w14:schemeClr w14:val="tx1"/>
            </w14:solidFill>
          </w14:textFill>
        </w:rPr>
        <w:t>14162万元</w:t>
      </w:r>
      <w:r>
        <w:rPr>
          <w:bCs/>
          <w:snapToGrid w:val="0"/>
          <w:color w:val="000000" w:themeColor="text1"/>
          <w:highlight w:val="none"/>
          <w14:textFill>
            <w14:solidFill>
              <w14:schemeClr w14:val="tx1"/>
            </w14:solidFill>
          </w14:textFill>
        </w:rPr>
        <w:t>，其中环境保护投资</w:t>
      </w:r>
      <w:r>
        <w:rPr>
          <w:rFonts w:hint="eastAsia"/>
          <w:bCs/>
          <w:snapToGrid w:val="0"/>
          <w:color w:val="000000" w:themeColor="text1"/>
          <w:highlight w:val="none"/>
          <w14:textFill>
            <w14:solidFill>
              <w14:schemeClr w14:val="tx1"/>
            </w14:solidFill>
          </w14:textFill>
        </w:rPr>
        <w:t>140</w:t>
      </w:r>
      <w:r>
        <w:rPr>
          <w:bCs/>
          <w:snapToGrid w:val="0"/>
          <w:color w:val="000000" w:themeColor="text1"/>
          <w:highlight w:val="none"/>
          <w14:textFill>
            <w14:solidFill>
              <w14:schemeClr w14:val="tx1"/>
            </w14:solidFill>
          </w14:textFill>
        </w:rPr>
        <w:t>万元，环境保护投资占总投资比例</w:t>
      </w:r>
      <w:r>
        <w:rPr>
          <w:rFonts w:hint="eastAsia"/>
          <w:bCs/>
          <w:snapToGrid w:val="0"/>
          <w:color w:val="000000" w:themeColor="text1"/>
          <w:highlight w:val="none"/>
          <w:lang w:eastAsia="zh-CN"/>
          <w14:textFill>
            <w14:solidFill>
              <w14:schemeClr w14:val="tx1"/>
            </w14:solidFill>
          </w14:textFill>
        </w:rPr>
        <w:t>0.99%</w:t>
      </w:r>
      <w:r>
        <w:rPr>
          <w:bCs/>
          <w:snapToGrid w:val="0"/>
          <w:color w:val="000000" w:themeColor="text1"/>
          <w:highlight w:val="none"/>
          <w14:textFill>
            <w14:solidFill>
              <w14:schemeClr w14:val="tx1"/>
            </w14:solidFill>
          </w14:textFill>
        </w:rPr>
        <w:t>。</w:t>
      </w:r>
    </w:p>
    <w:p w14:paraId="310DF79E">
      <w:pPr>
        <w:snapToGrid w:val="0"/>
        <w:ind w:firstLine="480"/>
        <w:rPr>
          <w:bCs/>
          <w:snapToGrid w:val="0"/>
          <w:color w:val="000000" w:themeColor="text1"/>
          <w14:textFill>
            <w14:solidFill>
              <w14:schemeClr w14:val="tx1"/>
            </w14:solidFill>
          </w14:textFill>
        </w:rPr>
      </w:pPr>
      <w:r>
        <w:rPr>
          <w:bCs/>
          <w:snapToGrid w:val="0"/>
          <w:color w:val="000000" w:themeColor="text1"/>
          <w14:textFill>
            <w14:solidFill>
              <w14:schemeClr w14:val="tx1"/>
            </w14:solidFill>
          </w14:textFill>
        </w:rPr>
        <w:t>本工程计划于202</w:t>
      </w:r>
      <w:r>
        <w:rPr>
          <w:rFonts w:hint="eastAsia"/>
          <w:bCs/>
          <w:snapToGrid w:val="0"/>
          <w:color w:val="000000" w:themeColor="text1"/>
          <w:lang w:val="en-US" w:eastAsia="zh-CN"/>
          <w14:textFill>
            <w14:solidFill>
              <w14:schemeClr w14:val="tx1"/>
            </w14:solidFill>
          </w14:textFill>
        </w:rPr>
        <w:t>8</w:t>
      </w:r>
      <w:r>
        <w:rPr>
          <w:bCs/>
          <w:snapToGrid w:val="0"/>
          <w:color w:val="000000" w:themeColor="text1"/>
          <w14:textFill>
            <w14:solidFill>
              <w14:schemeClr w14:val="tx1"/>
            </w14:solidFill>
          </w14:textFill>
        </w:rPr>
        <w:t>年</w:t>
      </w:r>
      <w:r>
        <w:rPr>
          <w:rFonts w:hint="eastAsia"/>
          <w:bCs/>
          <w:snapToGrid w:val="0"/>
          <w:color w:val="000000" w:themeColor="text1"/>
          <w14:textFill>
            <w14:solidFill>
              <w14:schemeClr w14:val="tx1"/>
            </w14:solidFill>
          </w14:textFill>
        </w:rPr>
        <w:t>1月</w:t>
      </w:r>
      <w:r>
        <w:rPr>
          <w:bCs/>
          <w:snapToGrid w:val="0"/>
          <w:color w:val="000000" w:themeColor="text1"/>
          <w14:textFill>
            <w14:solidFill>
              <w14:schemeClr w14:val="tx1"/>
            </w14:solidFill>
          </w14:textFill>
        </w:rPr>
        <w:t>建成。</w:t>
      </w:r>
    </w:p>
    <w:p w14:paraId="7FE1368C">
      <w:pPr>
        <w:pStyle w:val="3"/>
        <w:spacing w:before="120" w:beforeLines="50" w:after="120" w:afterLines="50"/>
        <w:rPr>
          <w:color w:val="000000" w:themeColor="text1"/>
          <w14:textFill>
            <w14:solidFill>
              <w14:schemeClr w14:val="tx1"/>
            </w14:solidFill>
          </w14:textFill>
        </w:rPr>
      </w:pPr>
      <w:bookmarkStart w:id="75" w:name="_Toc28915"/>
      <w:r>
        <w:rPr>
          <w:color w:val="000000" w:themeColor="text1"/>
          <w14:textFill>
            <w14:solidFill>
              <w14:schemeClr w14:val="tx1"/>
            </w14:solidFill>
          </w14:textFill>
        </w:rPr>
        <w:t>1.3</w:t>
      </w:r>
      <w:r>
        <w:rPr>
          <w:rFonts w:hint="eastAsia"/>
          <w:color w:val="000000" w:themeColor="text1"/>
          <w14:textFill>
            <w14:solidFill>
              <w14:schemeClr w14:val="tx1"/>
            </w14:solidFill>
          </w14:textFill>
        </w:rPr>
        <w:t>建设项目特点</w:t>
      </w:r>
      <w:bookmarkEnd w:id="62"/>
      <w:bookmarkEnd w:id="63"/>
      <w:bookmarkEnd w:id="64"/>
      <w:bookmarkEnd w:id="65"/>
      <w:bookmarkEnd w:id="66"/>
      <w:bookmarkEnd w:id="67"/>
      <w:bookmarkEnd w:id="68"/>
      <w:bookmarkEnd w:id="69"/>
      <w:bookmarkEnd w:id="70"/>
      <w:bookmarkEnd w:id="71"/>
      <w:bookmarkEnd w:id="75"/>
    </w:p>
    <w:p w14:paraId="7DF68401">
      <w:pPr>
        <w:snapToGrid w:val="0"/>
        <w:ind w:firstLine="480"/>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结合本工程建设情况及现场调查，工程建设特点如下：</w:t>
      </w:r>
    </w:p>
    <w:p w14:paraId="753310F9">
      <w:pPr>
        <w:snapToGrid w:val="0"/>
        <w:ind w:firstLine="480"/>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w:t>
      </w:r>
      <w:r>
        <w:rPr>
          <w:bCs/>
          <w:snapToGrid w:val="0"/>
          <w:color w:val="000000" w:themeColor="text1"/>
          <w14:textFill>
            <w14:solidFill>
              <w14:schemeClr w14:val="tx1"/>
            </w14:solidFill>
          </w14:textFill>
        </w:rPr>
        <w:t>1</w:t>
      </w:r>
      <w:r>
        <w:rPr>
          <w:rFonts w:hint="eastAsia"/>
          <w:bCs/>
          <w:snapToGrid w:val="0"/>
          <w:color w:val="000000" w:themeColor="text1"/>
          <w14:textFill>
            <w14:solidFill>
              <w14:schemeClr w14:val="tx1"/>
            </w14:solidFill>
          </w14:textFill>
        </w:rPr>
        <w:t>）本工程为新建工程。</w:t>
      </w:r>
    </w:p>
    <w:p w14:paraId="431F0EFA">
      <w:pPr>
        <w:snapToGrid w:val="0"/>
        <w:ind w:firstLine="480"/>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（2）本工程属于750kV超高压交流输变电工程。</w:t>
      </w:r>
    </w:p>
    <w:p w14:paraId="198E63AA">
      <w:pPr>
        <w:snapToGrid w:val="0"/>
        <w:ind w:firstLine="480"/>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w:t>
      </w:r>
      <w:r>
        <w:rPr>
          <w:bCs/>
          <w:snapToGrid w:val="0"/>
          <w:color w:val="000000" w:themeColor="text1"/>
          <w14:textFill>
            <w14:solidFill>
              <w14:schemeClr w14:val="tx1"/>
            </w14:solidFill>
          </w14:textFill>
        </w:rPr>
        <w:t>3</w:t>
      </w:r>
      <w:r>
        <w:rPr>
          <w:rFonts w:hint="eastAsia"/>
          <w:bCs/>
          <w:snapToGrid w:val="0"/>
          <w:color w:val="000000" w:themeColor="text1"/>
          <w14:textFill>
            <w14:solidFill>
              <w14:schemeClr w14:val="tx1"/>
            </w14:solidFill>
          </w14:textFill>
        </w:rPr>
        <w:t>）施工期的主要环境影响为对生态环境影响及施工产生的噪声、扬尘、固体废物、</w:t>
      </w:r>
      <w:r>
        <w:rPr>
          <w:rFonts w:hint="eastAsia"/>
          <w:bCs/>
          <w:snapToGrid w:val="0"/>
          <w:color w:val="000000" w:themeColor="text1"/>
          <w:lang w:val="en-US" w:eastAsia="zh-CN"/>
          <w14:textFill>
            <w14:solidFill>
              <w14:schemeClr w14:val="tx1"/>
            </w14:solidFill>
          </w14:textFill>
        </w:rPr>
        <w:t>生活污水</w:t>
      </w:r>
      <w:r>
        <w:rPr>
          <w:rFonts w:hint="eastAsia"/>
          <w:bCs/>
          <w:snapToGrid w:val="0"/>
          <w:color w:val="000000" w:themeColor="text1"/>
          <w14:textFill>
            <w14:solidFill>
              <w14:schemeClr w14:val="tx1"/>
            </w14:solidFill>
          </w14:textFill>
        </w:rPr>
        <w:t>环境影响。</w:t>
      </w:r>
    </w:p>
    <w:p w14:paraId="0692383E">
      <w:pPr>
        <w:snapToGrid w:val="0"/>
        <w:ind w:firstLine="480"/>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（4）运行期无大气污染物、工业废水、工业固体废物产生，主要环境影响为工频电场、工频磁场、噪声。</w:t>
      </w:r>
    </w:p>
    <w:p w14:paraId="328460F1">
      <w:pPr>
        <w:snapToGrid w:val="0"/>
        <w:ind w:firstLine="480"/>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（5）</w:t>
      </w:r>
      <w:r>
        <w:rPr>
          <w:rFonts w:hint="eastAsia"/>
          <w:bCs/>
          <w:snapToGrid w:val="0"/>
          <w:color w:val="000000" w:themeColor="text1"/>
          <w:lang w:val="en-US" w:eastAsia="zh-CN"/>
          <w14:textFill>
            <w14:solidFill>
              <w14:schemeClr w14:val="tx1"/>
            </w14:solidFill>
          </w14:textFill>
        </w:rPr>
        <w:t>根据现场调查，</w:t>
      </w:r>
      <w:r>
        <w:rPr>
          <w:rFonts w:hint="eastAsia"/>
          <w:bCs/>
          <w:snapToGrid w:val="0"/>
          <w:color w:val="000000" w:themeColor="text1"/>
          <w14:textFill>
            <w14:solidFill>
              <w14:schemeClr w14:val="tx1"/>
            </w14:solidFill>
          </w14:textFill>
        </w:rPr>
        <w:t>输电线路评价范围内不涉及电磁环境敏感目标、声环境保护目标及生态保护目标</w:t>
      </w:r>
      <w:r>
        <w:rPr>
          <w:rFonts w:hint="eastAsia"/>
          <w:bCs/>
          <w:snapToGrid w:val="0"/>
          <w:color w:val="000000" w:themeColor="text1"/>
          <w:lang w:eastAsia="zh-CN"/>
          <w14:textFill>
            <w14:solidFill>
              <w14:schemeClr w14:val="tx1"/>
            </w14:solidFill>
          </w14:textFill>
        </w:rPr>
        <w:t>；</w:t>
      </w:r>
      <w:r>
        <w:rPr>
          <w:rFonts w:hint="eastAsia"/>
          <w:bCs/>
          <w:snapToGrid w:val="0"/>
          <w:color w:val="000000" w:themeColor="text1"/>
          <w:lang w:val="en-US" w:eastAsia="zh-CN"/>
          <w14:textFill>
            <w14:solidFill>
              <w14:schemeClr w14:val="tx1"/>
            </w14:solidFill>
          </w14:textFill>
        </w:rPr>
        <w:t>根据预测和类比结果可知，</w:t>
      </w:r>
      <w:r>
        <w:rPr>
          <w:rFonts w:hint="eastAsia"/>
          <w:bCs/>
          <w:snapToGrid w:val="0"/>
          <w:color w:val="000000" w:themeColor="text1"/>
          <w14:textFill>
            <w14:solidFill>
              <w14:schemeClr w14:val="tx1"/>
            </w14:solidFill>
          </w14:textFill>
        </w:rPr>
        <w:t>运行期线路沿线电磁环境、声环境均能满足相关限值要求。</w:t>
      </w:r>
    </w:p>
    <w:p w14:paraId="1B87BCCB">
      <w:pPr>
        <w:pStyle w:val="3"/>
        <w:spacing w:before="120" w:beforeLines="50" w:after="120" w:afterLines="50"/>
        <w:rPr>
          <w:color w:val="000000" w:themeColor="text1"/>
          <w14:textFill>
            <w14:solidFill>
              <w14:schemeClr w14:val="tx1"/>
            </w14:solidFill>
          </w14:textFill>
        </w:rPr>
      </w:pPr>
      <w:bookmarkStart w:id="76" w:name="_Toc15569"/>
      <w:bookmarkStart w:id="77" w:name="_Toc17843"/>
      <w:bookmarkStart w:id="78" w:name="_Toc29700"/>
      <w:bookmarkStart w:id="79" w:name="_Toc27275"/>
      <w:bookmarkStart w:id="80" w:name="_Toc1976"/>
      <w:bookmarkStart w:id="81" w:name="_Toc6417"/>
      <w:bookmarkStart w:id="82" w:name="_Toc8092"/>
      <w:bookmarkStart w:id="83" w:name="_Toc29740"/>
      <w:bookmarkStart w:id="84" w:name="_Toc31763"/>
      <w:bookmarkStart w:id="85" w:name="_Toc31356"/>
      <w:bookmarkStart w:id="86" w:name="_Toc23751"/>
      <w:r>
        <w:rPr>
          <w:color w:val="000000" w:themeColor="text1"/>
          <w14:textFill>
            <w14:solidFill>
              <w14:schemeClr w14:val="tx1"/>
            </w14:solidFill>
          </w14:textFill>
        </w:rPr>
        <w:t>1.4</w:t>
      </w:r>
      <w:r>
        <w:rPr>
          <w:rFonts w:hint="eastAsia"/>
          <w:color w:val="000000" w:themeColor="text1"/>
          <w:lang w:val="en-US" w:eastAsia="zh-CN"/>
          <w14:textFill>
            <w14:solidFill>
              <w14:schemeClr w14:val="tx1"/>
            </w14:solidFill>
          </w14:textFill>
        </w:rPr>
        <w:t>生态</w:t>
      </w:r>
      <w:r>
        <w:rPr>
          <w:rFonts w:hint="eastAsia"/>
          <w:color w:val="000000" w:themeColor="text1"/>
          <w14:textFill>
            <w14:solidFill>
              <w14:schemeClr w14:val="tx1"/>
            </w14:solidFill>
          </w14:textFill>
        </w:rPr>
        <w:t>环境影响评价工作过程</w:t>
      </w:r>
      <w:bookmarkEnd w:id="76"/>
      <w:bookmarkEnd w:id="77"/>
      <w:bookmarkEnd w:id="78"/>
      <w:bookmarkEnd w:id="79"/>
      <w:bookmarkEnd w:id="80"/>
      <w:bookmarkEnd w:id="81"/>
      <w:bookmarkEnd w:id="82"/>
      <w:bookmarkEnd w:id="83"/>
      <w:bookmarkEnd w:id="84"/>
      <w:bookmarkEnd w:id="85"/>
      <w:bookmarkEnd w:id="86"/>
    </w:p>
    <w:p w14:paraId="416276E9">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根据《建设项目环境影响评价分类管理名录》（</w:t>
      </w:r>
      <w:r>
        <w:rPr>
          <w:color w:val="000000" w:themeColor="text1"/>
          <w14:textFill>
            <w14:solidFill>
              <w14:schemeClr w14:val="tx1"/>
            </w14:solidFill>
          </w14:textFill>
        </w:rPr>
        <w:t>2021</w:t>
      </w:r>
      <w:r>
        <w:rPr>
          <w:rFonts w:hint="eastAsia"/>
          <w:color w:val="000000" w:themeColor="text1"/>
          <w14:textFill>
            <w14:solidFill>
              <w14:schemeClr w14:val="tx1"/>
            </w14:solidFill>
          </w14:textFill>
        </w:rPr>
        <w:t>版），本项目属于“五十五、核与辐射”中“</w:t>
      </w:r>
      <w:r>
        <w:rPr>
          <w:color w:val="000000" w:themeColor="text1"/>
          <w14:textFill>
            <w14:solidFill>
              <w14:schemeClr w14:val="tx1"/>
            </w14:solidFill>
          </w14:textFill>
        </w:rPr>
        <w:t>161</w:t>
      </w:r>
      <w:r>
        <w:rPr>
          <w:rFonts w:hint="eastAsia"/>
          <w:color w:val="000000" w:themeColor="text1"/>
          <w14:textFill>
            <w14:solidFill>
              <w14:schemeClr w14:val="tx1"/>
            </w14:solidFill>
          </w14:textFill>
        </w:rPr>
        <w:t>输变电工程”项的“</w:t>
      </w:r>
      <w:r>
        <w:rPr>
          <w:color w:val="000000" w:themeColor="text1"/>
          <w14:textFill>
            <w14:solidFill>
              <w14:schemeClr w14:val="tx1"/>
            </w14:solidFill>
          </w14:textFill>
        </w:rPr>
        <w:t>500kV</w:t>
      </w:r>
      <w:r>
        <w:rPr>
          <w:rFonts w:hint="eastAsia"/>
          <w:color w:val="000000" w:themeColor="text1"/>
          <w14:textFill>
            <w14:solidFill>
              <w14:schemeClr w14:val="tx1"/>
            </w14:solidFill>
          </w14:textFill>
        </w:rPr>
        <w:t>及以上的；涉及环境敏感区的</w:t>
      </w:r>
      <w:r>
        <w:rPr>
          <w:color w:val="000000" w:themeColor="text1"/>
          <w14:textFill>
            <w14:solidFill>
              <w14:schemeClr w14:val="tx1"/>
            </w14:solidFill>
          </w14:textFill>
        </w:rPr>
        <w:t>330kV</w:t>
      </w:r>
      <w:r>
        <w:rPr>
          <w:rFonts w:hint="eastAsia"/>
          <w:color w:val="000000" w:themeColor="text1"/>
          <w14:textFill>
            <w14:solidFill>
              <w14:schemeClr w14:val="tx1"/>
            </w14:solidFill>
          </w14:textFill>
        </w:rPr>
        <w:t>及以上的”，应编制</w:t>
      </w:r>
      <w:r>
        <w:rPr>
          <w:rFonts w:hint="eastAsia"/>
          <w:color w:val="000000" w:themeColor="text1"/>
          <w:lang w:val="en-US" w:eastAsia="zh-CN"/>
          <w14:textFill>
            <w14:solidFill>
              <w14:schemeClr w14:val="tx1"/>
            </w14:solidFill>
          </w14:textFill>
        </w:rPr>
        <w:t>生态</w:t>
      </w:r>
      <w:r>
        <w:rPr>
          <w:rFonts w:hint="eastAsia"/>
          <w:color w:val="000000" w:themeColor="text1"/>
          <w14:textFill>
            <w14:solidFill>
              <w14:schemeClr w14:val="tx1"/>
            </w14:solidFill>
          </w14:textFill>
        </w:rPr>
        <w:t>环境影响报告书。</w:t>
      </w:r>
    </w:p>
    <w:p w14:paraId="7978A733">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根据《中华人民共和国生态环境法典》《建设项目环境保护管理条例》《建设项目环境影响评价分类管理名录》的相关规定，</w:t>
      </w:r>
      <w:r>
        <w:rPr>
          <w:color w:val="000000" w:themeColor="text1"/>
          <w14:textFill>
            <w14:solidFill>
              <w14:schemeClr w14:val="tx1"/>
            </w14:solidFill>
          </w14:textFill>
        </w:rPr>
        <w:t>202</w:t>
      </w:r>
      <w:r>
        <w:rPr>
          <w:rFonts w:hint="eastAsia"/>
          <w:color w:val="000000" w:themeColor="text1"/>
          <w14:textFill>
            <w14:solidFill>
              <w14:schemeClr w14:val="tx1"/>
            </w14:solidFill>
          </w14:textFill>
        </w:rPr>
        <w:t>5年3月，</w:t>
      </w:r>
      <w:r>
        <w:rPr>
          <w:rFonts w:ascii="宋体" w:hAnsi="宋体" w:cs="宋体"/>
          <w:color w:val="000000" w:themeColor="text1"/>
          <w14:textFill>
            <w14:solidFill>
              <w14:schemeClr w14:val="tx1"/>
            </w14:solidFill>
          </w14:textFill>
        </w:rPr>
        <w:t>国网新疆电力有限公司</w:t>
      </w:r>
      <w:r>
        <w:rPr>
          <w:rFonts w:hint="eastAsia" w:ascii="宋体" w:hAnsi="宋体" w:cs="宋体"/>
          <w:color w:val="000000" w:themeColor="text1"/>
          <w14:textFill>
            <w14:solidFill>
              <w14:schemeClr w14:val="tx1"/>
            </w14:solidFill>
          </w14:textFill>
        </w:rPr>
        <w:t>建设分公司</w:t>
      </w:r>
      <w:r>
        <w:rPr>
          <w:rFonts w:hint="eastAsia"/>
          <w:color w:val="000000" w:themeColor="text1"/>
          <w14:textFill>
            <w14:solidFill>
              <w14:schemeClr w14:val="tx1"/>
            </w14:solidFill>
          </w14:textFill>
        </w:rPr>
        <w:t>委托南京国环科技股份有限公司承担该工程</w:t>
      </w:r>
      <w:r>
        <w:rPr>
          <w:rFonts w:hint="eastAsia"/>
          <w:color w:val="000000" w:themeColor="text1"/>
          <w:lang w:val="en-US" w:eastAsia="zh-CN"/>
          <w14:textFill>
            <w14:solidFill>
              <w14:schemeClr w14:val="tx1"/>
            </w14:solidFill>
          </w14:textFill>
        </w:rPr>
        <w:t>生态</w:t>
      </w:r>
      <w:r>
        <w:rPr>
          <w:rFonts w:hint="eastAsia"/>
          <w:color w:val="000000" w:themeColor="text1"/>
          <w14:textFill>
            <w14:solidFill>
              <w14:schemeClr w14:val="tx1"/>
            </w14:solidFill>
          </w14:textFill>
        </w:rPr>
        <w:t>环境影响评价工作。接受委托后，评价单位收集了工程可研报告及图纸等技术资料，对现场进行了踏勘，确定了本工程的评价因子、评价范围、评价重点等，在工程分析和环境现状调查的基础上针对工程建设对环境的影响进行了分析、预测和评价，提出了本工程的环境保护措施。按照技术导则等有关规范的要求，编制完成了《疆电（南疆）送电川渝特高压配套火电750千伏送出工程</w:t>
      </w:r>
      <w:r>
        <w:rPr>
          <w:rFonts w:hint="eastAsia"/>
          <w:color w:val="000000" w:themeColor="text1"/>
          <w:lang w:val="en-US" w:eastAsia="zh-CN"/>
          <w14:textFill>
            <w14:solidFill>
              <w14:schemeClr w14:val="tx1"/>
            </w14:solidFill>
          </w14:textFill>
        </w:rPr>
        <w:t>生态</w:t>
      </w:r>
      <w:r>
        <w:rPr>
          <w:color w:val="000000" w:themeColor="text1"/>
          <w:kern w:val="0"/>
          <w14:textFill>
            <w14:solidFill>
              <w14:schemeClr w14:val="tx1"/>
            </w14:solidFill>
          </w14:textFill>
        </w:rPr>
        <w:t>环境影响</w:t>
      </w:r>
      <w:r>
        <w:rPr>
          <w:color w:val="000000" w:themeColor="text1"/>
          <w14:textFill>
            <w14:solidFill>
              <w14:schemeClr w14:val="tx1"/>
            </w14:solidFill>
          </w14:textFill>
        </w:rPr>
        <w:t>报告书</w:t>
      </w:r>
      <w:r>
        <w:rPr>
          <w:rFonts w:hint="eastAsia"/>
          <w:color w:val="000000" w:themeColor="text1"/>
          <w14:textFill>
            <w14:solidFill>
              <w14:schemeClr w14:val="tx1"/>
            </w14:solidFill>
          </w14:textFill>
        </w:rPr>
        <w:t>》（送审稿）。</w:t>
      </w:r>
    </w:p>
    <w:p w14:paraId="24B3589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环境影响评价一般分为三个阶段，即调查分析和工作方案制定阶段，分析论证和预测评价阶段，</w:t>
      </w:r>
      <w:r>
        <w:rPr>
          <w:rFonts w:hint="eastAsia"/>
          <w:color w:val="000000" w:themeColor="text1"/>
          <w:lang w:val="en-US" w:eastAsia="zh-CN"/>
          <w14:textFill>
            <w14:solidFill>
              <w14:schemeClr w14:val="tx1"/>
            </w14:solidFill>
          </w14:textFill>
        </w:rPr>
        <w:t>生态</w:t>
      </w:r>
      <w:r>
        <w:rPr>
          <w:rFonts w:hint="eastAsia"/>
          <w:color w:val="000000" w:themeColor="text1"/>
          <w14:textFill>
            <w14:solidFill>
              <w14:schemeClr w14:val="tx1"/>
            </w14:solidFill>
          </w14:textFill>
        </w:rPr>
        <w:t>环境影响报告书编制阶段，具体工作程序，见图</w:t>
      </w:r>
      <w:r>
        <w:rPr>
          <w:color w:val="000000" w:themeColor="text1"/>
          <w14:textFill>
            <w14:solidFill>
              <w14:schemeClr w14:val="tx1"/>
            </w14:solidFill>
          </w14:textFill>
        </w:rPr>
        <w:t>1.4-1</w:t>
      </w:r>
      <w:r>
        <w:rPr>
          <w:rFonts w:hint="eastAsia"/>
          <w:color w:val="000000" w:themeColor="text1"/>
          <w14:textFill>
            <w14:solidFill>
              <w14:schemeClr w14:val="tx1"/>
            </w14:solidFill>
          </w14:textFill>
        </w:rPr>
        <w:t>。</w:t>
      </w:r>
    </w:p>
    <w:p w14:paraId="0F59BB6C">
      <w:pPr>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8120" cy="5058410"/>
            <wp:effectExtent l="0" t="0" r="17780" b="8890"/>
            <wp:docPr id="3" name="图片 2" descr="C:\Users\cd\Documents\Tencent Files\243761800\FileRecv\MobileFile\Image\1%NHZ5`9%K)4EYIIIL1QN1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cd\Documents\Tencent Files\243761800\FileRecv\MobileFile\Image\1%NHZ5`9%K)4EYIIIL1QN1L.png"/>
                    <pic:cNvPicPr>
                      <a:picLocks noChangeAspect="1"/>
                    </pic:cNvPicPr>
                  </pic:nvPicPr>
                  <pic:blipFill>
                    <a:blip r:embed="rId19"/>
                    <a:stretch>
                      <a:fillRect/>
                    </a:stretch>
                  </pic:blipFill>
                  <pic:spPr>
                    <a:xfrm>
                      <a:off x="0" y="0"/>
                      <a:ext cx="5278120" cy="5058410"/>
                    </a:xfrm>
                    <a:prstGeom prst="rect">
                      <a:avLst/>
                    </a:prstGeom>
                    <a:noFill/>
                    <a:ln>
                      <a:noFill/>
                    </a:ln>
                  </pic:spPr>
                </pic:pic>
              </a:graphicData>
            </a:graphic>
          </wp:inline>
        </w:drawing>
      </w:r>
    </w:p>
    <w:p w14:paraId="0077E4AC">
      <w:pPr>
        <w:pStyle w:val="38"/>
        <w:ind w:firstLine="422"/>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图</w:t>
      </w:r>
      <w:r>
        <w:rPr>
          <w:bCs/>
          <w:color w:val="000000" w:themeColor="text1"/>
          <w14:textFill>
            <w14:solidFill>
              <w14:schemeClr w14:val="tx1"/>
            </w14:solidFill>
          </w14:textFill>
        </w:rPr>
        <w:t xml:space="preserve">1.4-1  </w:t>
      </w:r>
      <w:r>
        <w:rPr>
          <w:rFonts w:hint="eastAsia"/>
          <w:bCs/>
          <w:color w:val="000000" w:themeColor="text1"/>
          <w:lang w:val="en-US" w:eastAsia="zh-CN"/>
          <w14:textFill>
            <w14:solidFill>
              <w14:schemeClr w14:val="tx1"/>
            </w14:solidFill>
          </w14:textFill>
        </w:rPr>
        <w:t>生态</w:t>
      </w:r>
      <w:r>
        <w:rPr>
          <w:rFonts w:hint="eastAsia"/>
          <w:bCs/>
          <w:color w:val="000000" w:themeColor="text1"/>
          <w14:textFill>
            <w14:solidFill>
              <w14:schemeClr w14:val="tx1"/>
            </w14:solidFill>
          </w14:textFill>
        </w:rPr>
        <w:t>环境影响评价工作程序图</w:t>
      </w:r>
    </w:p>
    <w:p w14:paraId="128C4413">
      <w:pPr>
        <w:pStyle w:val="3"/>
        <w:spacing w:before="120" w:beforeLines="50" w:after="120" w:afterLines="50"/>
        <w:rPr>
          <w:color w:val="000000" w:themeColor="text1"/>
          <w14:textFill>
            <w14:solidFill>
              <w14:schemeClr w14:val="tx1"/>
            </w14:solidFill>
          </w14:textFill>
        </w:rPr>
      </w:pPr>
      <w:bookmarkStart w:id="87" w:name="_Toc15295"/>
      <w:bookmarkStart w:id="88" w:name="_Toc31330"/>
      <w:bookmarkStart w:id="89" w:name="_Toc25811"/>
      <w:bookmarkStart w:id="90" w:name="_Toc30935"/>
      <w:bookmarkStart w:id="91" w:name="_Toc24266"/>
      <w:bookmarkStart w:id="92" w:name="_Toc16849"/>
      <w:bookmarkStart w:id="93" w:name="_Toc27171"/>
      <w:bookmarkStart w:id="94" w:name="_Toc13813"/>
      <w:bookmarkStart w:id="95" w:name="_Toc349"/>
      <w:bookmarkStart w:id="96" w:name="_Toc26094"/>
      <w:bookmarkStart w:id="97" w:name="_Toc6150"/>
      <w:r>
        <w:rPr>
          <w:color w:val="000000" w:themeColor="text1"/>
          <w14:textFill>
            <w14:solidFill>
              <w14:schemeClr w14:val="tx1"/>
            </w14:solidFill>
          </w14:textFill>
        </w:rPr>
        <w:t>1.5</w:t>
      </w:r>
      <w:r>
        <w:rPr>
          <w:rFonts w:hint="eastAsia"/>
          <w:color w:val="000000" w:themeColor="text1"/>
          <w14:textFill>
            <w14:solidFill>
              <w14:schemeClr w14:val="tx1"/>
            </w14:solidFill>
          </w14:textFill>
        </w:rPr>
        <w:t>分析判定情况</w:t>
      </w:r>
      <w:bookmarkEnd w:id="87"/>
      <w:bookmarkEnd w:id="88"/>
      <w:bookmarkEnd w:id="89"/>
      <w:bookmarkEnd w:id="90"/>
      <w:bookmarkEnd w:id="91"/>
      <w:bookmarkEnd w:id="92"/>
      <w:bookmarkEnd w:id="93"/>
      <w:bookmarkEnd w:id="94"/>
      <w:bookmarkEnd w:id="95"/>
      <w:bookmarkEnd w:id="96"/>
      <w:bookmarkEnd w:id="97"/>
    </w:p>
    <w:p w14:paraId="2A1C391D">
      <w:pPr>
        <w:ind w:firstLine="480"/>
        <w:rPr>
          <w:color w:val="000000" w:themeColor="text1"/>
          <w14:textFill>
            <w14:solidFill>
              <w14:schemeClr w14:val="tx1"/>
            </w14:solidFill>
          </w14:textFill>
        </w:rPr>
      </w:pPr>
      <w:bookmarkStart w:id="98" w:name="_Toc2964"/>
      <w:bookmarkStart w:id="99" w:name="_Toc3797"/>
      <w:bookmarkStart w:id="100" w:name="_Toc15841"/>
      <w:bookmarkStart w:id="101" w:name="_Toc32064"/>
      <w:bookmarkStart w:id="102" w:name="_Toc23367"/>
      <w:bookmarkStart w:id="103" w:name="_Toc23776"/>
      <w:bookmarkStart w:id="104" w:name="_Toc29552"/>
      <w:bookmarkStart w:id="105" w:name="_Toc24073"/>
      <w:bookmarkStart w:id="106" w:name="_Toc13458"/>
      <w:bookmarkStart w:id="107" w:name="_Toc11860"/>
      <w:r>
        <w:rPr>
          <w:rFonts w:hint="eastAsia"/>
          <w:color w:val="000000" w:themeColor="text1"/>
          <w14:textFill>
            <w14:solidFill>
              <w14:schemeClr w14:val="tx1"/>
            </w14:solidFill>
          </w14:textFill>
        </w:rPr>
        <w:t>（1）与产业政策的相符性</w:t>
      </w:r>
      <w:bookmarkEnd w:id="98"/>
      <w:bookmarkEnd w:id="99"/>
      <w:r>
        <w:rPr>
          <w:rFonts w:hint="eastAsia"/>
          <w:color w:val="000000" w:themeColor="text1"/>
          <w14:textFill>
            <w14:solidFill>
              <w14:schemeClr w14:val="tx1"/>
            </w14:solidFill>
          </w14:textFill>
        </w:rPr>
        <w:t>分析</w:t>
      </w:r>
      <w:bookmarkEnd w:id="100"/>
      <w:bookmarkEnd w:id="101"/>
      <w:bookmarkEnd w:id="102"/>
      <w:bookmarkEnd w:id="103"/>
      <w:bookmarkEnd w:id="104"/>
      <w:bookmarkEnd w:id="105"/>
      <w:bookmarkEnd w:id="106"/>
      <w:bookmarkEnd w:id="107"/>
    </w:p>
    <w:p w14:paraId="17C7D2F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本工程为输变电工程，属于国家发展和改革委员会令第7号《产业结构调整指导目录》（2024年版）中“鼓励类”项目（第四项电力第2条，电网改造与建设），符合国家产业政策。</w:t>
      </w:r>
    </w:p>
    <w:p w14:paraId="67F4D2C9">
      <w:pPr>
        <w:ind w:firstLine="480"/>
        <w:rPr>
          <w:color w:val="000000" w:themeColor="text1"/>
          <w14:textFill>
            <w14:solidFill>
              <w14:schemeClr w14:val="tx1"/>
            </w14:solidFill>
          </w14:textFill>
        </w:rPr>
      </w:pPr>
      <w:bookmarkStart w:id="108" w:name="_Toc12306"/>
      <w:bookmarkStart w:id="109" w:name="_Toc30770"/>
      <w:bookmarkStart w:id="110" w:name="_Toc18901"/>
      <w:bookmarkStart w:id="111" w:name="_Toc30475"/>
      <w:bookmarkStart w:id="112" w:name="_Toc13051"/>
      <w:bookmarkStart w:id="113" w:name="_Toc23419"/>
      <w:bookmarkStart w:id="114" w:name="_Toc21676"/>
      <w:bookmarkStart w:id="115" w:name="_Toc29722"/>
      <w:bookmarkStart w:id="116" w:name="_Toc29376"/>
      <w:bookmarkStart w:id="117" w:name="_Toc4323"/>
      <w:bookmarkStart w:id="118" w:name="_Toc23406"/>
      <w:bookmarkStart w:id="119" w:name="_Toc19797"/>
      <w:r>
        <w:rPr>
          <w:rFonts w:hint="eastAsia"/>
          <w:color w:val="000000" w:themeColor="text1"/>
          <w14:textFill>
            <w14:solidFill>
              <w14:schemeClr w14:val="tx1"/>
            </w14:solidFill>
          </w14:textFill>
        </w:rPr>
        <w:t>（2）</w:t>
      </w:r>
      <w:bookmarkEnd w:id="108"/>
      <w:bookmarkEnd w:id="109"/>
      <w:bookmarkEnd w:id="110"/>
      <w:bookmarkEnd w:id="111"/>
      <w:bookmarkEnd w:id="112"/>
      <w:bookmarkEnd w:id="113"/>
      <w:bookmarkEnd w:id="114"/>
      <w:bookmarkEnd w:id="115"/>
      <w:bookmarkEnd w:id="116"/>
      <w:bookmarkEnd w:id="117"/>
      <w:r>
        <w:rPr>
          <w:rFonts w:hint="eastAsia"/>
          <w:color w:val="000000" w:themeColor="text1"/>
          <w14:textFill>
            <w14:solidFill>
              <w14:schemeClr w14:val="tx1"/>
            </w14:solidFill>
          </w14:textFill>
        </w:rPr>
        <w:t>与《新疆维吾尔自治区“十四五”电力发展规划》相符性分析</w:t>
      </w:r>
    </w:p>
    <w:p w14:paraId="3647600B">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本项目建设可以进一步完善750千伏主网架结构，增强750千伏重要断面输送能力，提升全疆能源资源优化配置能力。符合《新疆维吾尔自治区“十四五”电力发展规划的通知》相关要求。</w:t>
      </w:r>
    </w:p>
    <w:p w14:paraId="6B3C6142">
      <w:pPr>
        <w:tabs>
          <w:tab w:val="left" w:pos="907"/>
          <w:tab w:val="left" w:pos="1034"/>
          <w:tab w:val="left" w:pos="3360"/>
        </w:tabs>
        <w:adjustRightInd w:val="0"/>
        <w:ind w:firstLine="480"/>
        <w:rPr>
          <w:color w:val="000000" w:themeColor="text1"/>
          <w14:textFill>
            <w14:solidFill>
              <w14:schemeClr w14:val="tx1"/>
            </w14:solidFill>
          </w14:textFill>
        </w:rPr>
      </w:pPr>
      <w:bookmarkStart w:id="120" w:name="_Toc6194"/>
      <w:bookmarkStart w:id="121" w:name="_Toc22602"/>
      <w:bookmarkStart w:id="122" w:name="_Toc17273"/>
      <w:bookmarkStart w:id="123" w:name="_Toc14126"/>
      <w:bookmarkStart w:id="124" w:name="_Toc20546"/>
      <w:bookmarkStart w:id="125" w:name="_Toc514"/>
      <w:bookmarkStart w:id="126" w:name="_Toc5401"/>
      <w:bookmarkStart w:id="127" w:name="_Toc16660"/>
      <w:r>
        <w:rPr>
          <w:rFonts w:hint="eastAsia"/>
          <w:color w:val="000000" w:themeColor="text1"/>
          <w14:textFill>
            <w14:solidFill>
              <w14:schemeClr w14:val="tx1"/>
            </w14:solidFill>
          </w14:textFill>
        </w:rPr>
        <w:t>（3）与新疆生态环境保护“十四五”规划相符性分析</w:t>
      </w:r>
    </w:p>
    <w:p w14:paraId="066C03F6">
      <w:pPr>
        <w:ind w:firstLine="480"/>
        <w:rPr>
          <w:color w:val="000000" w:themeColor="text1"/>
          <w:highlight w:val="yellow"/>
          <w14:textFill>
            <w14:solidFill>
              <w14:schemeClr w14:val="tx1"/>
            </w14:solidFill>
          </w14:textFill>
        </w:rPr>
      </w:pPr>
      <w:r>
        <w:rPr>
          <w:color w:val="000000" w:themeColor="text1"/>
          <w14:textFill>
            <w14:solidFill>
              <w14:schemeClr w14:val="tx1"/>
            </w14:solidFill>
          </w14:textFill>
        </w:rPr>
        <w:t>本工程为</w:t>
      </w:r>
      <w:r>
        <w:rPr>
          <w:rFonts w:hint="eastAsia"/>
          <w:color w:val="000000" w:themeColor="text1"/>
          <w14:textFill>
            <w14:solidFill>
              <w14:schemeClr w14:val="tx1"/>
            </w14:solidFill>
          </w14:textFill>
        </w:rPr>
        <w:t>新建输变电</w:t>
      </w:r>
      <w:r>
        <w:rPr>
          <w:color w:val="000000" w:themeColor="text1"/>
          <w14:textFill>
            <w14:solidFill>
              <w14:schemeClr w14:val="tx1"/>
            </w14:solidFill>
          </w14:textFill>
        </w:rPr>
        <w:t>工程，</w:t>
      </w:r>
      <w:r>
        <w:rPr>
          <w:rFonts w:hint="eastAsia"/>
          <w:color w:val="000000" w:themeColor="text1"/>
          <w14:textFill>
            <w14:solidFill>
              <w14:schemeClr w14:val="tx1"/>
            </w14:solidFill>
          </w14:textFill>
        </w:rPr>
        <w:t>属于清洁能源（电力）输送项目</w:t>
      </w:r>
      <w:r>
        <w:rPr>
          <w:color w:val="000000" w:themeColor="text1"/>
          <w14:textFill>
            <w14:solidFill>
              <w14:schemeClr w14:val="tx1"/>
            </w14:solidFill>
          </w14:textFill>
        </w:rPr>
        <w:t>，是绿色低碳生活方式的支撑性工程。本项目运行期间不排放废气、废水</w:t>
      </w:r>
      <w:r>
        <w:rPr>
          <w:rFonts w:hint="eastAsia"/>
          <w:color w:val="000000" w:themeColor="text1"/>
          <w14:textFill>
            <w14:solidFill>
              <w14:schemeClr w14:val="tx1"/>
            </w14:solidFill>
          </w14:textFill>
        </w:rPr>
        <w:t>、固废</w:t>
      </w:r>
      <w:r>
        <w:rPr>
          <w:color w:val="000000" w:themeColor="text1"/>
          <w14:textFill>
            <w14:solidFill>
              <w14:schemeClr w14:val="tx1"/>
            </w14:solidFill>
          </w14:textFill>
        </w:rPr>
        <w:t>等污染物</w:t>
      </w:r>
      <w:r>
        <w:rPr>
          <w:rFonts w:hint="eastAsia"/>
          <w:color w:val="000000" w:themeColor="text1"/>
          <w14:textFill>
            <w14:solidFill>
              <w14:schemeClr w14:val="tx1"/>
            </w14:solidFill>
          </w14:textFill>
        </w:rPr>
        <w:t>，不会引起生态环境质量恶化。本项目施工完成后会对临时占地进行平整并恢复植被，对当地生态系统影响较小。</w:t>
      </w:r>
      <w:r>
        <w:rPr>
          <w:rFonts w:hint="eastAsia" w:ascii="宋体" w:hAnsi="宋体"/>
          <w:color w:val="000000" w:themeColor="text1"/>
          <w14:textFill>
            <w14:solidFill>
              <w14:schemeClr w14:val="tx1"/>
            </w14:solidFill>
          </w14:textFill>
        </w:rPr>
        <w:t>因此本项目建设符合</w:t>
      </w:r>
      <w:r>
        <w:rPr>
          <w:rFonts w:hint="eastAsia"/>
          <w:color w:val="000000" w:themeColor="text1"/>
          <w14:textFill>
            <w14:solidFill>
              <w14:schemeClr w14:val="tx1"/>
            </w14:solidFill>
          </w14:textFill>
        </w:rPr>
        <w:t>《新疆生态环境保护“十四五”规划》的相关要求。</w:t>
      </w:r>
      <w:bookmarkEnd w:id="118"/>
      <w:bookmarkEnd w:id="119"/>
      <w:bookmarkEnd w:id="120"/>
      <w:bookmarkEnd w:id="121"/>
      <w:bookmarkEnd w:id="122"/>
      <w:bookmarkEnd w:id="123"/>
      <w:bookmarkEnd w:id="124"/>
      <w:bookmarkEnd w:id="125"/>
      <w:bookmarkEnd w:id="126"/>
      <w:bookmarkEnd w:id="127"/>
    </w:p>
    <w:p w14:paraId="78E0A5E4">
      <w:pPr>
        <w:ind w:firstLine="480"/>
        <w:rPr>
          <w:color w:val="000000" w:themeColor="text1"/>
          <w14:textFill>
            <w14:solidFill>
              <w14:schemeClr w14:val="tx1"/>
            </w14:solidFill>
          </w14:textFill>
        </w:rPr>
      </w:pPr>
      <w:bookmarkStart w:id="128" w:name="_Toc19424"/>
      <w:bookmarkStart w:id="129" w:name="_Toc24356"/>
      <w:bookmarkStart w:id="130" w:name="_Toc18975"/>
      <w:bookmarkStart w:id="131" w:name="_Toc10232"/>
      <w:bookmarkStart w:id="132" w:name="_Toc15509"/>
      <w:bookmarkStart w:id="133" w:name="_Toc16806"/>
      <w:bookmarkStart w:id="134" w:name="_Toc4203"/>
      <w:bookmarkStart w:id="135" w:name="_Toc11446"/>
      <w:bookmarkStart w:id="136" w:name="_Toc6789"/>
      <w:bookmarkStart w:id="137" w:name="_Toc27555"/>
      <w:bookmarkStart w:id="138" w:name="_Toc582"/>
      <w:r>
        <w:rPr>
          <w:rFonts w:hint="eastAsia"/>
          <w:color w:val="000000" w:themeColor="text1"/>
          <w14:textFill>
            <w14:solidFill>
              <w14:schemeClr w14:val="tx1"/>
            </w14:solidFill>
          </w14:textFill>
        </w:rPr>
        <w:t>（4）与生态环境分区管控政策的相符性分析</w:t>
      </w:r>
      <w:bookmarkEnd w:id="128"/>
      <w:bookmarkEnd w:id="129"/>
      <w:bookmarkEnd w:id="130"/>
      <w:bookmarkEnd w:id="131"/>
      <w:bookmarkEnd w:id="132"/>
      <w:bookmarkEnd w:id="133"/>
      <w:bookmarkEnd w:id="134"/>
      <w:bookmarkEnd w:id="135"/>
      <w:bookmarkEnd w:id="136"/>
      <w:bookmarkEnd w:id="137"/>
    </w:p>
    <w:bookmarkEnd w:id="138"/>
    <w:p w14:paraId="5D491E80">
      <w:pPr>
        <w:ind w:firstLine="480"/>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本工程满足</w:t>
      </w:r>
      <w:bookmarkStart w:id="139" w:name="_Hlk199148591"/>
      <w:r>
        <w:rPr>
          <w:color w:val="000000" w:themeColor="text1"/>
          <w14:textFill>
            <w14:solidFill>
              <w14:schemeClr w14:val="tx1"/>
            </w14:solidFill>
          </w14:textFill>
        </w:rPr>
        <w:t>《新疆维吾尔自治区生态环境分区管控动态更新成果》（新环环评发（2024）157号）</w:t>
      </w:r>
      <w:bookmarkEnd w:id="139"/>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关于印发巴音郭楞蒙古自治州“三线一单”生态环境分区管控动态更新成果（2023年）的通知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中的一般管控单元相关要求，</w:t>
      </w:r>
      <w:r>
        <w:rPr>
          <w:color w:val="000000" w:themeColor="text1"/>
          <w14:textFill>
            <w14:solidFill>
              <w14:schemeClr w14:val="tx1"/>
            </w14:solidFill>
          </w14:textFill>
        </w:rPr>
        <w:t>运行期不排放废气、废水，不属于污染类项目，本工程建成后工频电场、工频磁场、噪声均满足相应标准要求，符合生态环境质量底线要求</w:t>
      </w:r>
      <w:r>
        <w:rPr>
          <w:rFonts w:hint="eastAsia"/>
          <w:color w:val="000000" w:themeColor="text1"/>
          <w14:textFill>
            <w14:solidFill>
              <w14:schemeClr w14:val="tx1"/>
            </w14:solidFill>
          </w14:textFill>
        </w:rPr>
        <w:t>，项目建设符合生态环境分区管控要求。</w:t>
      </w:r>
    </w:p>
    <w:p w14:paraId="59240C4F">
      <w:pPr>
        <w:keepNext/>
        <w:keepLines/>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与《输变电建设项目环境保护技术要求》的相符性分析</w:t>
      </w:r>
    </w:p>
    <w:p w14:paraId="56F91D8C">
      <w:pPr>
        <w:ind w:firstLine="480"/>
        <w:rPr>
          <w:color w:val="000000" w:themeColor="text1"/>
          <w14:textFill>
            <w14:solidFill>
              <w14:schemeClr w14:val="tx1"/>
            </w14:solidFill>
          </w14:textFill>
        </w:rPr>
      </w:pPr>
      <w:r>
        <w:rPr>
          <w:color w:val="000000" w:themeColor="text1"/>
          <w14:textFill>
            <w14:solidFill>
              <w14:schemeClr w14:val="tx1"/>
            </w14:solidFill>
          </w14:textFill>
        </w:rPr>
        <w:t>本工程为</w:t>
      </w:r>
      <w:r>
        <w:rPr>
          <w:rFonts w:hint="eastAsia"/>
          <w:color w:val="000000" w:themeColor="text1"/>
          <w14:textFill>
            <w14:solidFill>
              <w14:schemeClr w14:val="tx1"/>
            </w14:solidFill>
          </w14:textFill>
        </w:rPr>
        <w:t>新建输变电</w:t>
      </w:r>
      <w:r>
        <w:rPr>
          <w:color w:val="000000" w:themeColor="text1"/>
          <w14:textFill>
            <w14:solidFill>
              <w14:schemeClr w14:val="tx1"/>
            </w14:solidFill>
          </w14:textFill>
        </w:rPr>
        <w:t>工程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不涉及环境敏感区及0类声环境功能区。本项目在设计、施工和运行期均采取了一系列环境保护措施，从电磁环境防护、声环境保护、水环境保护、施工期扬尘污染控制、固废处置、生态保护等方面降低工程的环境影响。因此，本项目与《输变电建设项目环境保护技术要求》是相符的。</w:t>
      </w:r>
    </w:p>
    <w:p w14:paraId="2DEF5E73">
      <w:pPr>
        <w:pStyle w:val="3"/>
        <w:spacing w:before="120" w:beforeLines="50" w:after="120" w:afterLines="50"/>
        <w:rPr>
          <w:color w:val="000000" w:themeColor="text1"/>
          <w14:textFill>
            <w14:solidFill>
              <w14:schemeClr w14:val="tx1"/>
            </w14:solidFill>
          </w14:textFill>
        </w:rPr>
      </w:pPr>
      <w:bookmarkStart w:id="140" w:name="_Toc29044"/>
      <w:bookmarkStart w:id="141" w:name="_Toc669"/>
      <w:bookmarkStart w:id="142" w:name="_Toc17761"/>
      <w:bookmarkStart w:id="143" w:name="_Toc19617"/>
      <w:bookmarkStart w:id="144" w:name="_Toc19428"/>
      <w:bookmarkStart w:id="145" w:name="_Toc4605"/>
      <w:bookmarkStart w:id="146" w:name="_Toc26750"/>
      <w:bookmarkStart w:id="147" w:name="_Toc1884"/>
      <w:bookmarkStart w:id="148" w:name="_Toc26452"/>
      <w:bookmarkStart w:id="149" w:name="_Toc22222"/>
      <w:bookmarkStart w:id="150" w:name="_Toc6070"/>
      <w:r>
        <w:rPr>
          <w:color w:val="000000" w:themeColor="text1"/>
          <w14:textFill>
            <w14:solidFill>
              <w14:schemeClr w14:val="tx1"/>
            </w14:solidFill>
          </w14:textFill>
        </w:rPr>
        <w:t>1.6</w:t>
      </w:r>
      <w:bookmarkEnd w:id="140"/>
      <w:bookmarkEnd w:id="141"/>
      <w:bookmarkEnd w:id="142"/>
      <w:bookmarkEnd w:id="143"/>
      <w:bookmarkEnd w:id="144"/>
      <w:bookmarkEnd w:id="145"/>
      <w:bookmarkEnd w:id="146"/>
      <w:bookmarkEnd w:id="147"/>
      <w:r>
        <w:rPr>
          <w:rFonts w:hint="eastAsia"/>
          <w:color w:val="000000" w:themeColor="text1"/>
          <w14:textFill>
            <w14:solidFill>
              <w14:schemeClr w14:val="tx1"/>
            </w14:solidFill>
          </w14:textFill>
        </w:rPr>
        <w:t>关注的主要环境问题</w:t>
      </w:r>
      <w:bookmarkEnd w:id="148"/>
      <w:bookmarkEnd w:id="149"/>
      <w:bookmarkEnd w:id="150"/>
    </w:p>
    <w:p w14:paraId="53072C68">
      <w:pPr>
        <w:ind w:firstLine="480"/>
        <w:rPr>
          <w:color w:val="000000" w:themeColor="text1"/>
          <w14:textFill>
            <w14:solidFill>
              <w14:schemeClr w14:val="tx1"/>
            </w14:solidFill>
          </w14:textFill>
        </w:rPr>
      </w:pPr>
      <w:bookmarkStart w:id="151" w:name="_Toc12630"/>
      <w:bookmarkStart w:id="152" w:name="_Toc23663"/>
      <w:r>
        <w:rPr>
          <w:rFonts w:hint="eastAsia"/>
          <w:color w:val="000000" w:themeColor="text1"/>
          <w14:textFill>
            <w14:solidFill>
              <w14:schemeClr w14:val="tx1"/>
            </w14:solidFill>
          </w14:textFill>
        </w:rPr>
        <w:t>本次评价关注的主要环境问题为：</w:t>
      </w:r>
    </w:p>
    <w:p w14:paraId="553F685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）施工期产生施工噪声、扬尘、</w:t>
      </w:r>
      <w:r>
        <w:rPr>
          <w:rFonts w:hint="eastAsia"/>
          <w:color w:val="000000" w:themeColor="text1"/>
          <w:lang w:val="en-US" w:eastAsia="zh-CN"/>
          <w14:textFill>
            <w14:solidFill>
              <w14:schemeClr w14:val="tx1"/>
            </w14:solidFill>
          </w14:textFill>
        </w:rPr>
        <w:t>生活污水</w:t>
      </w:r>
      <w:r>
        <w:rPr>
          <w:rFonts w:hint="eastAsia"/>
          <w:color w:val="000000" w:themeColor="text1"/>
          <w14:textFill>
            <w14:solidFill>
              <w14:schemeClr w14:val="tx1"/>
            </w14:solidFill>
          </w14:textFill>
        </w:rPr>
        <w:t>、固体废物对周围环境的影响；</w:t>
      </w:r>
    </w:p>
    <w:p w14:paraId="7C920A1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）工程施工对</w:t>
      </w:r>
      <w:r>
        <w:rPr>
          <w:rFonts w:hint="eastAsia"/>
          <w:color w:val="000000" w:themeColor="text1"/>
          <w:lang w:val="en-US" w:eastAsia="zh-CN"/>
          <w14:textFill>
            <w14:solidFill>
              <w14:schemeClr w14:val="tx1"/>
            </w14:solidFill>
          </w14:textFill>
        </w:rPr>
        <w:t>环境的</w:t>
      </w:r>
      <w:r>
        <w:rPr>
          <w:rFonts w:hint="eastAsia"/>
          <w:color w:val="000000" w:themeColor="text1"/>
          <w14:textFill>
            <w14:solidFill>
              <w14:schemeClr w14:val="tx1"/>
            </w14:solidFill>
          </w14:textFill>
        </w:rPr>
        <w:t>影响（如植被破坏、土地占用、水土流失等）；</w:t>
      </w:r>
    </w:p>
    <w:p w14:paraId="099B3C87">
      <w:pPr>
        <w:widowControl/>
        <w:ind w:firstLine="48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（3）运行期产生的工频电场、工频磁场、噪声对周围环境的影响。</w:t>
      </w:r>
    </w:p>
    <w:bookmarkEnd w:id="151"/>
    <w:bookmarkEnd w:id="152"/>
    <w:p w14:paraId="236DC4DC">
      <w:pPr>
        <w:pStyle w:val="3"/>
        <w:spacing w:before="120" w:beforeLines="50" w:after="120" w:afterLines="50"/>
        <w:rPr>
          <w:color w:val="000000" w:themeColor="text1"/>
          <w14:textFill>
            <w14:solidFill>
              <w14:schemeClr w14:val="tx1"/>
            </w14:solidFill>
          </w14:textFill>
        </w:rPr>
      </w:pPr>
      <w:bookmarkStart w:id="153" w:name="_Toc26955"/>
      <w:bookmarkStart w:id="154" w:name="_Toc13935"/>
      <w:bookmarkStart w:id="155" w:name="_Toc25321"/>
      <w:bookmarkStart w:id="156" w:name="_Toc2304"/>
      <w:bookmarkStart w:id="157" w:name="_Toc30479"/>
      <w:bookmarkStart w:id="158" w:name="_Toc1003"/>
      <w:bookmarkStart w:id="159" w:name="_Toc22132"/>
      <w:bookmarkStart w:id="160" w:name="_Toc20326"/>
      <w:bookmarkStart w:id="161" w:name="_Toc14634"/>
      <w:bookmarkStart w:id="162" w:name="_Toc4022"/>
      <w:bookmarkStart w:id="163" w:name="_Toc21303"/>
      <w:r>
        <w:rPr>
          <w:color w:val="000000" w:themeColor="text1"/>
          <w14:textFill>
            <w14:solidFill>
              <w14:schemeClr w14:val="tx1"/>
            </w14:solidFill>
          </w14:textFill>
        </w:rPr>
        <w:t>1.7</w:t>
      </w:r>
      <w:r>
        <w:rPr>
          <w:rFonts w:hint="eastAsia"/>
          <w:color w:val="000000" w:themeColor="text1"/>
          <w14:textFill>
            <w14:solidFill>
              <w14:schemeClr w14:val="tx1"/>
            </w14:solidFill>
          </w14:textFill>
        </w:rPr>
        <w:t>主要评价结论</w:t>
      </w:r>
      <w:bookmarkEnd w:id="153"/>
      <w:bookmarkEnd w:id="154"/>
      <w:bookmarkEnd w:id="155"/>
      <w:bookmarkEnd w:id="156"/>
      <w:bookmarkEnd w:id="157"/>
      <w:bookmarkEnd w:id="158"/>
      <w:bookmarkEnd w:id="159"/>
      <w:bookmarkEnd w:id="160"/>
      <w:bookmarkEnd w:id="161"/>
      <w:bookmarkEnd w:id="162"/>
      <w:bookmarkEnd w:id="163"/>
    </w:p>
    <w:p w14:paraId="45260024">
      <w:pPr>
        <w:ind w:firstLine="480"/>
        <w:rPr>
          <w:color w:val="000000" w:themeColor="text1"/>
          <w14:textFill>
            <w14:solidFill>
              <w14:schemeClr w14:val="tx1"/>
            </w14:solidFill>
          </w14:textFill>
        </w:rPr>
      </w:pPr>
      <w:r>
        <w:rPr>
          <w:bCs/>
          <w:snapToGrid w:val="0"/>
          <w:color w:val="000000" w:themeColor="text1"/>
          <w14:textFill>
            <w14:solidFill>
              <w14:schemeClr w14:val="tx1"/>
            </w14:solidFill>
          </w14:textFill>
        </w:rPr>
        <w:t>本项目属国家发改委《产业结构调整指导目录（20</w:t>
      </w:r>
      <w:r>
        <w:rPr>
          <w:rFonts w:hint="eastAsia"/>
          <w:bCs/>
          <w:snapToGrid w:val="0"/>
          <w:color w:val="000000" w:themeColor="text1"/>
          <w14:textFill>
            <w14:solidFill>
              <w14:schemeClr w14:val="tx1"/>
            </w14:solidFill>
          </w14:textFill>
        </w:rPr>
        <w:t>24</w:t>
      </w:r>
      <w:r>
        <w:rPr>
          <w:bCs/>
          <w:snapToGrid w:val="0"/>
          <w:color w:val="000000" w:themeColor="text1"/>
          <w14:textFill>
            <w14:solidFill>
              <w14:schemeClr w14:val="tx1"/>
            </w14:solidFill>
          </w14:textFill>
        </w:rPr>
        <w:t>年本）》中鼓励类项目。工程建设符合国家产业政策、环保政策和相关规划，当地公众支持本工程建设。工程在设计、施工、运行阶段将按照国家相关环境保护要求，分别采取一系列的环境保护措施来减小工程的环境影响。在严格执行本报告书提出的各项环境保护措施后，可将工程建设对环境的影响控制在国家环保标准要求的范围内，使本工程建设对环境的影响满足国家相关标准要求。因此，从环保角度分析，本工程的建设是合理可行的。</w:t>
      </w:r>
    </w:p>
    <w:p w14:paraId="5DE04536">
      <w:pPr>
        <w:widowControl/>
        <w:ind w:firstLine="720"/>
        <w:jc w:val="left"/>
        <w:rPr>
          <w:color w:val="000000" w:themeColor="text1"/>
          <w:kern w:val="0"/>
          <w:sz w:val="36"/>
          <w:szCs w:val="36"/>
          <w14:textFill>
            <w14:solidFill>
              <w14:schemeClr w14:val="tx1"/>
            </w14:solidFill>
          </w14:textFill>
        </w:rPr>
        <w:sectPr>
          <w:footerReference r:id="rId13" w:type="default"/>
          <w:pgSz w:w="11906" w:h="16838"/>
          <w:pgMar w:top="1440" w:right="1800" w:bottom="1440" w:left="1800" w:header="851" w:footer="850" w:gutter="0"/>
          <w:pgNumType w:start="1"/>
          <w:cols w:space="720" w:num="1"/>
          <w:docGrid w:linePitch="286" w:charSpace="0"/>
        </w:sectPr>
      </w:pPr>
    </w:p>
    <w:p w14:paraId="7FCC042D">
      <w:pPr>
        <w:pStyle w:val="2"/>
        <w:spacing w:before="120" w:beforeLines="50" w:after="120" w:afterLines="50"/>
        <w:rPr>
          <w:color w:val="000000" w:themeColor="text1"/>
          <w14:textFill>
            <w14:solidFill>
              <w14:schemeClr w14:val="tx1"/>
            </w14:solidFill>
          </w14:textFill>
        </w:rPr>
      </w:pPr>
      <w:bookmarkStart w:id="164" w:name="_Toc4473"/>
      <w:bookmarkStart w:id="165" w:name="_Toc27878"/>
      <w:bookmarkStart w:id="166" w:name="_Toc11151"/>
      <w:bookmarkStart w:id="167" w:name="_Toc345"/>
      <w:bookmarkStart w:id="168" w:name="_Toc7205"/>
      <w:bookmarkStart w:id="169" w:name="_Toc2946"/>
      <w:bookmarkStart w:id="170" w:name="_Toc21556"/>
      <w:bookmarkStart w:id="171" w:name="_Toc26583"/>
      <w:bookmarkStart w:id="172" w:name="_Toc24160"/>
      <w:bookmarkStart w:id="173" w:name="_Toc31945"/>
      <w:bookmarkStart w:id="174" w:name="_Toc1085"/>
      <w:r>
        <w:rPr>
          <w:color w:val="000000" w:themeColor="text1"/>
          <w14:textFill>
            <w14:solidFill>
              <w14:schemeClr w14:val="tx1"/>
            </w14:solidFill>
          </w14:textFill>
        </w:rPr>
        <w:t>2</w:t>
      </w:r>
      <w:r>
        <w:rPr>
          <w:rFonts w:hint="eastAsia"/>
          <w:color w:val="000000" w:themeColor="text1"/>
          <w14:textFill>
            <w14:solidFill>
              <w14:schemeClr w14:val="tx1"/>
            </w14:solidFill>
          </w14:textFill>
        </w:rPr>
        <w:t>总则</w:t>
      </w:r>
      <w:bookmarkEnd w:id="164"/>
      <w:bookmarkEnd w:id="165"/>
      <w:bookmarkEnd w:id="166"/>
      <w:bookmarkEnd w:id="167"/>
      <w:bookmarkEnd w:id="168"/>
      <w:bookmarkEnd w:id="169"/>
      <w:bookmarkEnd w:id="170"/>
      <w:bookmarkEnd w:id="171"/>
      <w:bookmarkEnd w:id="172"/>
      <w:bookmarkEnd w:id="173"/>
      <w:bookmarkEnd w:id="174"/>
    </w:p>
    <w:p w14:paraId="50C93133">
      <w:pPr>
        <w:pStyle w:val="3"/>
        <w:spacing w:before="120" w:beforeLines="50" w:after="120" w:afterLines="50"/>
        <w:rPr>
          <w:color w:val="000000" w:themeColor="text1"/>
          <w14:textFill>
            <w14:solidFill>
              <w14:schemeClr w14:val="tx1"/>
            </w14:solidFill>
          </w14:textFill>
        </w:rPr>
      </w:pPr>
      <w:bookmarkStart w:id="175" w:name="_Toc5685"/>
      <w:bookmarkStart w:id="176" w:name="_Toc17647"/>
      <w:bookmarkStart w:id="177" w:name="_Toc28821"/>
      <w:bookmarkStart w:id="178" w:name="_Toc2623"/>
      <w:bookmarkStart w:id="179" w:name="_Toc19229"/>
      <w:bookmarkStart w:id="180" w:name="_Toc14481"/>
      <w:bookmarkStart w:id="181" w:name="_Toc5957"/>
      <w:bookmarkStart w:id="182" w:name="_Toc31035"/>
      <w:bookmarkStart w:id="183" w:name="_Toc4184"/>
      <w:bookmarkStart w:id="184" w:name="_Toc10846"/>
      <w:bookmarkStart w:id="185" w:name="_Toc9901"/>
      <w:r>
        <w:rPr>
          <w:color w:val="000000" w:themeColor="text1"/>
          <w14:textFill>
            <w14:solidFill>
              <w14:schemeClr w14:val="tx1"/>
            </w14:solidFill>
          </w14:textFill>
        </w:rPr>
        <w:t>2.1</w:t>
      </w:r>
      <w:r>
        <w:rPr>
          <w:rFonts w:hint="eastAsia"/>
          <w:color w:val="000000" w:themeColor="text1"/>
          <w14:textFill>
            <w14:solidFill>
              <w14:schemeClr w14:val="tx1"/>
            </w14:solidFill>
          </w14:textFill>
        </w:rPr>
        <w:t>编制依据</w:t>
      </w:r>
      <w:bookmarkEnd w:id="175"/>
      <w:bookmarkEnd w:id="176"/>
      <w:bookmarkEnd w:id="177"/>
      <w:bookmarkEnd w:id="178"/>
      <w:bookmarkEnd w:id="179"/>
      <w:bookmarkEnd w:id="180"/>
      <w:bookmarkEnd w:id="181"/>
      <w:bookmarkEnd w:id="182"/>
      <w:bookmarkEnd w:id="183"/>
      <w:bookmarkEnd w:id="184"/>
      <w:bookmarkEnd w:id="185"/>
    </w:p>
    <w:p w14:paraId="51715F4C">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186" w:name="_Toc10735"/>
      <w:bookmarkStart w:id="187" w:name="_Toc26868"/>
      <w:bookmarkStart w:id="188" w:name="_Toc28694"/>
      <w:bookmarkStart w:id="189" w:name="_Toc29648"/>
      <w:bookmarkStart w:id="190" w:name="_Toc32421"/>
      <w:bookmarkStart w:id="191" w:name="_Toc25184"/>
      <w:bookmarkStart w:id="192" w:name="_Toc18668"/>
      <w:bookmarkStart w:id="193" w:name="_Toc140"/>
      <w:bookmarkStart w:id="194" w:name="_Toc10316"/>
      <w:bookmarkStart w:id="195" w:name="_Toc28102"/>
      <w:r>
        <w:rPr>
          <w:color w:val="000000" w:themeColor="text1"/>
          <w:sz w:val="28"/>
          <w:szCs w:val="28"/>
          <w14:textFill>
            <w14:solidFill>
              <w14:schemeClr w14:val="tx1"/>
            </w14:solidFill>
          </w14:textFill>
        </w:rPr>
        <w:t>2.1.1</w:t>
      </w:r>
      <w:r>
        <w:rPr>
          <w:rFonts w:hint="eastAsia"/>
          <w:color w:val="000000" w:themeColor="text1"/>
          <w:sz w:val="28"/>
          <w:szCs w:val="28"/>
          <w14:textFill>
            <w14:solidFill>
              <w14:schemeClr w14:val="tx1"/>
            </w14:solidFill>
          </w14:textFill>
        </w:rPr>
        <w:t>国家法律、法规</w:t>
      </w:r>
      <w:bookmarkEnd w:id="186"/>
      <w:bookmarkEnd w:id="187"/>
      <w:bookmarkEnd w:id="188"/>
      <w:bookmarkEnd w:id="189"/>
      <w:bookmarkEnd w:id="190"/>
      <w:bookmarkEnd w:id="191"/>
      <w:bookmarkEnd w:id="192"/>
      <w:bookmarkEnd w:id="193"/>
      <w:bookmarkEnd w:id="194"/>
      <w:bookmarkEnd w:id="195"/>
    </w:p>
    <w:p w14:paraId="12B92699">
      <w:pPr>
        <w:numPr>
          <w:ilvl w:val="0"/>
          <w:numId w:val="1"/>
        </w:numPr>
        <w:ind w:firstLine="480"/>
        <w:rPr>
          <w:color w:val="000000" w:themeColor="text1"/>
          <w14:textFill>
            <w14:solidFill>
              <w14:schemeClr w14:val="tx1"/>
            </w14:solidFill>
          </w14:textFill>
        </w:rPr>
      </w:pPr>
      <w:bookmarkStart w:id="196" w:name="_Toc432166935"/>
      <w:r>
        <w:rPr>
          <w:rFonts w:hint="eastAsia"/>
          <w:color w:val="000000" w:themeColor="text1"/>
          <w14:textFill>
            <w14:solidFill>
              <w14:schemeClr w14:val="tx1"/>
            </w14:solidFill>
          </w14:textFill>
        </w:rPr>
        <w:t>《中华人民共和国生态环境法典》（</w:t>
      </w:r>
      <w:r>
        <w:rPr>
          <w:color w:val="000000" w:themeColor="text1"/>
          <w14:textFill>
            <w14:solidFill>
              <w14:schemeClr w14:val="tx1"/>
            </w14:solidFill>
          </w14:textFill>
        </w:rPr>
        <w:t>20</w:t>
      </w:r>
      <w:r>
        <w:rPr>
          <w:rFonts w:hint="eastAsia"/>
          <w:color w:val="000000" w:themeColor="text1"/>
          <w:lang w:val="en-US" w:eastAsia="zh-CN"/>
          <w14:textFill>
            <w14:solidFill>
              <w14:schemeClr w14:val="tx1"/>
            </w14:solidFill>
          </w14:textFill>
        </w:rPr>
        <w:t>26</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15</w:t>
      </w:r>
      <w:r>
        <w:rPr>
          <w:rFonts w:hint="eastAsia"/>
          <w:color w:val="000000" w:themeColor="text1"/>
          <w14:textFill>
            <w14:solidFill>
              <w14:schemeClr w14:val="tx1"/>
            </w14:solidFill>
          </w14:textFill>
        </w:rPr>
        <w:t>日起实施）；</w:t>
      </w:r>
    </w:p>
    <w:p w14:paraId="640A7A5F">
      <w:pPr>
        <w:numPr>
          <w:ilvl w:val="0"/>
          <w:numId w:val="1"/>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《中华人民共和国水土保持法》（</w:t>
      </w:r>
      <w:r>
        <w:rPr>
          <w:color w:val="000000" w:themeColor="text1"/>
          <w14:textFill>
            <w14:solidFill>
              <w14:schemeClr w14:val="tx1"/>
            </w14:solidFill>
          </w14:textFill>
        </w:rPr>
        <w:t>2011</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日起实施）；</w:t>
      </w:r>
    </w:p>
    <w:p w14:paraId="25CF0CFB">
      <w:pPr>
        <w:numPr>
          <w:ilvl w:val="0"/>
          <w:numId w:val="1"/>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《中华人民共和国防沙治沙法》（</w:t>
      </w:r>
      <w:r>
        <w:rPr>
          <w:color w:val="000000" w:themeColor="text1"/>
          <w14:textFill>
            <w14:solidFill>
              <w14:schemeClr w14:val="tx1"/>
            </w14:solidFill>
          </w14:textFill>
        </w:rPr>
        <w:t>2018</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10</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26</w:t>
      </w:r>
      <w:r>
        <w:rPr>
          <w:rFonts w:hint="eastAsia"/>
          <w:color w:val="000000" w:themeColor="text1"/>
          <w14:textFill>
            <w14:solidFill>
              <w14:schemeClr w14:val="tx1"/>
            </w14:solidFill>
          </w14:textFill>
        </w:rPr>
        <w:t>日修订并施行）；</w:t>
      </w:r>
    </w:p>
    <w:p w14:paraId="1331B14F">
      <w:pPr>
        <w:numPr>
          <w:ilvl w:val="0"/>
          <w:numId w:val="1"/>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《中华人民共和国电力法》（</w:t>
      </w:r>
      <w:r>
        <w:rPr>
          <w:color w:val="000000" w:themeColor="text1"/>
          <w14:textFill>
            <w14:solidFill>
              <w14:schemeClr w14:val="tx1"/>
            </w14:solidFill>
          </w14:textFill>
        </w:rPr>
        <w:t>2018</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12</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29</w:t>
      </w:r>
      <w:r>
        <w:rPr>
          <w:rFonts w:hint="eastAsia"/>
          <w:color w:val="000000" w:themeColor="text1"/>
          <w14:textFill>
            <w14:solidFill>
              <w14:schemeClr w14:val="tx1"/>
            </w14:solidFill>
          </w14:textFill>
        </w:rPr>
        <w:t>日修订并施行）；</w:t>
      </w:r>
    </w:p>
    <w:p w14:paraId="746BD90C">
      <w:pPr>
        <w:numPr>
          <w:ilvl w:val="0"/>
          <w:numId w:val="1"/>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《建设项目环境保护管理条例》（</w:t>
      </w:r>
      <w:r>
        <w:rPr>
          <w:color w:val="000000" w:themeColor="text1"/>
          <w14:textFill>
            <w14:solidFill>
              <w14:schemeClr w14:val="tx1"/>
            </w14:solidFill>
          </w14:textFill>
        </w:rPr>
        <w:t>2017</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10</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日施行）；</w:t>
      </w:r>
    </w:p>
    <w:p w14:paraId="48A6CAFC">
      <w:pPr>
        <w:numPr>
          <w:ilvl w:val="0"/>
          <w:numId w:val="1"/>
        </w:numPr>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《电力设施保护条例》（</w:t>
      </w:r>
      <w:r>
        <w:rPr>
          <w:color w:val="000000" w:themeColor="text1"/>
          <w14:textFill>
            <w14:solidFill>
              <w14:schemeClr w14:val="tx1"/>
            </w14:solidFill>
          </w14:textFill>
        </w:rPr>
        <w:t>2011</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8</w:t>
      </w:r>
      <w:r>
        <w:rPr>
          <w:rFonts w:hint="eastAsia"/>
          <w:color w:val="000000" w:themeColor="text1"/>
          <w14:textFill>
            <w14:solidFill>
              <w14:schemeClr w14:val="tx1"/>
            </w14:solidFill>
          </w14:textFill>
        </w:rPr>
        <w:t>日第二次修订并施行）；</w:t>
      </w:r>
      <w:bookmarkEnd w:id="196"/>
      <w:bookmarkStart w:id="197" w:name="_Toc4406"/>
      <w:bookmarkStart w:id="198" w:name="_Toc8442"/>
    </w:p>
    <w:p w14:paraId="2CC1438C">
      <w:pPr>
        <w:numPr>
          <w:ilvl w:val="0"/>
          <w:numId w:val="1"/>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《中华人民共和国野生动物保护法》（2022年12月30日第十三届全国人民代表大会常务委员会第三十八次会议第二次修订）；</w:t>
      </w:r>
    </w:p>
    <w:p w14:paraId="454ADB18">
      <w:pPr>
        <w:numPr>
          <w:ilvl w:val="0"/>
          <w:numId w:val="1"/>
        </w:numPr>
        <w:ind w:firstLine="480"/>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中华人民共和国陆生野生动物保护实施条例</w:t>
      </w:r>
      <w:r>
        <w:rPr>
          <w:rFonts w:hint="eastAsia"/>
          <w:color w:val="000000" w:themeColor="text1"/>
          <w:lang w:eastAsia="zh-CN"/>
          <w14:textFill>
            <w14:solidFill>
              <w14:schemeClr w14:val="tx1"/>
            </w14:solidFill>
          </w14:textFill>
        </w:rPr>
        <w:t>》（林策通字〔1992〕29号）；</w:t>
      </w:r>
    </w:p>
    <w:p w14:paraId="0CD00F8D">
      <w:pPr>
        <w:numPr>
          <w:ilvl w:val="0"/>
          <w:numId w:val="1"/>
        </w:numPr>
        <w:ind w:firstLine="480"/>
        <w:rPr>
          <w:color w:val="000000" w:themeColor="text1"/>
          <w14:textFill>
            <w14:solidFill>
              <w14:schemeClr w14:val="tx1"/>
            </w14:solidFill>
          </w14:textFill>
        </w:rPr>
      </w:pPr>
      <w:r>
        <w:rPr>
          <w:rFonts w:hint="eastAsia" w:eastAsia="宋体"/>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中华人民共和国草原法</w:t>
      </w:r>
      <w:r>
        <w:rPr>
          <w:rFonts w:hint="eastAsia" w:eastAsia="宋体"/>
          <w:color w:val="000000" w:themeColor="text1"/>
          <w:lang w:eastAsia="zh-CN"/>
          <w14:textFill>
            <w14:solidFill>
              <w14:schemeClr w14:val="tx1"/>
            </w14:solidFill>
          </w14:textFill>
        </w:rPr>
        <w:t>》（</w:t>
      </w:r>
      <w:r>
        <w:rPr>
          <w:rFonts w:hint="eastAsia" w:eastAsia="宋体"/>
          <w:color w:val="000000" w:themeColor="text1"/>
          <w:lang w:val="en-US" w:eastAsia="zh-CN"/>
          <w14:textFill>
            <w14:solidFill>
              <w14:schemeClr w14:val="tx1"/>
            </w14:solidFill>
          </w14:textFill>
        </w:rPr>
        <w:t>根据2021年4月29日第十三届全国人民代表大会常务委员会第二十八次会议第三次修正）。</w:t>
      </w:r>
    </w:p>
    <w:p w14:paraId="24F14C6C">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199" w:name="_Toc30649"/>
      <w:bookmarkStart w:id="200" w:name="_Toc19063"/>
      <w:bookmarkStart w:id="201" w:name="_Toc25447"/>
      <w:bookmarkStart w:id="202" w:name="_Toc19042"/>
      <w:bookmarkStart w:id="203" w:name="_Toc2616"/>
      <w:bookmarkStart w:id="204" w:name="_Toc5555"/>
      <w:bookmarkStart w:id="205" w:name="_Toc8170"/>
      <w:bookmarkStart w:id="206" w:name="_Toc22509"/>
      <w:r>
        <w:rPr>
          <w:color w:val="000000" w:themeColor="text1"/>
          <w:sz w:val="28"/>
          <w:szCs w:val="28"/>
          <w14:textFill>
            <w14:solidFill>
              <w14:schemeClr w14:val="tx1"/>
            </w14:solidFill>
          </w14:textFill>
        </w:rPr>
        <w:t>2.1.2</w:t>
      </w:r>
      <w:r>
        <w:rPr>
          <w:rFonts w:hint="eastAsia"/>
          <w:color w:val="000000" w:themeColor="text1"/>
          <w:sz w:val="28"/>
          <w:szCs w:val="28"/>
          <w14:textFill>
            <w14:solidFill>
              <w14:schemeClr w14:val="tx1"/>
            </w14:solidFill>
          </w14:textFill>
        </w:rPr>
        <w:t>部委规章</w:t>
      </w:r>
      <w:bookmarkEnd w:id="197"/>
      <w:bookmarkEnd w:id="198"/>
      <w:bookmarkEnd w:id="199"/>
      <w:bookmarkEnd w:id="200"/>
      <w:bookmarkEnd w:id="201"/>
      <w:bookmarkEnd w:id="202"/>
      <w:bookmarkEnd w:id="203"/>
      <w:bookmarkEnd w:id="204"/>
      <w:bookmarkEnd w:id="205"/>
      <w:r>
        <w:rPr>
          <w:rFonts w:hint="eastAsia"/>
          <w:color w:val="000000" w:themeColor="text1"/>
          <w:sz w:val="28"/>
          <w:szCs w:val="28"/>
          <w14:textFill>
            <w14:solidFill>
              <w14:schemeClr w14:val="tx1"/>
            </w14:solidFill>
          </w14:textFill>
        </w:rPr>
        <w:t>及规范性文件</w:t>
      </w:r>
      <w:bookmarkEnd w:id="206"/>
    </w:p>
    <w:p w14:paraId="580D878D">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《产业结构调整指导目录》（2024年版）（中华人民共和国国家发展和改革委员会第7号令，自2024年2月1日起实施）；</w:t>
      </w:r>
    </w:p>
    <w:p w14:paraId="1A160E88">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《建设项目环境影响评价政府信息公开指南》（试行）（环办〔</w:t>
      </w:r>
      <w:r>
        <w:rPr>
          <w:color w:val="000000" w:themeColor="text1"/>
          <w14:textFill>
            <w14:solidFill>
              <w14:schemeClr w14:val="tx1"/>
            </w14:solidFill>
          </w14:textFill>
        </w:rPr>
        <w:t>2013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103</w:t>
      </w:r>
      <w:r>
        <w:rPr>
          <w:rFonts w:hint="eastAsia"/>
          <w:color w:val="000000" w:themeColor="text1"/>
          <w14:textFill>
            <w14:solidFill>
              <w14:schemeClr w14:val="tx1"/>
            </w14:solidFill>
          </w14:textFill>
        </w:rPr>
        <w:t>号）；</w:t>
      </w:r>
    </w:p>
    <w:p w14:paraId="5B3836DF">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《建设项目环境影响评价分类管理名录（</w:t>
      </w:r>
      <w:r>
        <w:rPr>
          <w:color w:val="000000" w:themeColor="text1"/>
          <w14:textFill>
            <w14:solidFill>
              <w14:schemeClr w14:val="tx1"/>
            </w14:solidFill>
          </w14:textFill>
        </w:rPr>
        <w:t>2021</w:t>
      </w:r>
      <w:r>
        <w:rPr>
          <w:rFonts w:hint="eastAsia"/>
          <w:color w:val="000000" w:themeColor="text1"/>
          <w14:textFill>
            <w14:solidFill>
              <w14:schemeClr w14:val="tx1"/>
            </w14:solidFill>
          </w14:textFill>
        </w:rPr>
        <w:t>年版）》（部令第</w:t>
      </w:r>
      <w:r>
        <w:rPr>
          <w:color w:val="000000" w:themeColor="text1"/>
          <w14:textFill>
            <w14:solidFill>
              <w14:schemeClr w14:val="tx1"/>
            </w14:solidFill>
          </w14:textFill>
        </w:rPr>
        <w:t>16</w:t>
      </w:r>
      <w:r>
        <w:rPr>
          <w:rFonts w:hint="eastAsia"/>
          <w:color w:val="000000" w:themeColor="text1"/>
          <w14:textFill>
            <w14:solidFill>
              <w14:schemeClr w14:val="tx1"/>
            </w14:solidFill>
          </w14:textFill>
        </w:rPr>
        <w:t>号，</w:t>
      </w:r>
      <w:r>
        <w:rPr>
          <w:color w:val="000000" w:themeColor="text1"/>
          <w14:textFill>
            <w14:solidFill>
              <w14:schemeClr w14:val="tx1"/>
            </w14:solidFill>
          </w14:textFill>
        </w:rPr>
        <w:t>2021</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日起施行）；</w:t>
      </w:r>
    </w:p>
    <w:p w14:paraId="169DDD16">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《国家危险废物名录》（</w:t>
      </w:r>
      <w:r>
        <w:rPr>
          <w:color w:val="000000" w:themeColor="text1"/>
          <w14:textFill>
            <w14:solidFill>
              <w14:schemeClr w14:val="tx1"/>
            </w14:solidFill>
          </w14:textFill>
        </w:rPr>
        <w:t>202</w:t>
      </w:r>
      <w:r>
        <w:rPr>
          <w:rFonts w:hint="eastAsia"/>
          <w:color w:val="000000" w:themeColor="text1"/>
          <w14:textFill>
            <w14:solidFill>
              <w14:schemeClr w14:val="tx1"/>
            </w14:solidFill>
          </w14:textFill>
        </w:rPr>
        <w:t>5版）（部令第36号，</w:t>
      </w:r>
      <w:r>
        <w:rPr>
          <w:color w:val="000000" w:themeColor="text1"/>
          <w14:textFill>
            <w14:solidFill>
              <w14:schemeClr w14:val="tx1"/>
            </w14:solidFill>
          </w14:textFill>
        </w:rPr>
        <w:t>202</w:t>
      </w:r>
      <w:r>
        <w:rPr>
          <w:rFonts w:hint="eastAsia"/>
          <w:color w:val="000000" w:themeColor="text1"/>
          <w14:textFill>
            <w14:solidFill>
              <w14:schemeClr w14:val="tx1"/>
            </w14:solidFill>
          </w14:textFill>
        </w:rPr>
        <w:t>5年</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日施行）；</w:t>
      </w:r>
    </w:p>
    <w:p w14:paraId="413740D3">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《国家重点保护野生动物名录》（国家林业和草原局</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农业农村部公告</w:t>
      </w:r>
      <w:r>
        <w:rPr>
          <w:color w:val="000000" w:themeColor="text1"/>
          <w14:textFill>
            <w14:solidFill>
              <w14:schemeClr w14:val="tx1"/>
            </w14:solidFill>
          </w14:textFill>
        </w:rPr>
        <w:t>2021</w:t>
      </w:r>
      <w:r>
        <w:rPr>
          <w:rFonts w:hint="eastAsia"/>
          <w:color w:val="000000" w:themeColor="text1"/>
          <w14:textFill>
            <w14:solidFill>
              <w14:schemeClr w14:val="tx1"/>
            </w14:solidFill>
          </w14:textFill>
        </w:rPr>
        <w:t>年第</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号）；</w:t>
      </w:r>
    </w:p>
    <w:p w14:paraId="7FBEC274">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《国家重点保护野生植物名录》（国家林业和草原局</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农业农村部公告（</w:t>
      </w:r>
      <w:r>
        <w:rPr>
          <w:color w:val="000000" w:themeColor="text1"/>
          <w14:textFill>
            <w14:solidFill>
              <w14:schemeClr w14:val="tx1"/>
            </w14:solidFill>
          </w14:textFill>
        </w:rPr>
        <w:t>2021</w:t>
      </w:r>
      <w:r>
        <w:rPr>
          <w:rFonts w:hint="eastAsia"/>
          <w:color w:val="000000" w:themeColor="text1"/>
          <w14:textFill>
            <w14:solidFill>
              <w14:schemeClr w14:val="tx1"/>
            </w14:solidFill>
          </w14:textFill>
        </w:rPr>
        <w:t>年第</w:t>
      </w:r>
      <w:r>
        <w:rPr>
          <w:color w:val="000000" w:themeColor="text1"/>
          <w14:textFill>
            <w14:solidFill>
              <w14:schemeClr w14:val="tx1"/>
            </w14:solidFill>
          </w14:textFill>
        </w:rPr>
        <w:t>15</w:t>
      </w:r>
      <w:r>
        <w:rPr>
          <w:rFonts w:hint="eastAsia"/>
          <w:color w:val="000000" w:themeColor="text1"/>
          <w14:textFill>
            <w14:solidFill>
              <w14:schemeClr w14:val="tx1"/>
            </w14:solidFill>
          </w14:textFill>
        </w:rPr>
        <w:t>号））；</w:t>
      </w:r>
    </w:p>
    <w:p w14:paraId="59087B55">
      <w:pPr>
        <w:numPr>
          <w:ilvl w:val="0"/>
          <w:numId w:val="2"/>
        </w:numPr>
        <w:ind w:firstLine="480"/>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《陆生野生动物重要栖息地名录（第一批）》（</w:t>
      </w:r>
      <w:r>
        <w:rPr>
          <w:rFonts w:hint="eastAsia"/>
          <w:color w:val="000000" w:themeColor="text1"/>
          <w14:textFill>
            <w14:solidFill>
              <w14:schemeClr w14:val="tx1"/>
            </w14:solidFill>
          </w14:textFill>
        </w:rPr>
        <w:t>国家林草局</w:t>
      </w:r>
      <w:r>
        <w:rPr>
          <w:rFonts w:hint="eastAsia"/>
          <w:color w:val="000000" w:themeColor="text1"/>
          <w:lang w:val="en-US" w:eastAsia="zh-CN"/>
          <w14:textFill>
            <w14:solidFill>
              <w14:schemeClr w14:val="tx1"/>
            </w14:solidFill>
          </w14:textFill>
        </w:rPr>
        <w:t xml:space="preserve">公告 </w:t>
      </w:r>
      <w:r>
        <w:rPr>
          <w:rFonts w:hint="eastAsia"/>
          <w:color w:val="000000" w:themeColor="text1"/>
          <w14:textFill>
            <w14:solidFill>
              <w14:schemeClr w14:val="tx1"/>
            </w14:solidFill>
          </w14:textFill>
        </w:rPr>
        <w:t>2023年第23号</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14:paraId="5436DA3E">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《电力设施保护条例实施细则》（</w:t>
      </w:r>
      <w:r>
        <w:rPr>
          <w:color w:val="000000" w:themeColor="text1"/>
          <w14:textFill>
            <w14:solidFill>
              <w14:schemeClr w14:val="tx1"/>
            </w14:solidFill>
          </w14:textFill>
        </w:rPr>
        <w:t>2017</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11</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日修订并施行）；</w:t>
      </w:r>
    </w:p>
    <w:p w14:paraId="575F7156">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《关于以改善环境质量为核心加强环境影响评价管理的通知》（环环评〔2016〕150号）；</w:t>
      </w:r>
    </w:p>
    <w:p w14:paraId="038BD0E7">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《关于生态环境领域进一步深化“放管服”改革，推动经济高质量发展的指导意见》（环规财〔2018〕86号）；</w:t>
      </w:r>
    </w:p>
    <w:p w14:paraId="25D9ED89">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《关于在国土空间规划中统筹划定落实三条控制线的指导意见》（厅字〔2019〕48号）</w:t>
      </w:r>
      <w:r>
        <w:rPr>
          <w:rFonts w:hint="eastAsia"/>
          <w:color w:val="000000" w:themeColor="text1"/>
          <w:lang w:eastAsia="zh-CN"/>
          <w14:textFill>
            <w14:solidFill>
              <w14:schemeClr w14:val="tx1"/>
            </w14:solidFill>
          </w14:textFill>
        </w:rPr>
        <w:t>；</w:t>
      </w:r>
    </w:p>
    <w:p w14:paraId="20DDA71D">
      <w:pPr>
        <w:numPr>
          <w:ilvl w:val="0"/>
          <w:numId w:val="2"/>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《环境影响评价公众参与办法》（生态环境部令第</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号，</w:t>
      </w:r>
      <w:r>
        <w:rPr>
          <w:color w:val="000000" w:themeColor="text1"/>
          <w14:textFill>
            <w14:solidFill>
              <w14:schemeClr w14:val="tx1"/>
            </w14:solidFill>
          </w14:textFill>
        </w:rPr>
        <w:t>2019</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日起施行）</w:t>
      </w:r>
      <w:r>
        <w:rPr>
          <w:rFonts w:hint="eastAsia"/>
          <w:color w:val="000000" w:themeColor="text1"/>
          <w:lang w:eastAsia="zh-CN"/>
          <w14:textFill>
            <w14:solidFill>
              <w14:schemeClr w14:val="tx1"/>
            </w14:solidFill>
          </w14:textFill>
        </w:rPr>
        <w:t>；</w:t>
      </w:r>
    </w:p>
    <w:p w14:paraId="347A5C6A">
      <w:pPr>
        <w:numPr>
          <w:ilvl w:val="0"/>
          <w:numId w:val="2"/>
        </w:numPr>
        <w:ind w:firstLine="480"/>
        <w:rPr>
          <w:color w:val="000000" w:themeColor="text1"/>
          <w14:textFill>
            <w14:solidFill>
              <w14:schemeClr w14:val="tx1"/>
            </w14:solidFill>
          </w14:textFill>
        </w:rPr>
      </w:pPr>
      <w:r>
        <w:rPr>
          <w:rFonts w:hint="eastAsia" w:ascii="Times New Roman" w:hAnsi="Times New Roman"/>
          <w:color w:val="000000" w:themeColor="text1"/>
          <w:sz w:val="24"/>
          <w:lang w:val="en-US" w:eastAsia="zh-CN"/>
          <w14:textFill>
            <w14:solidFill>
              <w14:schemeClr w14:val="tx1"/>
            </w14:solidFill>
          </w14:textFill>
        </w:rPr>
        <w:t>《全国水土保持规划国家级水土流失重点预防区和重点治理区复核划分成果》的通知&gt;（办水保</w:t>
      </w:r>
      <w:r>
        <w:rPr>
          <w:rFonts w:hint="eastAsia" w:ascii="宋体" w:hAnsi="宋体" w:eastAsia="宋体" w:cs="宋体"/>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2013</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Times New Roman" w:hAnsi="Times New Roman"/>
          <w:color w:val="000000" w:themeColor="text1"/>
          <w:sz w:val="24"/>
          <w:lang w:val="en-US" w:eastAsia="zh-CN"/>
          <w14:textFill>
            <w14:solidFill>
              <w14:schemeClr w14:val="tx1"/>
            </w14:solidFill>
          </w14:textFill>
        </w:rPr>
        <w:t>188号）。</w:t>
      </w:r>
    </w:p>
    <w:p w14:paraId="55381876">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207" w:name="_Toc17997"/>
      <w:bookmarkStart w:id="208" w:name="_Toc31912"/>
      <w:bookmarkStart w:id="209" w:name="_Toc8196"/>
      <w:bookmarkStart w:id="210" w:name="_Toc26609"/>
      <w:bookmarkStart w:id="211" w:name="_Toc749"/>
      <w:bookmarkStart w:id="212" w:name="_Toc403"/>
      <w:bookmarkStart w:id="213" w:name="_Toc2004"/>
      <w:bookmarkStart w:id="214" w:name="_Toc25981"/>
      <w:bookmarkStart w:id="215" w:name="_Toc13734"/>
      <w:bookmarkStart w:id="216" w:name="_Toc29136"/>
      <w:r>
        <w:rPr>
          <w:color w:val="000000" w:themeColor="text1"/>
          <w:sz w:val="28"/>
          <w:szCs w:val="28"/>
          <w14:textFill>
            <w14:solidFill>
              <w14:schemeClr w14:val="tx1"/>
            </w14:solidFill>
          </w14:textFill>
        </w:rPr>
        <w:t>2.1.3</w:t>
      </w:r>
      <w:r>
        <w:rPr>
          <w:rFonts w:hint="eastAsia"/>
          <w:color w:val="000000" w:themeColor="text1"/>
          <w:sz w:val="28"/>
          <w:szCs w:val="28"/>
          <w14:textFill>
            <w14:solidFill>
              <w14:schemeClr w14:val="tx1"/>
            </w14:solidFill>
          </w14:textFill>
        </w:rPr>
        <w:t>地方性法规</w:t>
      </w:r>
      <w:bookmarkEnd w:id="207"/>
      <w:bookmarkEnd w:id="208"/>
      <w:bookmarkEnd w:id="209"/>
      <w:bookmarkEnd w:id="210"/>
      <w:bookmarkEnd w:id="211"/>
      <w:bookmarkEnd w:id="212"/>
      <w:bookmarkEnd w:id="213"/>
      <w:bookmarkEnd w:id="214"/>
      <w:bookmarkEnd w:id="215"/>
      <w:r>
        <w:rPr>
          <w:rFonts w:hint="eastAsia"/>
          <w:color w:val="000000" w:themeColor="text1"/>
          <w:sz w:val="28"/>
          <w:szCs w:val="28"/>
          <w14:textFill>
            <w14:solidFill>
              <w14:schemeClr w14:val="tx1"/>
            </w14:solidFill>
          </w14:textFill>
        </w:rPr>
        <w:t>及规划</w:t>
      </w:r>
      <w:bookmarkEnd w:id="216"/>
    </w:p>
    <w:p w14:paraId="640F4B6B">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《新疆维吾尔自治区环境保护条例》（</w:t>
      </w:r>
      <w:r>
        <w:rPr>
          <w:color w:val="000000" w:themeColor="text1"/>
          <w14:textFill>
            <w14:solidFill>
              <w14:schemeClr w14:val="tx1"/>
            </w14:solidFill>
          </w14:textFill>
        </w:rPr>
        <w:t>2018</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21</w:t>
      </w:r>
      <w:r>
        <w:rPr>
          <w:rFonts w:hint="eastAsia"/>
          <w:color w:val="000000" w:themeColor="text1"/>
          <w14:textFill>
            <w14:solidFill>
              <w14:schemeClr w14:val="tx1"/>
            </w14:solidFill>
          </w14:textFill>
        </w:rPr>
        <w:t>日）；</w:t>
      </w:r>
    </w:p>
    <w:p w14:paraId="39CD3EEF">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《新疆维吾尔自治区野生植物保护条例》，2018年9月21日，新疆维吾尔自治区十三届人民代表大会常务委员会第六次会议审议第二次修正；</w:t>
      </w:r>
    </w:p>
    <w:p w14:paraId="11F4225B">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《新疆维吾尔自治区大气污染防治条例》（</w:t>
      </w:r>
      <w:r>
        <w:rPr>
          <w:color w:val="000000" w:themeColor="text1"/>
          <w14:textFill>
            <w14:solidFill>
              <w14:schemeClr w14:val="tx1"/>
            </w14:solidFill>
          </w14:textFill>
        </w:rPr>
        <w:t>2019</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日）；</w:t>
      </w:r>
    </w:p>
    <w:p w14:paraId="5DD6B421">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《关于印发新疆维吾尔自治区级水土流失重点预防区和重点治理区复核划分成果的通知》（新水水保〔</w:t>
      </w:r>
      <w:r>
        <w:rPr>
          <w:color w:val="000000" w:themeColor="text1"/>
          <w14:textFill>
            <w14:solidFill>
              <w14:schemeClr w14:val="tx1"/>
            </w14:solidFill>
          </w14:textFill>
        </w:rPr>
        <w:t>2019</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号）；</w:t>
      </w:r>
    </w:p>
    <w:p w14:paraId="10C9433D">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《新疆维吾尔自治区水环境功能区划》（新政函〔</w:t>
      </w:r>
      <w:r>
        <w:rPr>
          <w:color w:val="000000" w:themeColor="text1"/>
          <w14:textFill>
            <w14:solidFill>
              <w14:schemeClr w14:val="tx1"/>
            </w14:solidFill>
          </w14:textFill>
        </w:rPr>
        <w:t>2002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194</w:t>
      </w:r>
      <w:r>
        <w:rPr>
          <w:rFonts w:hint="eastAsia"/>
          <w:color w:val="000000" w:themeColor="text1"/>
          <w14:textFill>
            <w14:solidFill>
              <w14:schemeClr w14:val="tx1"/>
            </w14:solidFill>
          </w14:textFill>
        </w:rPr>
        <w:t>号）；</w:t>
      </w:r>
    </w:p>
    <w:p w14:paraId="14252832">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《新疆维吾尔自治区重点保护野生动物名录（修订）》，2022年9月18日；</w:t>
      </w:r>
    </w:p>
    <w:p w14:paraId="7083C002">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《新疆国家重点保护野生植物名录》（新林护字〔2022〕8号）；</w:t>
      </w:r>
    </w:p>
    <w:p w14:paraId="0969EF43">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《新疆维吾尔自治区重点保护野生植物名录》（新政发〔2023〕63号，2023年12月29日）；</w:t>
      </w:r>
    </w:p>
    <w:p w14:paraId="400C8B6C">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《新疆生态功能区划》（新政函〔</w:t>
      </w:r>
      <w:r>
        <w:rPr>
          <w:color w:val="000000" w:themeColor="text1"/>
          <w14:textFill>
            <w14:solidFill>
              <w14:schemeClr w14:val="tx1"/>
            </w14:solidFill>
          </w14:textFill>
        </w:rPr>
        <w:t>2005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96</w:t>
      </w:r>
      <w:r>
        <w:rPr>
          <w:rFonts w:hint="eastAsia"/>
          <w:color w:val="000000" w:themeColor="text1"/>
          <w14:textFill>
            <w14:solidFill>
              <w14:schemeClr w14:val="tx1"/>
            </w14:solidFill>
          </w14:textFill>
        </w:rPr>
        <w:t>号）；</w:t>
      </w:r>
    </w:p>
    <w:p w14:paraId="3C4D7CE9">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《新疆维吾尔自治区主体功能区规划》（</w:t>
      </w:r>
      <w:r>
        <w:rPr>
          <w:color w:val="000000" w:themeColor="text1"/>
          <w14:textFill>
            <w14:solidFill>
              <w14:schemeClr w14:val="tx1"/>
            </w14:solidFill>
          </w14:textFill>
        </w:rPr>
        <w:t>2012</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12</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27</w:t>
      </w:r>
      <w:r>
        <w:rPr>
          <w:rFonts w:hint="eastAsia"/>
          <w:color w:val="000000" w:themeColor="text1"/>
          <w14:textFill>
            <w14:solidFill>
              <w14:schemeClr w14:val="tx1"/>
            </w14:solidFill>
          </w14:textFill>
        </w:rPr>
        <w:t>日）；</w:t>
      </w:r>
    </w:p>
    <w:p w14:paraId="03BDC5D9">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《新疆生态环境保护“十四五”规划》（</w:t>
      </w:r>
      <w:r>
        <w:rPr>
          <w:color w:val="000000" w:themeColor="text1"/>
          <w14:textFill>
            <w14:solidFill>
              <w14:schemeClr w14:val="tx1"/>
            </w14:solidFill>
          </w14:textFill>
        </w:rPr>
        <w:t>2021</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12</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24</w:t>
      </w:r>
      <w:r>
        <w:rPr>
          <w:rFonts w:hint="eastAsia"/>
          <w:color w:val="000000" w:themeColor="text1"/>
          <w14:textFill>
            <w14:solidFill>
              <w14:schemeClr w14:val="tx1"/>
            </w14:solidFill>
          </w14:textFill>
        </w:rPr>
        <w:t>日）；</w:t>
      </w:r>
    </w:p>
    <w:p w14:paraId="225BC916">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《巴音郭楞蒙古自治州生态环境保护“十四五”规划》；</w:t>
      </w:r>
    </w:p>
    <w:p w14:paraId="363E0DC3">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《新疆维吾尔自治区“十四五”电力发展规划》（新疆维吾尔自治区发展和改革委员会，2022年3月）；</w:t>
      </w:r>
    </w:p>
    <w:p w14:paraId="05A2B13C">
      <w:pPr>
        <w:numPr>
          <w:ilvl w:val="0"/>
          <w:numId w:val="3"/>
        </w:numPr>
        <w:ind w:firstLine="480"/>
        <w:rPr>
          <w:color w:val="000000" w:themeColor="text1"/>
          <w14:textFill>
            <w14:solidFill>
              <w14:schemeClr w14:val="tx1"/>
            </w14:solidFill>
          </w14:textFill>
        </w:rPr>
      </w:pPr>
      <w:r>
        <w:rPr>
          <w:rFonts w:hint="eastAsia"/>
          <w:bCs/>
          <w:color w:val="000000" w:themeColor="text1"/>
          <w14:textFill>
            <w14:solidFill>
              <w14:schemeClr w14:val="tx1"/>
            </w14:solidFill>
          </w14:textFill>
        </w:rPr>
        <w:t>《新疆维吾尔自治区防沙治沙规划（2021-2030）》；</w:t>
      </w:r>
    </w:p>
    <w:p w14:paraId="391E42D0">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新疆维吾尔自治区实施《中华人民共和国防沙治沙法》办法（2024年11月28日修订）；</w:t>
      </w:r>
    </w:p>
    <w:p w14:paraId="4C9B62B5">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自治区党委办公厅自治区人民政府办公厅印发</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关于创新预防体制机制推动新时代水土保持工作高质量发展的实施意见</w:t>
      </w:r>
      <w:r>
        <w:rPr>
          <w:rFonts w:hint="eastAsia"/>
          <w:color w:val="000000" w:themeColor="text1"/>
          <w:lang w:val="en-US" w:eastAsia="zh-CN"/>
          <w14:textFill>
            <w14:solidFill>
              <w14:schemeClr w14:val="tx1"/>
            </w14:solidFill>
          </w14:textFill>
        </w:rPr>
        <w:t>的通知</w:t>
      </w:r>
      <w:r>
        <w:rPr>
          <w:rFonts w:hint="eastAsia"/>
          <w:color w:val="000000" w:themeColor="text1"/>
          <w:lang w:eastAsia="zh-CN"/>
          <w14:textFill>
            <w14:solidFill>
              <w14:schemeClr w14:val="tx1"/>
            </w14:solidFill>
          </w14:textFill>
        </w:rPr>
        <w:t>》；</w:t>
      </w:r>
    </w:p>
    <w:p w14:paraId="40BFEB16">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《新疆维吾尔自治区生态环境分区管控动态更新成果》（新环环评发（2024）157号）；</w:t>
      </w:r>
    </w:p>
    <w:p w14:paraId="1DAA8E6D">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《新疆维吾尔自治区七大片区“三线一单”生态环境分区管控要求》（新环环评发〔</w:t>
      </w:r>
      <w:r>
        <w:rPr>
          <w:color w:val="000000" w:themeColor="text1"/>
          <w14:textFill>
            <w14:solidFill>
              <w14:schemeClr w14:val="tx1"/>
            </w14:solidFill>
          </w14:textFill>
        </w:rPr>
        <w:t>2021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162</w:t>
      </w:r>
      <w:r>
        <w:rPr>
          <w:rFonts w:hint="eastAsia"/>
          <w:color w:val="000000" w:themeColor="text1"/>
          <w14:textFill>
            <w14:solidFill>
              <w14:schemeClr w14:val="tx1"/>
            </w14:solidFill>
          </w14:textFill>
        </w:rPr>
        <w:t>号）；</w:t>
      </w:r>
    </w:p>
    <w:p w14:paraId="3326A080">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《巴音郭楞蒙古自治州“三线一单”生态环境分区管控动态更新成果》（2023年版）；</w:t>
      </w:r>
    </w:p>
    <w:p w14:paraId="6BE80B1D">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《关于做好危险废物安全处置工作的通知》（新环防发〔</w:t>
      </w:r>
      <w:r>
        <w:rPr>
          <w:color w:val="000000" w:themeColor="text1"/>
          <w14:textFill>
            <w14:solidFill>
              <w14:schemeClr w14:val="tx1"/>
            </w14:solidFill>
          </w14:textFill>
        </w:rPr>
        <w:t>2011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389</w:t>
      </w:r>
      <w:r>
        <w:rPr>
          <w:rFonts w:hint="eastAsia"/>
          <w:color w:val="000000" w:themeColor="text1"/>
          <w14:textFill>
            <w14:solidFill>
              <w14:schemeClr w14:val="tx1"/>
            </w14:solidFill>
          </w14:textFill>
        </w:rPr>
        <w:t>号）；</w:t>
      </w:r>
    </w:p>
    <w:p w14:paraId="3FFF55B7">
      <w:pPr>
        <w:numPr>
          <w:ilvl w:val="0"/>
          <w:numId w:val="3"/>
        </w:numPr>
        <w:ind w:firstLine="480"/>
        <w:rPr>
          <w:color w:val="000000" w:themeColor="text1"/>
          <w14:textFill>
            <w14:solidFill>
              <w14:schemeClr w14:val="tx1"/>
            </w14:solidFill>
          </w14:textFill>
        </w:rPr>
      </w:pPr>
      <w:bookmarkStart w:id="217" w:name="_Toc16895"/>
      <w:bookmarkStart w:id="218" w:name="_Toc14958"/>
      <w:r>
        <w:rPr>
          <w:rFonts w:hint="eastAsia"/>
          <w:color w:val="000000" w:themeColor="text1"/>
          <w14:textFill>
            <w14:solidFill>
              <w14:schemeClr w14:val="tx1"/>
            </w14:solidFill>
          </w14:textFill>
        </w:rPr>
        <w:t>《新疆维吾尔自治区辐射污染防治办法》（新疆维吾尔自治区人民政府，2015年7</w:t>
      </w:r>
      <w:r>
        <w:rPr>
          <w:rFonts w:hint="eastAsia"/>
          <w:color w:val="000000" w:themeColor="text1"/>
          <w:lang w:eastAsia="zh-CN"/>
          <w14:textFill>
            <w14:solidFill>
              <w14:schemeClr w14:val="tx1"/>
            </w14:solidFill>
          </w14:textFill>
        </w:rPr>
        <w:t>月1日起实施</w:t>
      </w:r>
      <w:r>
        <w:rPr>
          <w:rFonts w:hint="eastAsia"/>
          <w:color w:val="000000" w:themeColor="text1"/>
          <w14:textFill>
            <w14:solidFill>
              <w14:schemeClr w14:val="tx1"/>
            </w14:solidFill>
          </w14:textFill>
        </w:rPr>
        <w:t>）；</w:t>
      </w:r>
    </w:p>
    <w:p w14:paraId="418822D3">
      <w:pPr>
        <w:numPr>
          <w:ilvl w:val="0"/>
          <w:numId w:val="3"/>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《巴音郭楞蒙古自治州国土空间总体规划（2021-2035年）》。</w:t>
      </w:r>
    </w:p>
    <w:p w14:paraId="1EACCE39">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219" w:name="_Toc23727"/>
      <w:bookmarkStart w:id="220" w:name="_Toc17057"/>
      <w:bookmarkStart w:id="221" w:name="_Toc11189"/>
      <w:bookmarkStart w:id="222" w:name="_Toc30019"/>
      <w:bookmarkStart w:id="223" w:name="_Toc2460"/>
      <w:bookmarkStart w:id="224" w:name="_Toc2158"/>
      <w:bookmarkStart w:id="225" w:name="_Toc23566"/>
      <w:bookmarkStart w:id="226" w:name="_Toc19473"/>
      <w:r>
        <w:rPr>
          <w:color w:val="000000" w:themeColor="text1"/>
          <w:sz w:val="28"/>
          <w:szCs w:val="28"/>
          <w14:textFill>
            <w14:solidFill>
              <w14:schemeClr w14:val="tx1"/>
            </w14:solidFill>
          </w14:textFill>
        </w:rPr>
        <w:t>2.1.4</w:t>
      </w:r>
      <w:r>
        <w:rPr>
          <w:rFonts w:hint="eastAsia"/>
          <w:color w:val="000000" w:themeColor="text1"/>
          <w:sz w:val="28"/>
          <w:szCs w:val="28"/>
          <w14:textFill>
            <w14:solidFill>
              <w14:schemeClr w14:val="tx1"/>
            </w14:solidFill>
          </w14:textFill>
        </w:rPr>
        <w:t>评价导则及规范</w:t>
      </w:r>
      <w:bookmarkEnd w:id="217"/>
      <w:bookmarkEnd w:id="218"/>
      <w:bookmarkEnd w:id="219"/>
      <w:bookmarkEnd w:id="220"/>
      <w:bookmarkEnd w:id="221"/>
      <w:bookmarkEnd w:id="222"/>
      <w:bookmarkEnd w:id="223"/>
      <w:bookmarkEnd w:id="224"/>
      <w:bookmarkEnd w:id="225"/>
      <w:bookmarkEnd w:id="226"/>
    </w:p>
    <w:p w14:paraId="667024D1">
      <w:pPr>
        <w:numPr>
          <w:ilvl w:val="0"/>
          <w:numId w:val="4"/>
        </w:numPr>
        <w:ind w:firstLine="480"/>
        <w:rPr>
          <w:color w:val="000000" w:themeColor="text1"/>
          <w14:textFill>
            <w14:solidFill>
              <w14:schemeClr w14:val="tx1"/>
            </w14:solidFill>
          </w14:textFill>
        </w:rPr>
      </w:pPr>
      <w:bookmarkStart w:id="227" w:name="_Toc432166937"/>
      <w:r>
        <w:rPr>
          <w:rFonts w:hint="eastAsia"/>
          <w:color w:val="000000" w:themeColor="text1"/>
          <w14:textFill>
            <w14:solidFill>
              <w14:schemeClr w14:val="tx1"/>
            </w14:solidFill>
          </w14:textFill>
        </w:rPr>
        <w:t>《建设项目环境影响评价技术导则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总纲》（</w:t>
      </w:r>
      <w:r>
        <w:rPr>
          <w:color w:val="000000" w:themeColor="text1"/>
          <w14:textFill>
            <w14:solidFill>
              <w14:schemeClr w14:val="tx1"/>
            </w14:solidFill>
          </w14:textFill>
        </w:rPr>
        <w:t>HJ2.1-2016</w:t>
      </w:r>
      <w:r>
        <w:rPr>
          <w:rFonts w:hint="eastAsia"/>
          <w:color w:val="000000" w:themeColor="text1"/>
          <w14:textFill>
            <w14:solidFill>
              <w14:schemeClr w14:val="tx1"/>
            </w14:solidFill>
          </w14:textFill>
        </w:rPr>
        <w:t>）；</w:t>
      </w:r>
    </w:p>
    <w:p w14:paraId="77414408">
      <w:pPr>
        <w:numPr>
          <w:ilvl w:val="0"/>
          <w:numId w:val="4"/>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地表水环境》（</w:t>
      </w:r>
      <w:r>
        <w:rPr>
          <w:color w:val="000000" w:themeColor="text1"/>
          <w14:textFill>
            <w14:solidFill>
              <w14:schemeClr w14:val="tx1"/>
            </w14:solidFill>
          </w14:textFill>
        </w:rPr>
        <w:t>HJ2.3-2018</w:t>
      </w:r>
      <w:r>
        <w:rPr>
          <w:rFonts w:hint="eastAsia"/>
          <w:color w:val="000000" w:themeColor="text1"/>
          <w14:textFill>
            <w14:solidFill>
              <w14:schemeClr w14:val="tx1"/>
            </w14:solidFill>
          </w14:textFill>
        </w:rPr>
        <w:t>）；</w:t>
      </w:r>
    </w:p>
    <w:p w14:paraId="1DDBEC81">
      <w:pPr>
        <w:numPr>
          <w:ilvl w:val="0"/>
          <w:numId w:val="4"/>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声环境》（</w:t>
      </w:r>
      <w:r>
        <w:rPr>
          <w:color w:val="000000" w:themeColor="text1"/>
          <w14:textFill>
            <w14:solidFill>
              <w14:schemeClr w14:val="tx1"/>
            </w14:solidFill>
          </w14:textFill>
        </w:rPr>
        <w:t>HJ2.4-2021</w:t>
      </w:r>
      <w:r>
        <w:rPr>
          <w:rFonts w:hint="eastAsia"/>
          <w:color w:val="000000" w:themeColor="text1"/>
          <w14:textFill>
            <w14:solidFill>
              <w14:schemeClr w14:val="tx1"/>
            </w14:solidFill>
          </w14:textFill>
        </w:rPr>
        <w:t>）；</w:t>
      </w:r>
    </w:p>
    <w:p w14:paraId="190CE59C">
      <w:pPr>
        <w:numPr>
          <w:ilvl w:val="0"/>
          <w:numId w:val="4"/>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生态影响》（</w:t>
      </w:r>
      <w:r>
        <w:rPr>
          <w:color w:val="000000" w:themeColor="text1"/>
          <w14:textFill>
            <w14:solidFill>
              <w14:schemeClr w14:val="tx1"/>
            </w14:solidFill>
          </w14:textFill>
        </w:rPr>
        <w:t>HJ19-2022</w:t>
      </w:r>
      <w:r>
        <w:rPr>
          <w:rFonts w:hint="eastAsia"/>
          <w:color w:val="000000" w:themeColor="text1"/>
          <w14:textFill>
            <w14:solidFill>
              <w14:schemeClr w14:val="tx1"/>
            </w14:solidFill>
          </w14:textFill>
        </w:rPr>
        <w:t>）；</w:t>
      </w:r>
    </w:p>
    <w:p w14:paraId="1ED155DC">
      <w:pPr>
        <w:numPr>
          <w:ilvl w:val="0"/>
          <w:numId w:val="4"/>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输变电》（</w:t>
      </w:r>
      <w:r>
        <w:rPr>
          <w:color w:val="000000" w:themeColor="text1"/>
          <w14:textFill>
            <w14:solidFill>
              <w14:schemeClr w14:val="tx1"/>
            </w14:solidFill>
          </w14:textFill>
        </w:rPr>
        <w:t>HJ24-2020</w:t>
      </w:r>
      <w:r>
        <w:rPr>
          <w:rFonts w:hint="eastAsia"/>
          <w:color w:val="000000" w:themeColor="text1"/>
          <w14:textFill>
            <w14:solidFill>
              <w14:schemeClr w14:val="tx1"/>
            </w14:solidFill>
          </w14:textFill>
        </w:rPr>
        <w:t>）；</w:t>
      </w:r>
    </w:p>
    <w:p w14:paraId="5FD797A3">
      <w:pPr>
        <w:numPr>
          <w:ilvl w:val="0"/>
          <w:numId w:val="4"/>
        </w:numPr>
        <w:ind w:firstLine="480"/>
        <w:rPr>
          <w:color w:val="000000" w:themeColor="text1"/>
          <w14:textFill>
            <w14:solidFill>
              <w14:schemeClr w14:val="tx1"/>
            </w14:solidFill>
          </w14:textFill>
        </w:rPr>
      </w:pPr>
      <w:r>
        <w:rPr>
          <w:color w:val="000000" w:themeColor="text1"/>
          <w14:textFill>
            <w14:solidFill>
              <w14:schemeClr w14:val="tx1"/>
            </w14:solidFill>
          </w14:textFill>
        </w:rPr>
        <w:t>《建设项目环境风险评价技术导则》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HJ169-2018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p w14:paraId="6CE12353">
      <w:pPr>
        <w:numPr>
          <w:ilvl w:val="0"/>
          <w:numId w:val="4"/>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《交流输变电工程电磁环境监测方法（试行）》（</w:t>
      </w:r>
      <w:r>
        <w:rPr>
          <w:color w:val="000000" w:themeColor="text1"/>
          <w14:textFill>
            <w14:solidFill>
              <w14:schemeClr w14:val="tx1"/>
            </w14:solidFill>
          </w14:textFill>
        </w:rPr>
        <w:t>HJ681-2013</w:t>
      </w:r>
      <w:r>
        <w:rPr>
          <w:rFonts w:hint="eastAsia"/>
          <w:color w:val="000000" w:themeColor="text1"/>
          <w14:textFill>
            <w14:solidFill>
              <w14:schemeClr w14:val="tx1"/>
            </w14:solidFill>
          </w14:textFill>
        </w:rPr>
        <w:t>）；</w:t>
      </w:r>
    </w:p>
    <w:p w14:paraId="14152290">
      <w:pPr>
        <w:numPr>
          <w:ilvl w:val="0"/>
          <w:numId w:val="4"/>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《输变电建设项目环境保护技术要求》（</w:t>
      </w:r>
      <w:r>
        <w:rPr>
          <w:color w:val="000000" w:themeColor="text1"/>
          <w14:textFill>
            <w14:solidFill>
              <w14:schemeClr w14:val="tx1"/>
            </w14:solidFill>
          </w14:textFill>
        </w:rPr>
        <w:t>HJ1113-2020</w:t>
      </w:r>
      <w:r>
        <w:rPr>
          <w:rFonts w:hint="eastAsia"/>
          <w:color w:val="000000" w:themeColor="text1"/>
          <w14:textFill>
            <w14:solidFill>
              <w14:schemeClr w14:val="tx1"/>
            </w14:solidFill>
          </w14:textFill>
        </w:rPr>
        <w:t>）；</w:t>
      </w:r>
    </w:p>
    <w:p w14:paraId="09DBA816">
      <w:pPr>
        <w:numPr>
          <w:ilvl w:val="0"/>
          <w:numId w:val="4"/>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《危险废物识别标志设置技术规范》（HJ 1276-2022）。</w:t>
      </w:r>
    </w:p>
    <w:bookmarkEnd w:id="227"/>
    <w:p w14:paraId="4ACC0931">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228" w:name="_Toc5152"/>
      <w:bookmarkStart w:id="229" w:name="_Toc9865"/>
      <w:bookmarkStart w:id="230" w:name="_Toc10719"/>
      <w:bookmarkStart w:id="231" w:name="_Toc1953"/>
      <w:bookmarkStart w:id="232" w:name="_Toc19783"/>
      <w:bookmarkStart w:id="233" w:name="_Toc12561"/>
      <w:bookmarkStart w:id="234" w:name="_Toc8845"/>
      <w:bookmarkStart w:id="235" w:name="_Toc311"/>
      <w:bookmarkStart w:id="236" w:name="_Toc11579"/>
      <w:bookmarkStart w:id="237" w:name="_Toc29378"/>
      <w:r>
        <w:rPr>
          <w:color w:val="000000" w:themeColor="text1"/>
          <w:sz w:val="28"/>
          <w:szCs w:val="28"/>
          <w14:textFill>
            <w14:solidFill>
              <w14:schemeClr w14:val="tx1"/>
            </w14:solidFill>
          </w14:textFill>
        </w:rPr>
        <w:t>2.1.5</w:t>
      </w:r>
      <w:r>
        <w:rPr>
          <w:rFonts w:hint="eastAsia"/>
          <w:color w:val="000000" w:themeColor="text1"/>
          <w:sz w:val="28"/>
          <w:szCs w:val="28"/>
          <w14:textFill>
            <w14:solidFill>
              <w14:schemeClr w14:val="tx1"/>
            </w14:solidFill>
          </w14:textFill>
        </w:rPr>
        <w:t>其他文件</w:t>
      </w:r>
      <w:bookmarkEnd w:id="228"/>
      <w:bookmarkEnd w:id="229"/>
      <w:bookmarkEnd w:id="230"/>
      <w:bookmarkEnd w:id="231"/>
      <w:bookmarkEnd w:id="232"/>
      <w:bookmarkEnd w:id="233"/>
      <w:bookmarkEnd w:id="234"/>
      <w:bookmarkEnd w:id="235"/>
      <w:bookmarkEnd w:id="236"/>
      <w:bookmarkEnd w:id="237"/>
    </w:p>
    <w:p w14:paraId="1089754B">
      <w:pPr>
        <w:numPr>
          <w:ilvl w:val="0"/>
          <w:numId w:val="5"/>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项目环评委托书；</w:t>
      </w:r>
    </w:p>
    <w:p w14:paraId="04658595">
      <w:pPr>
        <w:numPr>
          <w:ilvl w:val="0"/>
          <w:numId w:val="5"/>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《新疆疆电（南疆）送电川渝特高压配套火电750千伏送出工程可行性研究报告》，湖北省电力规划设计研究院有限公司，</w:t>
      </w:r>
      <w:r>
        <w:rPr>
          <w:color w:val="000000" w:themeColor="text1"/>
          <w14:textFill>
            <w14:solidFill>
              <w14:schemeClr w14:val="tx1"/>
            </w14:solidFill>
          </w14:textFill>
        </w:rPr>
        <w:t>202</w:t>
      </w:r>
      <w:r>
        <w:rPr>
          <w:rFonts w:hint="eastAsia"/>
          <w:color w:val="000000" w:themeColor="text1"/>
          <w14:textFill>
            <w14:solidFill>
              <w14:schemeClr w14:val="tx1"/>
            </w14:solidFill>
          </w14:textFill>
        </w:rPr>
        <w:t>5年3月。</w:t>
      </w:r>
    </w:p>
    <w:p w14:paraId="272F55BF">
      <w:pPr>
        <w:numPr>
          <w:ilvl w:val="0"/>
          <w:numId w:val="5"/>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《新疆疆电（南疆）送电川渝特高压配套火电750千伏送出工程</w:t>
      </w:r>
      <w:r>
        <w:rPr>
          <w:rFonts w:hint="eastAsia"/>
          <w:color w:val="000000" w:themeColor="text1"/>
          <w:lang w:val="en-US" w:eastAsia="zh-CN"/>
          <w14:textFill>
            <w14:solidFill>
              <w14:schemeClr w14:val="tx1"/>
            </w14:solidFill>
          </w14:textFill>
        </w:rPr>
        <w:t>初步设计</w:t>
      </w:r>
      <w:r>
        <w:rPr>
          <w:rFonts w:hint="eastAsia"/>
          <w:color w:val="000000" w:themeColor="text1"/>
          <w14:textFill>
            <w14:solidFill>
              <w14:schemeClr w14:val="tx1"/>
            </w14:solidFill>
          </w14:textFill>
        </w:rPr>
        <w:t>》，湖北省电力规划设计研究院有限公司，</w:t>
      </w:r>
      <w:r>
        <w:rPr>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月。</w:t>
      </w:r>
    </w:p>
    <w:p w14:paraId="45C2559C">
      <w:pPr>
        <w:pStyle w:val="3"/>
        <w:spacing w:before="120" w:beforeLines="50" w:after="120" w:afterLines="50"/>
        <w:rPr>
          <w:color w:val="000000" w:themeColor="text1"/>
          <w14:textFill>
            <w14:solidFill>
              <w14:schemeClr w14:val="tx1"/>
            </w14:solidFill>
          </w14:textFill>
        </w:rPr>
      </w:pPr>
      <w:bookmarkStart w:id="238" w:name="_Toc13221"/>
      <w:bookmarkStart w:id="239" w:name="_Toc5841"/>
      <w:bookmarkStart w:id="240" w:name="_Toc14587"/>
      <w:bookmarkStart w:id="241" w:name="_Toc20401"/>
      <w:bookmarkStart w:id="242" w:name="_Toc26811"/>
      <w:bookmarkStart w:id="243" w:name="_Toc17892"/>
      <w:bookmarkStart w:id="244" w:name="_Toc5828"/>
      <w:bookmarkStart w:id="245" w:name="_Toc3414"/>
      <w:bookmarkStart w:id="246" w:name="_Toc32"/>
      <w:bookmarkStart w:id="247" w:name="_Toc17390"/>
      <w:bookmarkStart w:id="248" w:name="_Toc649"/>
      <w:r>
        <w:rPr>
          <w:color w:val="000000" w:themeColor="text1"/>
          <w14:textFill>
            <w14:solidFill>
              <w14:schemeClr w14:val="tx1"/>
            </w14:solidFill>
          </w14:textFill>
        </w:rPr>
        <w:t>2.2</w:t>
      </w:r>
      <w:r>
        <w:rPr>
          <w:rFonts w:hint="eastAsia"/>
          <w:color w:val="000000" w:themeColor="text1"/>
          <w14:textFill>
            <w14:solidFill>
              <w14:schemeClr w14:val="tx1"/>
            </w14:solidFill>
          </w14:textFill>
        </w:rPr>
        <w:t>评价因子与评价标准</w:t>
      </w:r>
      <w:bookmarkEnd w:id="238"/>
      <w:bookmarkEnd w:id="239"/>
      <w:bookmarkEnd w:id="240"/>
      <w:bookmarkEnd w:id="241"/>
      <w:bookmarkEnd w:id="242"/>
      <w:bookmarkEnd w:id="243"/>
      <w:bookmarkEnd w:id="244"/>
      <w:bookmarkEnd w:id="245"/>
      <w:bookmarkEnd w:id="246"/>
      <w:bookmarkEnd w:id="247"/>
      <w:bookmarkEnd w:id="248"/>
    </w:p>
    <w:p w14:paraId="4B5B0927">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249" w:name="_Toc19701"/>
      <w:bookmarkStart w:id="250" w:name="_Toc17427"/>
      <w:bookmarkStart w:id="251" w:name="_Toc18943"/>
      <w:bookmarkStart w:id="252" w:name="_Toc13093"/>
      <w:bookmarkStart w:id="253" w:name="_Toc14934"/>
      <w:bookmarkStart w:id="254" w:name="_Toc1272"/>
      <w:bookmarkStart w:id="255" w:name="_Toc16094"/>
      <w:bookmarkStart w:id="256" w:name="_Toc13504"/>
      <w:bookmarkStart w:id="257" w:name="_Toc31020"/>
      <w:bookmarkStart w:id="258" w:name="_Toc30374"/>
      <w:r>
        <w:rPr>
          <w:color w:val="000000" w:themeColor="text1"/>
          <w:sz w:val="28"/>
          <w:szCs w:val="28"/>
          <w14:textFill>
            <w14:solidFill>
              <w14:schemeClr w14:val="tx1"/>
            </w14:solidFill>
          </w14:textFill>
        </w:rPr>
        <w:t>2.2.1</w:t>
      </w:r>
      <w:r>
        <w:rPr>
          <w:rFonts w:hint="eastAsia"/>
          <w:color w:val="000000" w:themeColor="text1"/>
          <w:sz w:val="28"/>
          <w:szCs w:val="28"/>
          <w14:textFill>
            <w14:solidFill>
              <w14:schemeClr w14:val="tx1"/>
            </w14:solidFill>
          </w14:textFill>
        </w:rPr>
        <w:t>评价因子</w:t>
      </w:r>
      <w:bookmarkEnd w:id="249"/>
      <w:bookmarkEnd w:id="250"/>
      <w:bookmarkEnd w:id="251"/>
      <w:bookmarkEnd w:id="252"/>
      <w:bookmarkEnd w:id="253"/>
      <w:bookmarkEnd w:id="254"/>
      <w:bookmarkEnd w:id="255"/>
      <w:bookmarkEnd w:id="256"/>
      <w:bookmarkEnd w:id="257"/>
      <w:bookmarkEnd w:id="258"/>
    </w:p>
    <w:p w14:paraId="7E7B01F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根据输变电工程的特点，结合本工程环境敏感点分布及环境现状，对工程的</w:t>
      </w:r>
      <w:r>
        <w:rPr>
          <w:rFonts w:hint="eastAsia"/>
          <w:color w:val="000000" w:themeColor="text1"/>
          <w:lang w:val="en-US" w:eastAsia="zh-CN"/>
          <w14:textFill>
            <w14:solidFill>
              <w14:schemeClr w14:val="tx1"/>
            </w14:solidFill>
          </w14:textFill>
        </w:rPr>
        <w:t>生态</w:t>
      </w:r>
      <w:r>
        <w:rPr>
          <w:rFonts w:hint="eastAsia"/>
          <w:color w:val="000000" w:themeColor="text1"/>
          <w14:textFill>
            <w14:solidFill>
              <w14:schemeClr w14:val="tx1"/>
            </w14:solidFill>
          </w14:textFill>
        </w:rPr>
        <w:t>环境影响因素进行识别及筛选，评价因子见表</w:t>
      </w:r>
      <w:r>
        <w:rPr>
          <w:color w:val="000000" w:themeColor="text1"/>
          <w14:textFill>
            <w14:solidFill>
              <w14:schemeClr w14:val="tx1"/>
            </w14:solidFill>
          </w14:textFill>
        </w:rPr>
        <w:t>2.2-1</w:t>
      </w:r>
      <w:r>
        <w:rPr>
          <w:rFonts w:hint="eastAsia"/>
          <w:color w:val="000000" w:themeColor="text1"/>
          <w14:textFill>
            <w14:solidFill>
              <w14:schemeClr w14:val="tx1"/>
            </w14:solidFill>
          </w14:textFill>
        </w:rPr>
        <w:t>。</w:t>
      </w:r>
    </w:p>
    <w:p w14:paraId="50068684">
      <w:pPr>
        <w:pStyle w:val="38"/>
        <w:ind w:firstLine="422"/>
        <w:rPr>
          <w:bCs/>
          <w:color w:val="000000" w:themeColor="text1"/>
          <w14:textFill>
            <w14:solidFill>
              <w14:schemeClr w14:val="tx1"/>
            </w14:solidFill>
          </w14:textFill>
        </w:rPr>
      </w:pPr>
      <w:bookmarkStart w:id="259" w:name="OLE_LINK9"/>
      <w:bookmarkEnd w:id="259"/>
      <w:r>
        <w:rPr>
          <w:rFonts w:hint="eastAsia"/>
          <w:bCs/>
          <w:color w:val="000000" w:themeColor="text1"/>
          <w14:textFill>
            <w14:solidFill>
              <w14:schemeClr w14:val="tx1"/>
            </w14:solidFill>
          </w14:textFill>
        </w:rPr>
        <w:t>表</w:t>
      </w:r>
      <w:r>
        <w:rPr>
          <w:bCs/>
          <w:color w:val="000000" w:themeColor="text1"/>
          <w14:textFill>
            <w14:solidFill>
              <w14:schemeClr w14:val="tx1"/>
            </w14:solidFill>
          </w14:textFill>
        </w:rPr>
        <w:t xml:space="preserve">2.2-1  </w:t>
      </w:r>
      <w:r>
        <w:rPr>
          <w:rFonts w:hint="eastAsia"/>
          <w:bCs/>
          <w:color w:val="000000" w:themeColor="text1"/>
          <w14:textFill>
            <w14:solidFill>
              <w14:schemeClr w14:val="tx1"/>
            </w14:solidFill>
          </w14:textFill>
        </w:rPr>
        <w:t>本工程主要环境影响评价因子表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48"/>
        <w:gridCol w:w="849"/>
        <w:gridCol w:w="3063"/>
        <w:gridCol w:w="999"/>
        <w:gridCol w:w="2011"/>
        <w:gridCol w:w="750"/>
      </w:tblGrid>
      <w:tr w14:paraId="3068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44" w:type="pct"/>
            <w:vAlign w:val="center"/>
          </w:tcPr>
          <w:p w14:paraId="25635B7C">
            <w:pPr>
              <w:pStyle w:val="40"/>
              <w:rPr>
                <w:bCs/>
                <w:color w:val="000000" w:themeColor="text1"/>
                <w14:textFill>
                  <w14:solidFill>
                    <w14:schemeClr w14:val="tx1"/>
                  </w14:solidFill>
                </w14:textFill>
              </w:rPr>
            </w:pPr>
            <w:bookmarkStart w:id="260" w:name="_Toc10083"/>
            <w:bookmarkStart w:id="261" w:name="_Toc28440"/>
            <w:r>
              <w:rPr>
                <w:rFonts w:hint="eastAsia"/>
                <w:bCs/>
                <w:color w:val="000000" w:themeColor="text1"/>
                <w14:textFill>
                  <w14:solidFill>
                    <w14:schemeClr w14:val="tx1"/>
                  </w14:solidFill>
                </w14:textFill>
              </w:rPr>
              <w:t>评价</w:t>
            </w:r>
          </w:p>
          <w:p w14:paraId="6FB95C3E">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阶段</w:t>
            </w:r>
          </w:p>
        </w:tc>
        <w:tc>
          <w:tcPr>
            <w:tcW w:w="504" w:type="pct"/>
            <w:vAlign w:val="center"/>
          </w:tcPr>
          <w:p w14:paraId="35149934">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评价</w:t>
            </w:r>
          </w:p>
          <w:p w14:paraId="72464245">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项目</w:t>
            </w:r>
          </w:p>
        </w:tc>
        <w:tc>
          <w:tcPr>
            <w:tcW w:w="1818" w:type="pct"/>
            <w:vAlign w:val="center"/>
          </w:tcPr>
          <w:p w14:paraId="0C693DDE">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现状评价因子</w:t>
            </w:r>
          </w:p>
        </w:tc>
        <w:tc>
          <w:tcPr>
            <w:tcW w:w="593" w:type="pct"/>
            <w:vAlign w:val="center"/>
          </w:tcPr>
          <w:p w14:paraId="3C77173C">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单位</w:t>
            </w:r>
          </w:p>
        </w:tc>
        <w:tc>
          <w:tcPr>
            <w:tcW w:w="1194" w:type="pct"/>
            <w:vAlign w:val="center"/>
          </w:tcPr>
          <w:p w14:paraId="3FC32B5E">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预测评价因子</w:t>
            </w:r>
          </w:p>
        </w:tc>
        <w:tc>
          <w:tcPr>
            <w:tcW w:w="445" w:type="pct"/>
            <w:vAlign w:val="center"/>
          </w:tcPr>
          <w:p w14:paraId="3D63956F">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单位</w:t>
            </w:r>
          </w:p>
        </w:tc>
      </w:tr>
      <w:tr w14:paraId="1277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44" w:type="pct"/>
            <w:vMerge w:val="restart"/>
            <w:vAlign w:val="center"/>
          </w:tcPr>
          <w:p w14:paraId="34FB2D1E">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施工期</w:t>
            </w:r>
          </w:p>
        </w:tc>
        <w:tc>
          <w:tcPr>
            <w:tcW w:w="504" w:type="pct"/>
            <w:vAlign w:val="center"/>
          </w:tcPr>
          <w:p w14:paraId="22FE9FFB">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声环境</w:t>
            </w:r>
          </w:p>
        </w:tc>
        <w:tc>
          <w:tcPr>
            <w:tcW w:w="1818" w:type="pct"/>
            <w:vAlign w:val="center"/>
          </w:tcPr>
          <w:p w14:paraId="1D4C2FF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昼间、夜间等效声级，</w:t>
            </w:r>
            <w:r>
              <w:rPr>
                <w:b w:val="0"/>
                <w:bCs/>
                <w:color w:val="000000" w:themeColor="text1"/>
                <w14:textFill>
                  <w14:solidFill>
                    <w14:schemeClr w14:val="tx1"/>
                  </w14:solidFill>
                </w14:textFill>
              </w:rPr>
              <w:t>Leq</w:t>
            </w:r>
          </w:p>
        </w:tc>
        <w:tc>
          <w:tcPr>
            <w:tcW w:w="593" w:type="pct"/>
            <w:vAlign w:val="center"/>
          </w:tcPr>
          <w:p w14:paraId="0ED99B2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p>
        </w:tc>
        <w:tc>
          <w:tcPr>
            <w:tcW w:w="1194" w:type="pct"/>
            <w:vAlign w:val="center"/>
          </w:tcPr>
          <w:p w14:paraId="4D231C3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昼间、夜间等效声级，</w:t>
            </w:r>
            <w:r>
              <w:rPr>
                <w:b w:val="0"/>
                <w:bCs/>
                <w:color w:val="000000" w:themeColor="text1"/>
                <w14:textFill>
                  <w14:solidFill>
                    <w14:schemeClr w14:val="tx1"/>
                  </w14:solidFill>
                </w14:textFill>
              </w:rPr>
              <w:t>Leq</w:t>
            </w:r>
          </w:p>
        </w:tc>
        <w:tc>
          <w:tcPr>
            <w:tcW w:w="445" w:type="pct"/>
            <w:vAlign w:val="center"/>
          </w:tcPr>
          <w:p w14:paraId="56FF128C">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p>
        </w:tc>
      </w:tr>
      <w:tr w14:paraId="353E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44" w:type="pct"/>
            <w:vMerge w:val="continue"/>
            <w:vAlign w:val="center"/>
          </w:tcPr>
          <w:p w14:paraId="08170F1A">
            <w:pPr>
              <w:pStyle w:val="40"/>
              <w:rPr>
                <w:b w:val="0"/>
                <w:bCs/>
                <w:color w:val="000000" w:themeColor="text1"/>
                <w14:textFill>
                  <w14:solidFill>
                    <w14:schemeClr w14:val="tx1"/>
                  </w14:solidFill>
                </w14:textFill>
              </w:rPr>
            </w:pPr>
          </w:p>
        </w:tc>
        <w:tc>
          <w:tcPr>
            <w:tcW w:w="504" w:type="pct"/>
            <w:vAlign w:val="center"/>
          </w:tcPr>
          <w:p w14:paraId="77AAFE22">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地表水环境</w:t>
            </w:r>
          </w:p>
        </w:tc>
        <w:tc>
          <w:tcPr>
            <w:tcW w:w="1818" w:type="pct"/>
            <w:vAlign w:val="center"/>
          </w:tcPr>
          <w:p w14:paraId="75E4463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pH、COD、BOD</w:t>
            </w:r>
            <w:r>
              <w:rPr>
                <w:rFonts w:hint="eastAsia"/>
                <w:b w:val="0"/>
                <w:bCs/>
                <w:color w:val="000000" w:themeColor="text1"/>
                <w:vertAlign w:val="subscript"/>
                <w:lang w:val="en-US" w:eastAsia="zh-CN"/>
                <w14:textFill>
                  <w14:solidFill>
                    <w14:schemeClr w14:val="tx1"/>
                  </w14:solidFill>
                </w14:textFill>
              </w:rPr>
              <w:t>5</w:t>
            </w:r>
            <w:r>
              <w:rPr>
                <w:rFonts w:hint="eastAsia"/>
                <w:b w:val="0"/>
                <w:bCs/>
                <w:color w:val="000000" w:themeColor="text1"/>
                <w14:textFill>
                  <w14:solidFill>
                    <w14:schemeClr w14:val="tx1"/>
                  </w14:solidFill>
                </w14:textFill>
              </w:rPr>
              <w:t>、NH</w:t>
            </w:r>
            <w:r>
              <w:rPr>
                <w:rFonts w:hint="eastAsia"/>
                <w:b w:val="0"/>
                <w:bCs/>
                <w:color w:val="000000" w:themeColor="text1"/>
                <w:vertAlign w:val="subscript"/>
                <w14:textFill>
                  <w14:solidFill>
                    <w14:schemeClr w14:val="tx1"/>
                  </w14:solidFill>
                </w14:textFill>
              </w:rPr>
              <w:t>3</w:t>
            </w:r>
            <w:r>
              <w:rPr>
                <w:rFonts w:hint="eastAsia"/>
                <w:b w:val="0"/>
                <w:bCs/>
                <w:color w:val="000000" w:themeColor="text1"/>
                <w14:textFill>
                  <w14:solidFill>
                    <w14:schemeClr w14:val="tx1"/>
                  </w14:solidFill>
                </w14:textFill>
              </w:rPr>
              <w:t>-N、石油类</w:t>
            </w:r>
          </w:p>
        </w:tc>
        <w:tc>
          <w:tcPr>
            <w:tcW w:w="593" w:type="pct"/>
            <w:vAlign w:val="center"/>
          </w:tcPr>
          <w:p w14:paraId="5166097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mg/L</w:t>
            </w:r>
          </w:p>
        </w:tc>
        <w:tc>
          <w:tcPr>
            <w:tcW w:w="1194" w:type="pct"/>
            <w:vAlign w:val="center"/>
          </w:tcPr>
          <w:p w14:paraId="5284F1B7">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pH、COD、BOD</w:t>
            </w:r>
            <w:r>
              <w:rPr>
                <w:rFonts w:hint="eastAsia"/>
                <w:b w:val="0"/>
                <w:bCs/>
                <w:color w:val="000000" w:themeColor="text1"/>
                <w:vertAlign w:val="subscript"/>
                <w:lang w:val="en-US" w:eastAsia="zh-CN"/>
                <w14:textFill>
                  <w14:solidFill>
                    <w14:schemeClr w14:val="tx1"/>
                  </w14:solidFill>
                </w14:textFill>
              </w:rPr>
              <w:t>5</w:t>
            </w:r>
            <w:r>
              <w:rPr>
                <w:rFonts w:hint="eastAsia"/>
                <w:b w:val="0"/>
                <w:bCs/>
                <w:color w:val="000000" w:themeColor="text1"/>
                <w14:textFill>
                  <w14:solidFill>
                    <w14:schemeClr w14:val="tx1"/>
                  </w14:solidFill>
                </w14:textFill>
              </w:rPr>
              <w:t>、NH</w:t>
            </w:r>
            <w:r>
              <w:rPr>
                <w:rFonts w:hint="eastAsia"/>
                <w:b w:val="0"/>
                <w:bCs/>
                <w:color w:val="000000" w:themeColor="text1"/>
                <w:vertAlign w:val="subscript"/>
                <w14:textFill>
                  <w14:solidFill>
                    <w14:schemeClr w14:val="tx1"/>
                  </w14:solidFill>
                </w14:textFill>
              </w:rPr>
              <w:t>3</w:t>
            </w:r>
            <w:r>
              <w:rPr>
                <w:rFonts w:hint="eastAsia"/>
                <w:b w:val="0"/>
                <w:bCs/>
                <w:color w:val="000000" w:themeColor="text1"/>
                <w14:textFill>
                  <w14:solidFill>
                    <w14:schemeClr w14:val="tx1"/>
                  </w14:solidFill>
                </w14:textFill>
              </w:rPr>
              <w:t>-N、石油类</w:t>
            </w:r>
          </w:p>
        </w:tc>
        <w:tc>
          <w:tcPr>
            <w:tcW w:w="445" w:type="pct"/>
            <w:vAlign w:val="center"/>
          </w:tcPr>
          <w:p w14:paraId="5139E62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mg/L</w:t>
            </w:r>
          </w:p>
        </w:tc>
      </w:tr>
      <w:tr w14:paraId="1AED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44" w:type="pct"/>
            <w:vMerge w:val="continue"/>
            <w:vAlign w:val="center"/>
          </w:tcPr>
          <w:p w14:paraId="3076D4D0">
            <w:pPr>
              <w:pStyle w:val="40"/>
              <w:rPr>
                <w:b w:val="0"/>
                <w:bCs/>
                <w:color w:val="000000" w:themeColor="text1"/>
                <w14:textFill>
                  <w14:solidFill>
                    <w14:schemeClr w14:val="tx1"/>
                  </w14:solidFill>
                </w14:textFill>
              </w:rPr>
            </w:pPr>
          </w:p>
        </w:tc>
        <w:tc>
          <w:tcPr>
            <w:tcW w:w="504" w:type="pct"/>
            <w:vAlign w:val="center"/>
          </w:tcPr>
          <w:p w14:paraId="59CF0F18">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生态</w:t>
            </w:r>
          </w:p>
          <w:p w14:paraId="7782FC42">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环境</w:t>
            </w:r>
          </w:p>
        </w:tc>
        <w:tc>
          <w:tcPr>
            <w:tcW w:w="1818" w:type="pct"/>
            <w:vAlign w:val="center"/>
          </w:tcPr>
          <w:p w14:paraId="7714696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生态系统及其生物因子、非生物因子</w:t>
            </w:r>
          </w:p>
        </w:tc>
        <w:tc>
          <w:tcPr>
            <w:tcW w:w="593" w:type="pct"/>
            <w:vAlign w:val="center"/>
          </w:tcPr>
          <w:p w14:paraId="651DB218">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p>
        </w:tc>
        <w:tc>
          <w:tcPr>
            <w:tcW w:w="1194" w:type="pct"/>
            <w:vAlign w:val="center"/>
          </w:tcPr>
          <w:p w14:paraId="3F463CC7">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生态系统及其生物因子、非生物因子</w:t>
            </w:r>
          </w:p>
        </w:tc>
        <w:tc>
          <w:tcPr>
            <w:tcW w:w="445" w:type="pct"/>
            <w:vAlign w:val="center"/>
          </w:tcPr>
          <w:p w14:paraId="04967404">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p>
        </w:tc>
      </w:tr>
      <w:tr w14:paraId="63AB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44" w:type="pct"/>
            <w:vMerge w:val="restart"/>
            <w:vAlign w:val="center"/>
          </w:tcPr>
          <w:p w14:paraId="20E73996">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运行期</w:t>
            </w:r>
          </w:p>
        </w:tc>
        <w:tc>
          <w:tcPr>
            <w:tcW w:w="504" w:type="pct"/>
            <w:vMerge w:val="restart"/>
            <w:vAlign w:val="center"/>
          </w:tcPr>
          <w:p w14:paraId="6198E91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电磁</w:t>
            </w:r>
          </w:p>
          <w:p w14:paraId="4233CB29">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环境</w:t>
            </w:r>
          </w:p>
        </w:tc>
        <w:tc>
          <w:tcPr>
            <w:tcW w:w="1818" w:type="pct"/>
            <w:vAlign w:val="center"/>
          </w:tcPr>
          <w:p w14:paraId="5805C4A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工频电场</w:t>
            </w:r>
          </w:p>
        </w:tc>
        <w:tc>
          <w:tcPr>
            <w:tcW w:w="593" w:type="pct"/>
            <w:vAlign w:val="center"/>
          </w:tcPr>
          <w:p w14:paraId="70551B11">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V/m</w:t>
            </w:r>
          </w:p>
        </w:tc>
        <w:tc>
          <w:tcPr>
            <w:tcW w:w="1194" w:type="pct"/>
            <w:vAlign w:val="center"/>
          </w:tcPr>
          <w:p w14:paraId="0BFC5F6D">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工频电场</w:t>
            </w:r>
          </w:p>
        </w:tc>
        <w:tc>
          <w:tcPr>
            <w:tcW w:w="445" w:type="pct"/>
            <w:vAlign w:val="center"/>
          </w:tcPr>
          <w:p w14:paraId="6BE5A300">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V/m</w:t>
            </w:r>
          </w:p>
        </w:tc>
      </w:tr>
      <w:tr w14:paraId="163D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44" w:type="pct"/>
            <w:vMerge w:val="continue"/>
            <w:vAlign w:val="center"/>
          </w:tcPr>
          <w:p w14:paraId="36D12156">
            <w:pPr>
              <w:pStyle w:val="40"/>
              <w:rPr>
                <w:b w:val="0"/>
                <w:bCs/>
                <w:color w:val="000000" w:themeColor="text1"/>
                <w14:textFill>
                  <w14:solidFill>
                    <w14:schemeClr w14:val="tx1"/>
                  </w14:solidFill>
                </w14:textFill>
              </w:rPr>
            </w:pPr>
          </w:p>
        </w:tc>
        <w:tc>
          <w:tcPr>
            <w:tcW w:w="504" w:type="pct"/>
            <w:vMerge w:val="continue"/>
            <w:vAlign w:val="center"/>
          </w:tcPr>
          <w:p w14:paraId="0FF8AE05">
            <w:pPr>
              <w:pStyle w:val="40"/>
              <w:rPr>
                <w:b w:val="0"/>
                <w:bCs/>
                <w:color w:val="000000" w:themeColor="text1"/>
                <w14:textFill>
                  <w14:solidFill>
                    <w14:schemeClr w14:val="tx1"/>
                  </w14:solidFill>
                </w14:textFill>
              </w:rPr>
            </w:pPr>
          </w:p>
        </w:tc>
        <w:tc>
          <w:tcPr>
            <w:tcW w:w="1818" w:type="pct"/>
            <w:vAlign w:val="center"/>
          </w:tcPr>
          <w:p w14:paraId="5238BE1F">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工频磁场</w:t>
            </w:r>
          </w:p>
        </w:tc>
        <w:tc>
          <w:tcPr>
            <w:tcW w:w="593" w:type="pct"/>
            <w:vAlign w:val="center"/>
          </w:tcPr>
          <w:p w14:paraId="65E28FF7">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μT</w:t>
            </w:r>
          </w:p>
        </w:tc>
        <w:tc>
          <w:tcPr>
            <w:tcW w:w="1194" w:type="pct"/>
            <w:vAlign w:val="center"/>
          </w:tcPr>
          <w:p w14:paraId="3FB9D55E">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工频磁场</w:t>
            </w:r>
          </w:p>
        </w:tc>
        <w:tc>
          <w:tcPr>
            <w:tcW w:w="445" w:type="pct"/>
            <w:vAlign w:val="center"/>
          </w:tcPr>
          <w:p w14:paraId="573B3A6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μT</w:t>
            </w:r>
          </w:p>
        </w:tc>
      </w:tr>
      <w:tr w14:paraId="7C68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44" w:type="pct"/>
            <w:vMerge w:val="continue"/>
            <w:vAlign w:val="center"/>
          </w:tcPr>
          <w:p w14:paraId="532A6B6E">
            <w:pPr>
              <w:pStyle w:val="40"/>
              <w:rPr>
                <w:b w:val="0"/>
                <w:bCs/>
                <w:color w:val="000000" w:themeColor="text1"/>
                <w14:textFill>
                  <w14:solidFill>
                    <w14:schemeClr w14:val="tx1"/>
                  </w14:solidFill>
                </w14:textFill>
              </w:rPr>
            </w:pPr>
          </w:p>
        </w:tc>
        <w:tc>
          <w:tcPr>
            <w:tcW w:w="504" w:type="pct"/>
            <w:vAlign w:val="center"/>
          </w:tcPr>
          <w:p w14:paraId="1D682B8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声环境</w:t>
            </w:r>
          </w:p>
        </w:tc>
        <w:tc>
          <w:tcPr>
            <w:tcW w:w="1818" w:type="pct"/>
            <w:vAlign w:val="center"/>
          </w:tcPr>
          <w:p w14:paraId="4059FE2E">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昼间、夜间等效声级，</w:t>
            </w:r>
            <w:r>
              <w:rPr>
                <w:b w:val="0"/>
                <w:bCs/>
                <w:color w:val="000000" w:themeColor="text1"/>
                <w14:textFill>
                  <w14:solidFill>
                    <w14:schemeClr w14:val="tx1"/>
                  </w14:solidFill>
                </w14:textFill>
              </w:rPr>
              <w:t>Leq</w:t>
            </w:r>
          </w:p>
        </w:tc>
        <w:tc>
          <w:tcPr>
            <w:tcW w:w="593" w:type="pct"/>
            <w:vAlign w:val="center"/>
          </w:tcPr>
          <w:p w14:paraId="57791063">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p>
        </w:tc>
        <w:tc>
          <w:tcPr>
            <w:tcW w:w="1194" w:type="pct"/>
            <w:vAlign w:val="center"/>
          </w:tcPr>
          <w:p w14:paraId="5A769276">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昼间、夜间等效声级，</w:t>
            </w:r>
            <w:r>
              <w:rPr>
                <w:b w:val="0"/>
                <w:bCs/>
                <w:color w:val="000000" w:themeColor="text1"/>
                <w14:textFill>
                  <w14:solidFill>
                    <w14:schemeClr w14:val="tx1"/>
                  </w14:solidFill>
                </w14:textFill>
              </w:rPr>
              <w:t>Leq</w:t>
            </w:r>
          </w:p>
        </w:tc>
        <w:tc>
          <w:tcPr>
            <w:tcW w:w="445" w:type="pct"/>
            <w:vAlign w:val="center"/>
          </w:tcPr>
          <w:p w14:paraId="11DD934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p>
        </w:tc>
      </w:tr>
    </w:tbl>
    <w:p w14:paraId="625AAD1C">
      <w:pPr>
        <w:widowControl/>
        <w:ind w:firstLine="480"/>
        <w:jc w:val="left"/>
        <w:rPr>
          <w:color w:val="000000" w:themeColor="text1"/>
          <w14:textFill>
            <w14:solidFill>
              <w14:schemeClr w14:val="tx1"/>
            </w14:solidFill>
          </w14:textFill>
        </w:rPr>
      </w:pPr>
      <w:bookmarkStart w:id="262" w:name="_Toc330"/>
      <w:bookmarkStart w:id="263" w:name="_Toc1143"/>
      <w:bookmarkStart w:id="264" w:name="_Toc24912"/>
      <w:bookmarkStart w:id="265" w:name="_Toc19582"/>
      <w:bookmarkStart w:id="266" w:name="_Toc25240"/>
      <w:bookmarkStart w:id="267" w:name="_Toc9626"/>
      <w:bookmarkStart w:id="268" w:name="_Toc19929"/>
      <w:bookmarkStart w:id="269" w:name="_Toc6895"/>
      <w:r>
        <w:rPr>
          <w:rFonts w:hint="eastAsia" w:ascii="宋体" w:hAnsi="宋体" w:cs="宋体"/>
          <w:color w:val="000000" w:themeColor="text1"/>
          <w:kern w:val="0"/>
          <w:lang w:bidi="ar"/>
          <w14:textFill>
            <w14:solidFill>
              <w14:schemeClr w14:val="tx1"/>
            </w14:solidFill>
          </w14:textFill>
        </w:rPr>
        <w:t>根据《环境影响评价技术导则</w:t>
      </w:r>
      <w:r>
        <w:rPr>
          <w:color w:val="000000" w:themeColor="text1"/>
          <w:kern w:val="0"/>
          <w:lang w:bidi="ar"/>
          <w14:textFill>
            <w14:solidFill>
              <w14:schemeClr w14:val="tx1"/>
            </w14:solidFill>
          </w14:textFill>
        </w:rPr>
        <w:t xml:space="preserve"> </w:t>
      </w:r>
      <w:r>
        <w:rPr>
          <w:rFonts w:hint="eastAsia" w:ascii="宋体" w:hAnsi="宋体" w:cs="宋体"/>
          <w:color w:val="000000" w:themeColor="text1"/>
          <w:kern w:val="0"/>
          <w:lang w:bidi="ar"/>
          <w14:textFill>
            <w14:solidFill>
              <w14:schemeClr w14:val="tx1"/>
            </w14:solidFill>
          </w14:textFill>
        </w:rPr>
        <w:t>生态影响》（</w:t>
      </w:r>
      <w:r>
        <w:rPr>
          <w:color w:val="000000" w:themeColor="text1"/>
          <w:kern w:val="0"/>
          <w:lang w:bidi="ar"/>
          <w14:textFill>
            <w14:solidFill>
              <w14:schemeClr w14:val="tx1"/>
            </w14:solidFill>
          </w14:textFill>
        </w:rPr>
        <w:t>HJ19-2022</w:t>
      </w:r>
      <w:r>
        <w:rPr>
          <w:rFonts w:hint="eastAsia" w:ascii="宋体" w:hAnsi="宋体" w:cs="宋体"/>
          <w:color w:val="000000" w:themeColor="text1"/>
          <w:kern w:val="0"/>
          <w:lang w:bidi="ar"/>
          <w14:textFill>
            <w14:solidFill>
              <w14:schemeClr w14:val="tx1"/>
            </w14:solidFill>
          </w14:textFill>
        </w:rPr>
        <w:t>），生态影响评价因子筛选结果详见表</w:t>
      </w:r>
      <w:r>
        <w:rPr>
          <w:color w:val="000000" w:themeColor="text1"/>
          <w:kern w:val="0"/>
          <w:lang w:bidi="ar"/>
          <w14:textFill>
            <w14:solidFill>
              <w14:schemeClr w14:val="tx1"/>
            </w14:solidFill>
          </w14:textFill>
        </w:rPr>
        <w:t>2.2-2</w:t>
      </w:r>
      <w:r>
        <w:rPr>
          <w:rFonts w:hint="eastAsia" w:ascii="宋体" w:hAnsi="宋体" w:cs="宋体"/>
          <w:color w:val="000000" w:themeColor="text1"/>
          <w:kern w:val="0"/>
          <w:lang w:bidi="ar"/>
          <w14:textFill>
            <w14:solidFill>
              <w14:schemeClr w14:val="tx1"/>
            </w14:solidFill>
          </w14:textFill>
        </w:rPr>
        <w:t>。</w:t>
      </w:r>
    </w:p>
    <w:p w14:paraId="4BB002D5">
      <w:pPr>
        <w:widowControl/>
        <w:ind w:firstLine="0" w:firstLineChars="0"/>
        <w:jc w:val="center"/>
        <w:rPr>
          <w:b/>
          <w:bCs/>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表2.2-2  本项目生态影响评价因子筛选表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2"/>
        <w:gridCol w:w="2276"/>
        <w:gridCol w:w="2674"/>
        <w:gridCol w:w="1388"/>
        <w:gridCol w:w="1052"/>
      </w:tblGrid>
      <w:tr w14:paraId="0F71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3A69824A">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受影响对象</w:t>
            </w:r>
          </w:p>
        </w:tc>
        <w:tc>
          <w:tcPr>
            <w:tcW w:w="2276" w:type="dxa"/>
            <w:vAlign w:val="center"/>
          </w:tcPr>
          <w:p w14:paraId="7CB833B6">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评价因子</w:t>
            </w:r>
          </w:p>
        </w:tc>
        <w:tc>
          <w:tcPr>
            <w:tcW w:w="2674" w:type="dxa"/>
            <w:vAlign w:val="center"/>
          </w:tcPr>
          <w:p w14:paraId="41A4BD5C">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工程内容及影响方式</w:t>
            </w:r>
          </w:p>
        </w:tc>
        <w:tc>
          <w:tcPr>
            <w:tcW w:w="1388" w:type="dxa"/>
            <w:vAlign w:val="center"/>
          </w:tcPr>
          <w:p w14:paraId="68015028">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影响性质</w:t>
            </w:r>
          </w:p>
        </w:tc>
        <w:tc>
          <w:tcPr>
            <w:tcW w:w="1052" w:type="dxa"/>
            <w:vAlign w:val="center"/>
          </w:tcPr>
          <w:p w14:paraId="156CF14A">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影响程度</w:t>
            </w:r>
          </w:p>
        </w:tc>
      </w:tr>
      <w:tr w14:paraId="025D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0C815B7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野生动、植物</w:t>
            </w:r>
          </w:p>
        </w:tc>
        <w:tc>
          <w:tcPr>
            <w:tcW w:w="2276" w:type="dxa"/>
            <w:vAlign w:val="center"/>
          </w:tcPr>
          <w:p w14:paraId="599E459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分布范围、种群数量、种群结构、行为等</w:t>
            </w:r>
          </w:p>
        </w:tc>
        <w:tc>
          <w:tcPr>
            <w:tcW w:w="2674" w:type="dxa"/>
            <w:vAlign w:val="center"/>
          </w:tcPr>
          <w:p w14:paraId="27E05A2B">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直接生态影响：施工噪声对野生动物行为产生干扰、施工临时占地对野生动植物生境造成破坏</w:t>
            </w:r>
          </w:p>
        </w:tc>
        <w:tc>
          <w:tcPr>
            <w:tcW w:w="1388" w:type="dxa"/>
            <w:vAlign w:val="center"/>
          </w:tcPr>
          <w:p w14:paraId="64EFF2D2">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短期，可逆</w:t>
            </w:r>
          </w:p>
        </w:tc>
        <w:tc>
          <w:tcPr>
            <w:tcW w:w="1052" w:type="dxa"/>
            <w:vAlign w:val="center"/>
          </w:tcPr>
          <w:p w14:paraId="64433BE7">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弱</w:t>
            </w:r>
          </w:p>
        </w:tc>
      </w:tr>
      <w:tr w14:paraId="3FD7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68CEE21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生境</w:t>
            </w:r>
          </w:p>
        </w:tc>
        <w:tc>
          <w:tcPr>
            <w:tcW w:w="2276" w:type="dxa"/>
            <w:vAlign w:val="center"/>
          </w:tcPr>
          <w:p w14:paraId="63C53FA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生境面积、质量、连通性等</w:t>
            </w:r>
          </w:p>
        </w:tc>
        <w:tc>
          <w:tcPr>
            <w:tcW w:w="2674" w:type="dxa"/>
            <w:vAlign w:val="center"/>
          </w:tcPr>
          <w:p w14:paraId="21273D8A">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直接生态影响：施工活动及临时占地对物种组成造成影响，对群落结构产生一定影响</w:t>
            </w:r>
          </w:p>
        </w:tc>
        <w:tc>
          <w:tcPr>
            <w:tcW w:w="1388" w:type="dxa"/>
            <w:vAlign w:val="center"/>
          </w:tcPr>
          <w:p w14:paraId="79708B21">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短期，可逆</w:t>
            </w:r>
          </w:p>
        </w:tc>
        <w:tc>
          <w:tcPr>
            <w:tcW w:w="1052" w:type="dxa"/>
            <w:vAlign w:val="center"/>
          </w:tcPr>
          <w:p w14:paraId="6D96737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弱</w:t>
            </w:r>
          </w:p>
        </w:tc>
      </w:tr>
      <w:tr w14:paraId="334D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4756E20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生物群落</w:t>
            </w:r>
          </w:p>
        </w:tc>
        <w:tc>
          <w:tcPr>
            <w:tcW w:w="2276" w:type="dxa"/>
            <w:vAlign w:val="center"/>
          </w:tcPr>
          <w:p w14:paraId="6B296966">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物种组成、群落结构等</w:t>
            </w:r>
          </w:p>
        </w:tc>
        <w:tc>
          <w:tcPr>
            <w:tcW w:w="2674" w:type="dxa"/>
            <w:vAlign w:val="center"/>
          </w:tcPr>
          <w:p w14:paraId="2EBD65DE">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直接生态影响：施工活动对野生动物行为产生干扰、施工临时占地造成植被覆盖度降低，生产力下降，生物量减少，从而对生态系统功能产生一定影响</w:t>
            </w:r>
          </w:p>
        </w:tc>
        <w:tc>
          <w:tcPr>
            <w:tcW w:w="1388" w:type="dxa"/>
            <w:vAlign w:val="center"/>
          </w:tcPr>
          <w:p w14:paraId="32F9BA3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短期，可逆</w:t>
            </w:r>
          </w:p>
        </w:tc>
        <w:tc>
          <w:tcPr>
            <w:tcW w:w="1052" w:type="dxa"/>
            <w:vAlign w:val="center"/>
          </w:tcPr>
          <w:p w14:paraId="316964D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弱</w:t>
            </w:r>
          </w:p>
        </w:tc>
      </w:tr>
      <w:tr w14:paraId="02A0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3685F77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生态系统</w:t>
            </w:r>
          </w:p>
        </w:tc>
        <w:tc>
          <w:tcPr>
            <w:tcW w:w="2276" w:type="dxa"/>
            <w:vAlign w:val="center"/>
          </w:tcPr>
          <w:p w14:paraId="4C7311F4">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植被覆盖度、生产力、生物量、生态系统功能等</w:t>
            </w:r>
          </w:p>
        </w:tc>
        <w:tc>
          <w:tcPr>
            <w:tcW w:w="2674" w:type="dxa"/>
            <w:vAlign w:val="center"/>
          </w:tcPr>
          <w:p w14:paraId="75849E4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直接生态影响：施工活动对野生动物行为产生干扰、施工临时占地造成植被覆盖度降低，生产力下降，生物量减少，从而对生态系统功能产生一定影响</w:t>
            </w:r>
          </w:p>
        </w:tc>
        <w:tc>
          <w:tcPr>
            <w:tcW w:w="1388" w:type="dxa"/>
            <w:vAlign w:val="center"/>
          </w:tcPr>
          <w:p w14:paraId="7BB9AF9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短期，可逆</w:t>
            </w:r>
          </w:p>
        </w:tc>
        <w:tc>
          <w:tcPr>
            <w:tcW w:w="1052" w:type="dxa"/>
            <w:vAlign w:val="center"/>
          </w:tcPr>
          <w:p w14:paraId="1D91EF9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弱</w:t>
            </w:r>
          </w:p>
        </w:tc>
      </w:tr>
      <w:tr w14:paraId="4520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68DC4F74">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生物多样性</w:t>
            </w:r>
          </w:p>
        </w:tc>
        <w:tc>
          <w:tcPr>
            <w:tcW w:w="2276" w:type="dxa"/>
            <w:vAlign w:val="center"/>
          </w:tcPr>
          <w:p w14:paraId="66E1087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物种丰富度、均匀度、优势度等</w:t>
            </w:r>
          </w:p>
        </w:tc>
        <w:tc>
          <w:tcPr>
            <w:tcW w:w="2674" w:type="dxa"/>
            <w:vAlign w:val="center"/>
          </w:tcPr>
          <w:p w14:paraId="620E4FE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直接生态影响：施工活动对物种丰富度、均匀度、优势度等产生一定影响</w:t>
            </w:r>
          </w:p>
        </w:tc>
        <w:tc>
          <w:tcPr>
            <w:tcW w:w="1388" w:type="dxa"/>
            <w:vAlign w:val="center"/>
          </w:tcPr>
          <w:p w14:paraId="5A1B9A12">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短期，可逆</w:t>
            </w:r>
          </w:p>
        </w:tc>
        <w:tc>
          <w:tcPr>
            <w:tcW w:w="1052" w:type="dxa"/>
            <w:vAlign w:val="center"/>
          </w:tcPr>
          <w:p w14:paraId="6FF27FE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弱</w:t>
            </w:r>
          </w:p>
        </w:tc>
      </w:tr>
      <w:tr w14:paraId="73A0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2" w:type="dxa"/>
            <w:vAlign w:val="center"/>
          </w:tcPr>
          <w:p w14:paraId="0F66AA0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自然景观</w:t>
            </w:r>
          </w:p>
        </w:tc>
        <w:tc>
          <w:tcPr>
            <w:tcW w:w="2276" w:type="dxa"/>
            <w:vAlign w:val="center"/>
          </w:tcPr>
          <w:p w14:paraId="70947F4A">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景观多样性、完整性等</w:t>
            </w:r>
          </w:p>
        </w:tc>
        <w:tc>
          <w:tcPr>
            <w:tcW w:w="2674" w:type="dxa"/>
            <w:vAlign w:val="center"/>
          </w:tcPr>
          <w:p w14:paraId="0BE42A0E">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直接生态影响：自然景观产生的影响</w:t>
            </w:r>
          </w:p>
        </w:tc>
        <w:tc>
          <w:tcPr>
            <w:tcW w:w="1388" w:type="dxa"/>
            <w:vAlign w:val="center"/>
          </w:tcPr>
          <w:p w14:paraId="4B2E0B6A">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长期，不可逆</w:t>
            </w:r>
          </w:p>
        </w:tc>
        <w:tc>
          <w:tcPr>
            <w:tcW w:w="1052" w:type="dxa"/>
            <w:vAlign w:val="center"/>
          </w:tcPr>
          <w:p w14:paraId="4078C16B">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弱</w:t>
            </w:r>
          </w:p>
        </w:tc>
      </w:tr>
    </w:tbl>
    <w:p w14:paraId="7F9EDBE5">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2.2.2</w:t>
      </w:r>
      <w:r>
        <w:rPr>
          <w:rFonts w:hint="eastAsia"/>
          <w:color w:val="000000" w:themeColor="text1"/>
          <w:sz w:val="28"/>
          <w:szCs w:val="28"/>
          <w14:textFill>
            <w14:solidFill>
              <w14:schemeClr w14:val="tx1"/>
            </w14:solidFill>
          </w14:textFill>
        </w:rPr>
        <w:t>评价标准</w:t>
      </w:r>
      <w:bookmarkEnd w:id="260"/>
      <w:bookmarkEnd w:id="261"/>
      <w:bookmarkEnd w:id="262"/>
      <w:bookmarkEnd w:id="263"/>
      <w:bookmarkEnd w:id="264"/>
      <w:bookmarkEnd w:id="265"/>
      <w:bookmarkEnd w:id="266"/>
      <w:bookmarkEnd w:id="267"/>
      <w:bookmarkEnd w:id="268"/>
      <w:bookmarkEnd w:id="269"/>
    </w:p>
    <w:p w14:paraId="0C66CCE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本次环境影响评价执行标准见表</w:t>
      </w:r>
      <w:r>
        <w:rPr>
          <w:color w:val="000000" w:themeColor="text1"/>
          <w14:textFill>
            <w14:solidFill>
              <w14:schemeClr w14:val="tx1"/>
            </w14:solidFill>
          </w14:textFill>
        </w:rPr>
        <w:t>2.2-</w:t>
      </w:r>
      <w:r>
        <w:rPr>
          <w:rFonts w:hint="eastAsia"/>
          <w:color w:val="000000" w:themeColor="text1"/>
          <w14:textFill>
            <w14:solidFill>
              <w14:schemeClr w14:val="tx1"/>
            </w14:solidFill>
          </w14:textFill>
        </w:rPr>
        <w:t>3。</w:t>
      </w:r>
    </w:p>
    <w:p w14:paraId="5ECFF610">
      <w:pPr>
        <w:ind w:firstLine="422"/>
        <w:jc w:val="center"/>
        <w:rPr>
          <w:b/>
          <w:bCs/>
          <w:color w:val="000000" w:themeColor="text1"/>
          <w:kern w:val="0"/>
          <w:sz w:val="21"/>
          <w:szCs w:val="21"/>
          <w:highlight w:val="green"/>
          <w14:textFill>
            <w14:solidFill>
              <w14:schemeClr w14:val="tx1"/>
            </w14:solidFill>
          </w14:textFill>
        </w:rPr>
      </w:pPr>
      <w:bookmarkStart w:id="270" w:name="_Toc21784"/>
      <w:bookmarkStart w:id="271" w:name="_Toc30783"/>
      <w:bookmarkStart w:id="272" w:name="_Toc26712"/>
      <w:bookmarkStart w:id="273" w:name="_Toc1270"/>
      <w:bookmarkStart w:id="274" w:name="_Toc32130"/>
      <w:bookmarkStart w:id="275" w:name="_Toc5651"/>
      <w:bookmarkStart w:id="276" w:name="_Toc14930"/>
      <w:bookmarkStart w:id="277" w:name="_Toc16533"/>
      <w:bookmarkStart w:id="278" w:name="_Toc22489"/>
      <w:bookmarkStart w:id="279" w:name="_Toc18685"/>
      <w:r>
        <w:rPr>
          <w:b/>
          <w:bCs/>
          <w:color w:val="000000" w:themeColor="text1"/>
          <w:kern w:val="0"/>
          <w:sz w:val="21"/>
          <w:szCs w:val="21"/>
          <w14:textFill>
            <w14:solidFill>
              <w14:schemeClr w14:val="tx1"/>
            </w14:solidFill>
          </w14:textFill>
        </w:rPr>
        <w:t>表2.2-</w:t>
      </w:r>
      <w:r>
        <w:rPr>
          <w:rFonts w:hint="eastAsia"/>
          <w:b/>
          <w:bCs/>
          <w:color w:val="000000" w:themeColor="text1"/>
          <w:kern w:val="0"/>
          <w:sz w:val="21"/>
          <w:szCs w:val="21"/>
          <w14:textFill>
            <w14:solidFill>
              <w14:schemeClr w14:val="tx1"/>
            </w14:solidFill>
          </w14:textFill>
        </w:rPr>
        <w:t>3</w:t>
      </w:r>
      <w:r>
        <w:rPr>
          <w:b/>
          <w:bCs/>
          <w:color w:val="000000" w:themeColor="text1"/>
          <w:kern w:val="0"/>
          <w:sz w:val="21"/>
          <w:szCs w:val="21"/>
          <w14:textFill>
            <w14:solidFill>
              <w14:schemeClr w14:val="tx1"/>
            </w14:solidFill>
          </w14:textFill>
        </w:rPr>
        <w:t xml:space="preserve">  环境影响评价执行标准表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805"/>
        <w:gridCol w:w="1744"/>
        <w:gridCol w:w="1068"/>
        <w:gridCol w:w="2693"/>
        <w:gridCol w:w="1413"/>
      </w:tblGrid>
      <w:tr w14:paraId="0DD1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Align w:val="center"/>
          </w:tcPr>
          <w:p w14:paraId="6B1FA178">
            <w:pPr>
              <w:pStyle w:val="40"/>
              <w:rPr>
                <w:bCs/>
                <w:color w:val="000000" w:themeColor="text1"/>
                <w14:textFill>
                  <w14:solidFill>
                    <w14:schemeClr w14:val="tx1"/>
                  </w14:solidFill>
                </w14:textFill>
              </w:rPr>
            </w:pPr>
            <w:r>
              <w:rPr>
                <w:bCs/>
                <w:color w:val="000000" w:themeColor="text1"/>
                <w14:textFill>
                  <w14:solidFill>
                    <w14:schemeClr w14:val="tx1"/>
                  </w14:solidFill>
                </w14:textFill>
              </w:rPr>
              <w:t>类别</w:t>
            </w:r>
          </w:p>
        </w:tc>
        <w:tc>
          <w:tcPr>
            <w:tcW w:w="472" w:type="pct"/>
            <w:vAlign w:val="center"/>
          </w:tcPr>
          <w:p w14:paraId="37827ABF">
            <w:pPr>
              <w:pStyle w:val="40"/>
              <w:rPr>
                <w:bCs/>
                <w:color w:val="000000" w:themeColor="text1"/>
                <w14:textFill>
                  <w14:solidFill>
                    <w14:schemeClr w14:val="tx1"/>
                  </w14:solidFill>
                </w14:textFill>
              </w:rPr>
            </w:pPr>
            <w:r>
              <w:rPr>
                <w:bCs/>
                <w:color w:val="000000" w:themeColor="text1"/>
                <w14:textFill>
                  <w14:solidFill>
                    <w14:schemeClr w14:val="tx1"/>
                  </w14:solidFill>
                </w14:textFill>
              </w:rPr>
              <w:t>评价项目</w:t>
            </w:r>
          </w:p>
        </w:tc>
        <w:tc>
          <w:tcPr>
            <w:tcW w:w="4058" w:type="pct"/>
            <w:gridSpan w:val="4"/>
            <w:vAlign w:val="center"/>
          </w:tcPr>
          <w:p w14:paraId="23ABB87F">
            <w:pPr>
              <w:pStyle w:val="40"/>
              <w:rPr>
                <w:bCs/>
                <w:color w:val="000000" w:themeColor="text1"/>
                <w14:textFill>
                  <w14:solidFill>
                    <w14:schemeClr w14:val="tx1"/>
                  </w14:solidFill>
                </w14:textFill>
              </w:rPr>
            </w:pPr>
            <w:r>
              <w:rPr>
                <w:bCs/>
                <w:color w:val="000000" w:themeColor="text1"/>
                <w14:textFill>
                  <w14:solidFill>
                    <w14:schemeClr w14:val="tx1"/>
                  </w14:solidFill>
                </w14:textFill>
              </w:rPr>
              <w:t>评价标准</w:t>
            </w:r>
          </w:p>
        </w:tc>
      </w:tr>
      <w:tr w14:paraId="1BA1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restart"/>
            <w:vAlign w:val="center"/>
          </w:tcPr>
          <w:p w14:paraId="3E4386B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环境质量标准</w:t>
            </w:r>
          </w:p>
        </w:tc>
        <w:tc>
          <w:tcPr>
            <w:tcW w:w="472" w:type="pct"/>
            <w:vMerge w:val="restart"/>
            <w:vAlign w:val="center"/>
          </w:tcPr>
          <w:p w14:paraId="3F95310B">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声环境</w:t>
            </w:r>
          </w:p>
        </w:tc>
        <w:tc>
          <w:tcPr>
            <w:tcW w:w="1023" w:type="pct"/>
            <w:vAlign w:val="center"/>
          </w:tcPr>
          <w:p w14:paraId="59873CCD">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输电线路沿线</w:t>
            </w:r>
          </w:p>
        </w:tc>
        <w:tc>
          <w:tcPr>
            <w:tcW w:w="3035" w:type="pct"/>
            <w:gridSpan w:val="3"/>
            <w:vAlign w:val="center"/>
          </w:tcPr>
          <w:p w14:paraId="7FAF56E4">
            <w:pPr>
              <w:pStyle w:val="40"/>
              <w:rPr>
                <w:rFonts w:hint="default" w:eastAsia="宋体"/>
                <w:b w:val="0"/>
                <w:bCs/>
                <w:color w:val="000000" w:themeColor="text1"/>
                <w:lang w:val="en-US" w:eastAsia="zh-CN"/>
                <w14:textFill>
                  <w14:solidFill>
                    <w14:schemeClr w14:val="tx1"/>
                  </w14:solidFill>
                </w14:textFill>
              </w:rPr>
            </w:pPr>
            <w:r>
              <w:rPr>
                <w:b w:val="0"/>
                <w:bCs/>
                <w:color w:val="000000" w:themeColor="text1"/>
                <w14:textFill>
                  <w14:solidFill>
                    <w14:schemeClr w14:val="tx1"/>
                  </w14:solidFill>
                </w14:textFill>
              </w:rPr>
              <w:t>根据《声环境质量标准》（GB3096-2008）中规定，本</w:t>
            </w:r>
            <w:r>
              <w:rPr>
                <w:rFonts w:hint="eastAsia"/>
                <w:b w:val="0"/>
                <w:bCs/>
                <w:color w:val="000000" w:themeColor="text1"/>
                <w14:textFill>
                  <w14:solidFill>
                    <w14:schemeClr w14:val="tx1"/>
                  </w14:solidFill>
                </w14:textFill>
              </w:rPr>
              <w:t>项目输电线路</w:t>
            </w:r>
            <w:r>
              <w:rPr>
                <w:rFonts w:hint="eastAsia"/>
                <w:b w:val="0"/>
                <w:bCs/>
                <w:color w:val="000000" w:themeColor="text1"/>
                <w:lang w:val="en-US" w:eastAsia="zh-CN"/>
                <w14:textFill>
                  <w14:solidFill>
                    <w14:schemeClr w14:val="tx1"/>
                  </w14:solidFill>
                </w14:textFill>
              </w:rPr>
              <w:t>起点、终点边</w:t>
            </w:r>
            <w:r>
              <w:rPr>
                <w:rFonts w:hint="eastAsia"/>
                <w:b w:val="0"/>
                <w:bCs/>
                <w:color w:val="000000" w:themeColor="text1"/>
                <w14:textFill>
                  <w14:solidFill>
                    <w14:schemeClr w14:val="tx1"/>
                  </w14:solidFill>
                </w14:textFill>
              </w:rPr>
              <w:t>导线地面投影两侧各50m范围</w:t>
            </w:r>
            <w:r>
              <w:rPr>
                <w:b w:val="0"/>
                <w:bCs/>
                <w:color w:val="000000" w:themeColor="text1"/>
                <w14:textFill>
                  <w14:solidFill>
                    <w14:schemeClr w14:val="tx1"/>
                  </w14:solidFill>
                </w14:textFill>
              </w:rPr>
              <w:t>执行</w:t>
            </w:r>
            <w:r>
              <w:rPr>
                <w:rFonts w:hint="eastAsia"/>
                <w:b w:val="0"/>
                <w:bCs/>
                <w:color w:val="000000" w:themeColor="text1"/>
                <w:lang w:val="en-US" w:eastAsia="zh-CN"/>
                <w14:textFill>
                  <w14:solidFill>
                    <w14:schemeClr w14:val="tx1"/>
                  </w14:solidFill>
                </w14:textFill>
              </w:rPr>
              <w:t>3</w:t>
            </w:r>
            <w:r>
              <w:rPr>
                <w:b w:val="0"/>
                <w:bCs/>
                <w:color w:val="000000" w:themeColor="text1"/>
                <w14:textFill>
                  <w14:solidFill>
                    <w14:schemeClr w14:val="tx1"/>
                  </w14:solidFill>
                </w14:textFill>
              </w:rPr>
              <w:t>类声环境质量标准（昼间</w:t>
            </w:r>
            <w:r>
              <w:rPr>
                <w:rFonts w:hint="eastAsia"/>
                <w:b w:val="0"/>
                <w:bCs/>
                <w:color w:val="000000" w:themeColor="text1"/>
                <w14:textFill>
                  <w14:solidFill>
                    <w14:schemeClr w14:val="tx1"/>
                  </w14:solidFill>
                </w14:textFill>
              </w:rPr>
              <w:t>6</w:t>
            </w:r>
            <w:r>
              <w:rPr>
                <w:rFonts w:hint="eastAsia"/>
                <w:b w:val="0"/>
                <w:bCs/>
                <w:color w:val="000000" w:themeColor="text1"/>
                <w:lang w:val="en-US" w:eastAsia="zh-CN"/>
                <w14:textFill>
                  <w14:solidFill>
                    <w14:schemeClr w14:val="tx1"/>
                  </w14:solidFill>
                </w14:textFill>
              </w:rPr>
              <w:t>5</w:t>
            </w: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，夜间5</w:t>
            </w:r>
            <w:r>
              <w:rPr>
                <w:rFonts w:hint="eastAsia"/>
                <w:b w:val="0"/>
                <w:bCs/>
                <w:color w:val="000000" w:themeColor="text1"/>
                <w:lang w:val="en-US" w:eastAsia="zh-CN"/>
                <w14:textFill>
                  <w14:solidFill>
                    <w14:schemeClr w14:val="tx1"/>
                  </w14:solidFill>
                </w14:textFill>
              </w:rPr>
              <w:t>5</w:t>
            </w: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w:t>
            </w:r>
            <w:r>
              <w:rPr>
                <w:rFonts w:hint="eastAsia"/>
                <w:b w:val="0"/>
                <w:bCs/>
                <w:color w:val="000000" w:themeColor="text1"/>
                <w:lang w:eastAsia="zh-CN"/>
                <w14:textFill>
                  <w14:solidFill>
                    <w14:schemeClr w14:val="tx1"/>
                  </w14:solidFill>
                </w14:textFill>
              </w:rPr>
              <w:t>，</w:t>
            </w:r>
            <w:r>
              <w:rPr>
                <w:rFonts w:hint="eastAsia"/>
                <w:b w:val="0"/>
                <w:bCs/>
                <w:color w:val="000000" w:themeColor="text1"/>
                <w:lang w:val="en-US" w:eastAsia="zh-CN"/>
                <w14:textFill>
                  <w14:solidFill>
                    <w14:schemeClr w14:val="tx1"/>
                  </w14:solidFill>
                </w14:textFill>
              </w:rPr>
              <w:t>线路其余线段</w:t>
            </w:r>
            <w:r>
              <w:rPr>
                <w:b w:val="0"/>
                <w:bCs/>
                <w:color w:val="000000" w:themeColor="text1"/>
                <w14:textFill>
                  <w14:solidFill>
                    <w14:schemeClr w14:val="tx1"/>
                  </w14:solidFill>
                </w14:textFill>
              </w:rPr>
              <w:t>执行</w:t>
            </w:r>
            <w:r>
              <w:rPr>
                <w:rFonts w:hint="eastAsia"/>
                <w:b w:val="0"/>
                <w:bCs/>
                <w:color w:val="000000" w:themeColor="text1"/>
                <w:lang w:val="en-US" w:eastAsia="zh-CN"/>
                <w14:textFill>
                  <w14:solidFill>
                    <w14:schemeClr w14:val="tx1"/>
                  </w14:solidFill>
                </w14:textFill>
              </w:rPr>
              <w:t>2</w:t>
            </w:r>
            <w:r>
              <w:rPr>
                <w:b w:val="0"/>
                <w:bCs/>
                <w:color w:val="000000" w:themeColor="text1"/>
                <w14:textFill>
                  <w14:solidFill>
                    <w14:schemeClr w14:val="tx1"/>
                  </w14:solidFill>
                </w14:textFill>
              </w:rPr>
              <w:t>类声环境质量标准（昼间</w:t>
            </w:r>
            <w:r>
              <w:rPr>
                <w:rFonts w:hint="eastAsia"/>
                <w:b w:val="0"/>
                <w:bCs/>
                <w:color w:val="000000" w:themeColor="text1"/>
                <w14:textFill>
                  <w14:solidFill>
                    <w14:schemeClr w14:val="tx1"/>
                  </w14:solidFill>
                </w14:textFill>
              </w:rPr>
              <w:t>6</w:t>
            </w:r>
            <w:r>
              <w:rPr>
                <w:rFonts w:hint="eastAsia"/>
                <w:b w:val="0"/>
                <w:bCs/>
                <w:color w:val="000000" w:themeColor="text1"/>
                <w:lang w:val="en-US" w:eastAsia="zh-CN"/>
                <w14:textFill>
                  <w14:solidFill>
                    <w14:schemeClr w14:val="tx1"/>
                  </w14:solidFill>
                </w14:textFill>
              </w:rPr>
              <w:t>0</w:t>
            </w: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，夜间5</w:t>
            </w:r>
            <w:r>
              <w:rPr>
                <w:rFonts w:hint="eastAsia"/>
                <w:b w:val="0"/>
                <w:bCs/>
                <w:color w:val="000000" w:themeColor="text1"/>
                <w:lang w:val="en-US" w:eastAsia="zh-CN"/>
                <w14:textFill>
                  <w14:solidFill>
                    <w14:schemeClr w14:val="tx1"/>
                  </w14:solidFill>
                </w14:textFill>
              </w:rPr>
              <w:t>0</w:t>
            </w: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w:t>
            </w:r>
          </w:p>
        </w:tc>
      </w:tr>
      <w:tr w14:paraId="75E4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vAlign w:val="center"/>
          </w:tcPr>
          <w:p w14:paraId="3C300000">
            <w:pPr>
              <w:pStyle w:val="40"/>
              <w:rPr>
                <w:b w:val="0"/>
                <w:bCs/>
                <w:color w:val="000000" w:themeColor="text1"/>
                <w14:textFill>
                  <w14:solidFill>
                    <w14:schemeClr w14:val="tx1"/>
                  </w14:solidFill>
                </w14:textFill>
              </w:rPr>
            </w:pPr>
          </w:p>
        </w:tc>
        <w:tc>
          <w:tcPr>
            <w:tcW w:w="472" w:type="pct"/>
            <w:vMerge w:val="continue"/>
            <w:vAlign w:val="center"/>
          </w:tcPr>
          <w:p w14:paraId="42CFA17F">
            <w:pPr>
              <w:pStyle w:val="40"/>
              <w:rPr>
                <w:b w:val="0"/>
                <w:bCs/>
                <w:color w:val="000000" w:themeColor="text1"/>
                <w14:textFill>
                  <w14:solidFill>
                    <w14:schemeClr w14:val="tx1"/>
                  </w14:solidFill>
                </w14:textFill>
              </w:rPr>
            </w:pPr>
          </w:p>
        </w:tc>
        <w:tc>
          <w:tcPr>
            <w:tcW w:w="1023" w:type="pct"/>
            <w:vAlign w:val="center"/>
          </w:tcPr>
          <w:p w14:paraId="1DE5550E">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G315国道、G0612西和高速两侧35m</w:t>
            </w:r>
          </w:p>
        </w:tc>
        <w:tc>
          <w:tcPr>
            <w:tcW w:w="3035" w:type="pct"/>
            <w:gridSpan w:val="3"/>
            <w:vAlign w:val="center"/>
          </w:tcPr>
          <w:p w14:paraId="1DB3F306">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根据《声环境质量标准》（GB3096-2008）中规定，本</w:t>
            </w:r>
            <w:r>
              <w:rPr>
                <w:rFonts w:hint="eastAsia"/>
                <w:b w:val="0"/>
                <w:bCs/>
                <w:color w:val="000000" w:themeColor="text1"/>
                <w14:textFill>
                  <w14:solidFill>
                    <w14:schemeClr w14:val="tx1"/>
                  </w14:solidFill>
                </w14:textFill>
              </w:rPr>
              <w:t>项目</w:t>
            </w:r>
            <w:r>
              <w:rPr>
                <w:rFonts w:hint="eastAsia"/>
                <w:b w:val="0"/>
                <w:bCs/>
                <w:color w:val="000000" w:themeColor="text1"/>
                <w:lang w:val="en-US" w:eastAsia="zh-CN"/>
                <w14:textFill>
                  <w14:solidFill>
                    <w14:schemeClr w14:val="tx1"/>
                  </w14:solidFill>
                </w14:textFill>
              </w:rPr>
              <w:t>跨越G315国道、G0612西和高速的</w:t>
            </w:r>
            <w:r>
              <w:rPr>
                <w:rFonts w:hint="eastAsia"/>
                <w:b w:val="0"/>
                <w:bCs/>
                <w:color w:val="000000" w:themeColor="text1"/>
                <w14:textFill>
                  <w14:solidFill>
                    <w14:schemeClr w14:val="tx1"/>
                  </w14:solidFill>
                </w14:textFill>
              </w:rPr>
              <w:t>输电线路</w:t>
            </w:r>
            <w:r>
              <w:rPr>
                <w:rFonts w:hint="eastAsia"/>
                <w:b w:val="0"/>
                <w:bCs/>
                <w:color w:val="000000" w:themeColor="text1"/>
                <w:lang w:val="en-US" w:eastAsia="zh-CN"/>
                <w14:textFill>
                  <w14:solidFill>
                    <w14:schemeClr w14:val="tx1"/>
                  </w14:solidFill>
                </w14:textFill>
              </w:rPr>
              <w:t>两侧35m范围内</w:t>
            </w:r>
            <w:r>
              <w:rPr>
                <w:b w:val="0"/>
                <w:bCs/>
                <w:color w:val="000000" w:themeColor="text1"/>
                <w14:textFill>
                  <w14:solidFill>
                    <w14:schemeClr w14:val="tx1"/>
                  </w14:solidFill>
                </w14:textFill>
              </w:rPr>
              <w:t>执行</w:t>
            </w:r>
            <w:r>
              <w:rPr>
                <w:rFonts w:hint="eastAsia"/>
                <w:b w:val="0"/>
                <w:bCs/>
                <w:color w:val="000000" w:themeColor="text1"/>
                <w:lang w:val="en-US" w:eastAsia="zh-CN"/>
                <w14:textFill>
                  <w14:solidFill>
                    <w14:schemeClr w14:val="tx1"/>
                  </w14:solidFill>
                </w14:textFill>
              </w:rPr>
              <w:t>4a</w:t>
            </w:r>
            <w:r>
              <w:rPr>
                <w:b w:val="0"/>
                <w:bCs/>
                <w:color w:val="000000" w:themeColor="text1"/>
                <w14:textFill>
                  <w14:solidFill>
                    <w14:schemeClr w14:val="tx1"/>
                  </w14:solidFill>
                </w14:textFill>
              </w:rPr>
              <w:t>类声环境质量标准（昼间</w:t>
            </w:r>
            <w:r>
              <w:rPr>
                <w:rFonts w:hint="eastAsia"/>
                <w:b w:val="0"/>
                <w:bCs/>
                <w:color w:val="000000" w:themeColor="text1"/>
                <w:lang w:val="en-US" w:eastAsia="zh-CN"/>
                <w14:textFill>
                  <w14:solidFill>
                    <w14:schemeClr w14:val="tx1"/>
                  </w14:solidFill>
                </w14:textFill>
              </w:rPr>
              <w:t>70</w:t>
            </w: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，夜间5</w:t>
            </w:r>
            <w:r>
              <w:rPr>
                <w:rFonts w:hint="eastAsia"/>
                <w:b w:val="0"/>
                <w:bCs/>
                <w:color w:val="000000" w:themeColor="text1"/>
                <w:lang w:val="en-US" w:eastAsia="zh-CN"/>
                <w14:textFill>
                  <w14:solidFill>
                    <w14:schemeClr w14:val="tx1"/>
                  </w14:solidFill>
                </w14:textFill>
              </w:rPr>
              <w:t>5</w:t>
            </w: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w:t>
            </w:r>
          </w:p>
        </w:tc>
      </w:tr>
      <w:tr w14:paraId="13DE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vAlign w:val="center"/>
          </w:tcPr>
          <w:p w14:paraId="57FE5446">
            <w:pPr>
              <w:pStyle w:val="40"/>
              <w:rPr>
                <w:b w:val="0"/>
                <w:bCs/>
                <w:color w:val="000000" w:themeColor="text1"/>
                <w14:textFill>
                  <w14:solidFill>
                    <w14:schemeClr w14:val="tx1"/>
                  </w14:solidFill>
                </w14:textFill>
              </w:rPr>
            </w:pPr>
          </w:p>
        </w:tc>
        <w:tc>
          <w:tcPr>
            <w:tcW w:w="472" w:type="pct"/>
            <w:vMerge w:val="continue"/>
            <w:vAlign w:val="center"/>
          </w:tcPr>
          <w:p w14:paraId="5802AD9C">
            <w:pPr>
              <w:pStyle w:val="40"/>
              <w:rPr>
                <w:b w:val="0"/>
                <w:bCs/>
                <w:color w:val="000000" w:themeColor="text1"/>
                <w14:textFill>
                  <w14:solidFill>
                    <w14:schemeClr w14:val="tx1"/>
                  </w14:solidFill>
                </w14:textFill>
              </w:rPr>
            </w:pPr>
          </w:p>
        </w:tc>
        <w:tc>
          <w:tcPr>
            <w:tcW w:w="1023" w:type="pct"/>
            <w:vAlign w:val="center"/>
          </w:tcPr>
          <w:p w14:paraId="6444DA1F">
            <w:pPr>
              <w:pStyle w:val="40"/>
              <w:rPr>
                <w:rFonts w:hint="default"/>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格库铁路两侧35m</w:t>
            </w:r>
          </w:p>
        </w:tc>
        <w:tc>
          <w:tcPr>
            <w:tcW w:w="3035" w:type="pct"/>
            <w:gridSpan w:val="3"/>
            <w:vAlign w:val="center"/>
          </w:tcPr>
          <w:p w14:paraId="330DADEB">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根据《声环境质量标准》（GB3096-2008）中规定，本</w:t>
            </w:r>
            <w:r>
              <w:rPr>
                <w:rFonts w:hint="eastAsia"/>
                <w:b w:val="0"/>
                <w:bCs/>
                <w:color w:val="000000" w:themeColor="text1"/>
                <w14:textFill>
                  <w14:solidFill>
                    <w14:schemeClr w14:val="tx1"/>
                  </w14:solidFill>
                </w14:textFill>
              </w:rPr>
              <w:t>项目</w:t>
            </w:r>
            <w:r>
              <w:rPr>
                <w:rFonts w:hint="eastAsia"/>
                <w:b w:val="0"/>
                <w:bCs/>
                <w:color w:val="000000" w:themeColor="text1"/>
                <w:lang w:val="en-US" w:eastAsia="zh-CN"/>
                <w14:textFill>
                  <w14:solidFill>
                    <w14:schemeClr w14:val="tx1"/>
                  </w14:solidFill>
                </w14:textFill>
              </w:rPr>
              <w:t>跨越格库铁路的</w:t>
            </w:r>
            <w:r>
              <w:rPr>
                <w:rFonts w:hint="eastAsia"/>
                <w:b w:val="0"/>
                <w:bCs/>
                <w:color w:val="000000" w:themeColor="text1"/>
                <w14:textFill>
                  <w14:solidFill>
                    <w14:schemeClr w14:val="tx1"/>
                  </w14:solidFill>
                </w14:textFill>
              </w:rPr>
              <w:t>输电线路</w:t>
            </w:r>
            <w:r>
              <w:rPr>
                <w:rFonts w:hint="eastAsia"/>
                <w:b w:val="0"/>
                <w:bCs/>
                <w:color w:val="000000" w:themeColor="text1"/>
                <w:lang w:val="en-US" w:eastAsia="zh-CN"/>
                <w14:textFill>
                  <w14:solidFill>
                    <w14:schemeClr w14:val="tx1"/>
                  </w14:solidFill>
                </w14:textFill>
              </w:rPr>
              <w:t>两侧35m范围内</w:t>
            </w:r>
            <w:r>
              <w:rPr>
                <w:b w:val="0"/>
                <w:bCs/>
                <w:color w:val="000000" w:themeColor="text1"/>
                <w14:textFill>
                  <w14:solidFill>
                    <w14:schemeClr w14:val="tx1"/>
                  </w14:solidFill>
                </w14:textFill>
              </w:rPr>
              <w:t>执行</w:t>
            </w:r>
            <w:r>
              <w:rPr>
                <w:rFonts w:hint="eastAsia"/>
                <w:b w:val="0"/>
                <w:bCs/>
                <w:color w:val="000000" w:themeColor="text1"/>
                <w:lang w:val="en-US" w:eastAsia="zh-CN"/>
                <w14:textFill>
                  <w14:solidFill>
                    <w14:schemeClr w14:val="tx1"/>
                  </w14:solidFill>
                </w14:textFill>
              </w:rPr>
              <w:t>4b</w:t>
            </w:r>
            <w:r>
              <w:rPr>
                <w:b w:val="0"/>
                <w:bCs/>
                <w:color w:val="000000" w:themeColor="text1"/>
                <w14:textFill>
                  <w14:solidFill>
                    <w14:schemeClr w14:val="tx1"/>
                  </w14:solidFill>
                </w14:textFill>
              </w:rPr>
              <w:t>声环境质量标准（昼间</w:t>
            </w:r>
            <w:r>
              <w:rPr>
                <w:rFonts w:hint="eastAsia"/>
                <w:b w:val="0"/>
                <w:bCs/>
                <w:color w:val="000000" w:themeColor="text1"/>
                <w:lang w:val="en-US" w:eastAsia="zh-CN"/>
                <w14:textFill>
                  <w14:solidFill>
                    <w14:schemeClr w14:val="tx1"/>
                  </w14:solidFill>
                </w14:textFill>
              </w:rPr>
              <w:t>70</w:t>
            </w: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，夜间</w:t>
            </w:r>
            <w:r>
              <w:rPr>
                <w:rFonts w:hint="eastAsia"/>
                <w:b w:val="0"/>
                <w:bCs/>
                <w:color w:val="000000" w:themeColor="text1"/>
                <w:lang w:val="en-US" w:eastAsia="zh-CN"/>
                <w14:textFill>
                  <w14:solidFill>
                    <w14:schemeClr w14:val="tx1"/>
                  </w14:solidFill>
                </w14:textFill>
              </w:rPr>
              <w:t>60</w:t>
            </w:r>
            <w:r>
              <w:rPr>
                <w:b w:val="0"/>
                <w:bCs/>
                <w:color w:val="000000" w:themeColor="text1"/>
                <w14:textFill>
                  <w14:solidFill>
                    <w14:schemeClr w14:val="tx1"/>
                  </w14:solidFill>
                </w14:textFill>
              </w:rPr>
              <w:t>dB</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A</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w:t>
            </w:r>
          </w:p>
        </w:tc>
      </w:tr>
      <w:tr w14:paraId="64A4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8" w:type="pct"/>
            <w:vMerge w:val="continue"/>
            <w:vAlign w:val="center"/>
          </w:tcPr>
          <w:p w14:paraId="0218482E">
            <w:pPr>
              <w:pStyle w:val="40"/>
              <w:rPr>
                <w:b w:val="0"/>
                <w:bCs/>
                <w:color w:val="000000" w:themeColor="text1"/>
                <w14:textFill>
                  <w14:solidFill>
                    <w14:schemeClr w14:val="tx1"/>
                  </w14:solidFill>
                </w14:textFill>
              </w:rPr>
            </w:pPr>
          </w:p>
        </w:tc>
        <w:tc>
          <w:tcPr>
            <w:tcW w:w="472" w:type="pct"/>
            <w:vMerge w:val="restart"/>
            <w:vAlign w:val="center"/>
          </w:tcPr>
          <w:p w14:paraId="646FE063">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工频电场、工频磁场</w:t>
            </w:r>
          </w:p>
        </w:tc>
        <w:tc>
          <w:tcPr>
            <w:tcW w:w="1023" w:type="pct"/>
            <w:vMerge w:val="restart"/>
            <w:vAlign w:val="center"/>
          </w:tcPr>
          <w:p w14:paraId="33001A72">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《电磁环境控制限值》（GB8702-2014）</w:t>
            </w:r>
          </w:p>
        </w:tc>
        <w:tc>
          <w:tcPr>
            <w:tcW w:w="626" w:type="pct"/>
            <w:vMerge w:val="restart"/>
            <w:vAlign w:val="center"/>
          </w:tcPr>
          <w:p w14:paraId="26035125">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工频电场强度</w:t>
            </w:r>
          </w:p>
        </w:tc>
        <w:tc>
          <w:tcPr>
            <w:tcW w:w="2409" w:type="pct"/>
            <w:gridSpan w:val="2"/>
            <w:vAlign w:val="center"/>
          </w:tcPr>
          <w:p w14:paraId="684CC817">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公众曝露控制限值：4kV/m</w:t>
            </w:r>
          </w:p>
        </w:tc>
      </w:tr>
      <w:tr w14:paraId="68CD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8" w:type="pct"/>
            <w:vMerge w:val="continue"/>
            <w:vAlign w:val="center"/>
          </w:tcPr>
          <w:p w14:paraId="27B48E47">
            <w:pPr>
              <w:pStyle w:val="40"/>
              <w:rPr>
                <w:b w:val="0"/>
                <w:bCs/>
                <w:color w:val="000000" w:themeColor="text1"/>
                <w14:textFill>
                  <w14:solidFill>
                    <w14:schemeClr w14:val="tx1"/>
                  </w14:solidFill>
                </w14:textFill>
              </w:rPr>
            </w:pPr>
          </w:p>
        </w:tc>
        <w:tc>
          <w:tcPr>
            <w:tcW w:w="472" w:type="pct"/>
            <w:vMerge w:val="continue"/>
            <w:vAlign w:val="center"/>
          </w:tcPr>
          <w:p w14:paraId="54C2FB6E">
            <w:pPr>
              <w:pStyle w:val="40"/>
              <w:rPr>
                <w:b w:val="0"/>
                <w:bCs/>
                <w:color w:val="000000" w:themeColor="text1"/>
                <w14:textFill>
                  <w14:solidFill>
                    <w14:schemeClr w14:val="tx1"/>
                  </w14:solidFill>
                </w14:textFill>
              </w:rPr>
            </w:pPr>
          </w:p>
        </w:tc>
        <w:tc>
          <w:tcPr>
            <w:tcW w:w="1023" w:type="pct"/>
            <w:vMerge w:val="continue"/>
            <w:vAlign w:val="center"/>
          </w:tcPr>
          <w:p w14:paraId="5734894B">
            <w:pPr>
              <w:pStyle w:val="40"/>
              <w:rPr>
                <w:b w:val="0"/>
                <w:bCs/>
                <w:color w:val="000000" w:themeColor="text1"/>
                <w14:textFill>
                  <w14:solidFill>
                    <w14:schemeClr w14:val="tx1"/>
                  </w14:solidFill>
                </w14:textFill>
              </w:rPr>
            </w:pPr>
          </w:p>
        </w:tc>
        <w:tc>
          <w:tcPr>
            <w:tcW w:w="626" w:type="pct"/>
            <w:vMerge w:val="continue"/>
            <w:vAlign w:val="center"/>
          </w:tcPr>
          <w:p w14:paraId="1583F663">
            <w:pPr>
              <w:pStyle w:val="40"/>
              <w:rPr>
                <w:b w:val="0"/>
                <w:bCs/>
                <w:color w:val="000000" w:themeColor="text1"/>
                <w14:textFill>
                  <w14:solidFill>
                    <w14:schemeClr w14:val="tx1"/>
                  </w14:solidFill>
                </w14:textFill>
              </w:rPr>
            </w:pPr>
          </w:p>
        </w:tc>
        <w:tc>
          <w:tcPr>
            <w:tcW w:w="2409" w:type="pct"/>
            <w:gridSpan w:val="2"/>
            <w:vAlign w:val="center"/>
          </w:tcPr>
          <w:p w14:paraId="028FFC46">
            <w:pPr>
              <w:spacing w:line="240" w:lineRule="auto"/>
              <w:ind w:firstLine="0" w:firstLineChars="0"/>
              <w:rPr>
                <w:rFonts w:hint="eastAsia" w:eastAsia="宋体"/>
                <w:color w:val="000000" w:themeColor="text1"/>
                <w:lang w:eastAsia="zh-CN"/>
                <w14:textFill>
                  <w14:solidFill>
                    <w14:schemeClr w14:val="tx1"/>
                  </w14:solidFill>
                </w14:textFill>
              </w:rPr>
            </w:pPr>
            <w:r>
              <w:rPr>
                <w:rFonts w:hint="eastAsia"/>
                <w:color w:val="000000" w:themeColor="text1"/>
                <w:sz w:val="21"/>
                <w:szCs w:val="21"/>
                <w14:textFill>
                  <w14:solidFill>
                    <w14:schemeClr w14:val="tx1"/>
                  </w14:solidFill>
                </w14:textFill>
              </w:rPr>
              <w:t>架空输电线路线下的耕地、园地、牧草地、畜禽饲养地、养殖水面、道路等场所，其频率</w:t>
            </w:r>
            <w:r>
              <w:rPr>
                <w:color w:val="000000" w:themeColor="text1"/>
                <w:sz w:val="21"/>
                <w:szCs w:val="21"/>
                <w14:textFill>
                  <w14:solidFill>
                    <w14:schemeClr w14:val="tx1"/>
                  </w14:solidFill>
                </w14:textFill>
              </w:rPr>
              <w:t>50Hz</w:t>
            </w:r>
            <w:r>
              <w:rPr>
                <w:rFonts w:hint="eastAsia"/>
                <w:color w:val="000000" w:themeColor="text1"/>
                <w:sz w:val="21"/>
                <w:szCs w:val="21"/>
                <w14:textFill>
                  <w14:solidFill>
                    <w14:schemeClr w14:val="tx1"/>
                  </w14:solidFill>
                </w14:textFill>
              </w:rPr>
              <w:t>的电场强度控制限值为</w:t>
            </w:r>
            <w:r>
              <w:rPr>
                <w:color w:val="000000" w:themeColor="text1"/>
                <w:sz w:val="21"/>
                <w:szCs w:val="21"/>
                <w14:textFill>
                  <w14:solidFill>
                    <w14:schemeClr w14:val="tx1"/>
                  </w14:solidFill>
                </w14:textFill>
              </w:rPr>
              <w:t>10kV/m</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且应给出警示和防护指示标志</w:t>
            </w:r>
          </w:p>
        </w:tc>
      </w:tr>
      <w:tr w14:paraId="3F92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468" w:type="pct"/>
            <w:vMerge w:val="continue"/>
            <w:vAlign w:val="center"/>
          </w:tcPr>
          <w:p w14:paraId="3975AF34">
            <w:pPr>
              <w:pStyle w:val="40"/>
              <w:rPr>
                <w:b w:val="0"/>
                <w:bCs/>
                <w:color w:val="000000" w:themeColor="text1"/>
                <w14:textFill>
                  <w14:solidFill>
                    <w14:schemeClr w14:val="tx1"/>
                  </w14:solidFill>
                </w14:textFill>
              </w:rPr>
            </w:pPr>
          </w:p>
        </w:tc>
        <w:tc>
          <w:tcPr>
            <w:tcW w:w="472" w:type="pct"/>
            <w:vMerge w:val="continue"/>
            <w:vAlign w:val="center"/>
          </w:tcPr>
          <w:p w14:paraId="72CF382D">
            <w:pPr>
              <w:pStyle w:val="40"/>
              <w:rPr>
                <w:b w:val="0"/>
                <w:bCs/>
                <w:color w:val="000000" w:themeColor="text1"/>
                <w14:textFill>
                  <w14:solidFill>
                    <w14:schemeClr w14:val="tx1"/>
                  </w14:solidFill>
                </w14:textFill>
              </w:rPr>
            </w:pPr>
          </w:p>
        </w:tc>
        <w:tc>
          <w:tcPr>
            <w:tcW w:w="1023" w:type="pct"/>
            <w:vMerge w:val="continue"/>
            <w:vAlign w:val="center"/>
          </w:tcPr>
          <w:p w14:paraId="12AB11D5">
            <w:pPr>
              <w:pStyle w:val="40"/>
              <w:rPr>
                <w:b w:val="0"/>
                <w:bCs/>
                <w:color w:val="000000" w:themeColor="text1"/>
                <w14:textFill>
                  <w14:solidFill>
                    <w14:schemeClr w14:val="tx1"/>
                  </w14:solidFill>
                </w14:textFill>
              </w:rPr>
            </w:pPr>
          </w:p>
        </w:tc>
        <w:tc>
          <w:tcPr>
            <w:tcW w:w="626" w:type="pct"/>
            <w:vAlign w:val="center"/>
          </w:tcPr>
          <w:p w14:paraId="47D7D90B">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工频磁场强度</w:t>
            </w:r>
          </w:p>
        </w:tc>
        <w:tc>
          <w:tcPr>
            <w:tcW w:w="2409" w:type="pct"/>
            <w:gridSpan w:val="2"/>
            <w:vAlign w:val="center"/>
          </w:tcPr>
          <w:p w14:paraId="3EAE4B78">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100μT（频率为50Hz时公众曝露控制限值）</w:t>
            </w:r>
          </w:p>
        </w:tc>
      </w:tr>
      <w:tr w14:paraId="744C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468" w:type="pct"/>
            <w:vMerge w:val="restart"/>
            <w:vAlign w:val="center"/>
          </w:tcPr>
          <w:p w14:paraId="629F7290">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污染物排放标准</w:t>
            </w:r>
          </w:p>
        </w:tc>
        <w:tc>
          <w:tcPr>
            <w:tcW w:w="472" w:type="pct"/>
            <w:vMerge w:val="restart"/>
            <w:vAlign w:val="center"/>
          </w:tcPr>
          <w:p w14:paraId="19FAEA70">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噪声</w:t>
            </w:r>
          </w:p>
        </w:tc>
        <w:tc>
          <w:tcPr>
            <w:tcW w:w="1023" w:type="pct"/>
            <w:vMerge w:val="restart"/>
            <w:vAlign w:val="center"/>
          </w:tcPr>
          <w:p w14:paraId="4A008249">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《建筑施工噪声排放标准》</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GB12523-20</w:t>
            </w:r>
            <w:r>
              <w:rPr>
                <w:rFonts w:hint="eastAsia"/>
                <w:b w:val="0"/>
                <w:bCs/>
                <w:color w:val="000000" w:themeColor="text1"/>
                <w:lang w:val="en-US" w:eastAsia="zh-CN"/>
                <w14:textFill>
                  <w14:solidFill>
                    <w14:schemeClr w14:val="tx1"/>
                  </w14:solidFill>
                </w14:textFill>
              </w:rPr>
              <w:t>25</w:t>
            </w:r>
            <w:r>
              <w:rPr>
                <w:rFonts w:hint="eastAsia"/>
                <w:b w:val="0"/>
                <w:bCs/>
                <w:color w:val="000000" w:themeColor="text1"/>
                <w14:textFill>
                  <w14:solidFill>
                    <w14:schemeClr w14:val="tx1"/>
                  </w14:solidFill>
                </w14:textFill>
              </w:rPr>
              <w:t>）</w:t>
            </w:r>
          </w:p>
        </w:tc>
        <w:tc>
          <w:tcPr>
            <w:tcW w:w="626" w:type="pct"/>
            <w:vAlign w:val="center"/>
          </w:tcPr>
          <w:p w14:paraId="1092FBD2">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项目</w:t>
            </w:r>
          </w:p>
        </w:tc>
        <w:tc>
          <w:tcPr>
            <w:tcW w:w="1580" w:type="pct"/>
            <w:vAlign w:val="center"/>
          </w:tcPr>
          <w:p w14:paraId="71D35DD6">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昼间</w:t>
            </w:r>
          </w:p>
        </w:tc>
        <w:tc>
          <w:tcPr>
            <w:tcW w:w="829" w:type="pct"/>
            <w:vAlign w:val="center"/>
          </w:tcPr>
          <w:p w14:paraId="54C3BD92">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夜间</w:t>
            </w:r>
          </w:p>
        </w:tc>
      </w:tr>
      <w:tr w14:paraId="77B1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468" w:type="pct"/>
            <w:vMerge w:val="continue"/>
            <w:vAlign w:val="center"/>
          </w:tcPr>
          <w:p w14:paraId="34FED99D">
            <w:pPr>
              <w:pStyle w:val="40"/>
              <w:rPr>
                <w:b w:val="0"/>
                <w:bCs/>
                <w:color w:val="000000" w:themeColor="text1"/>
                <w14:textFill>
                  <w14:solidFill>
                    <w14:schemeClr w14:val="tx1"/>
                  </w14:solidFill>
                </w14:textFill>
              </w:rPr>
            </w:pPr>
          </w:p>
        </w:tc>
        <w:tc>
          <w:tcPr>
            <w:tcW w:w="472" w:type="pct"/>
            <w:vMerge w:val="continue"/>
            <w:vAlign w:val="center"/>
          </w:tcPr>
          <w:p w14:paraId="2FEF2CE2">
            <w:pPr>
              <w:pStyle w:val="40"/>
              <w:rPr>
                <w:b w:val="0"/>
                <w:bCs/>
                <w:color w:val="000000" w:themeColor="text1"/>
                <w14:textFill>
                  <w14:solidFill>
                    <w14:schemeClr w14:val="tx1"/>
                  </w14:solidFill>
                </w14:textFill>
              </w:rPr>
            </w:pPr>
          </w:p>
        </w:tc>
        <w:tc>
          <w:tcPr>
            <w:tcW w:w="1023" w:type="pct"/>
            <w:vMerge w:val="continue"/>
            <w:vAlign w:val="center"/>
          </w:tcPr>
          <w:p w14:paraId="0599B392">
            <w:pPr>
              <w:pStyle w:val="40"/>
              <w:rPr>
                <w:b w:val="0"/>
                <w:bCs/>
                <w:color w:val="000000" w:themeColor="text1"/>
                <w14:textFill>
                  <w14:solidFill>
                    <w14:schemeClr w14:val="tx1"/>
                  </w14:solidFill>
                </w14:textFill>
              </w:rPr>
            </w:pPr>
          </w:p>
        </w:tc>
        <w:tc>
          <w:tcPr>
            <w:tcW w:w="626" w:type="pct"/>
            <w:vAlign w:val="center"/>
          </w:tcPr>
          <w:p w14:paraId="748A96DE">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施工</w:t>
            </w:r>
          </w:p>
        </w:tc>
        <w:tc>
          <w:tcPr>
            <w:tcW w:w="1580" w:type="pct"/>
            <w:vAlign w:val="center"/>
          </w:tcPr>
          <w:p w14:paraId="03CAB0A6">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70dB（A）</w:t>
            </w:r>
          </w:p>
        </w:tc>
        <w:tc>
          <w:tcPr>
            <w:tcW w:w="829" w:type="pct"/>
            <w:vAlign w:val="center"/>
          </w:tcPr>
          <w:p w14:paraId="11E7764C">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55dB（A）</w:t>
            </w:r>
          </w:p>
        </w:tc>
      </w:tr>
      <w:tr w14:paraId="073E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468" w:type="pct"/>
            <w:vMerge w:val="continue"/>
            <w:vAlign w:val="center"/>
          </w:tcPr>
          <w:p w14:paraId="5C69B333">
            <w:pPr>
              <w:pStyle w:val="40"/>
              <w:rPr>
                <w:b w:val="0"/>
                <w:bCs/>
                <w:color w:val="000000" w:themeColor="text1"/>
                <w14:textFill>
                  <w14:solidFill>
                    <w14:schemeClr w14:val="tx1"/>
                  </w14:solidFill>
                </w14:textFill>
              </w:rPr>
            </w:pPr>
          </w:p>
        </w:tc>
        <w:tc>
          <w:tcPr>
            <w:tcW w:w="472" w:type="pct"/>
            <w:vAlign w:val="center"/>
          </w:tcPr>
          <w:p w14:paraId="534B3BE9">
            <w:pPr>
              <w:pStyle w:val="40"/>
              <w:rPr>
                <w:rFonts w:hint="eastAsia"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固体废物</w:t>
            </w:r>
          </w:p>
        </w:tc>
        <w:tc>
          <w:tcPr>
            <w:tcW w:w="4058" w:type="pct"/>
            <w:gridSpan w:val="4"/>
            <w:vAlign w:val="center"/>
          </w:tcPr>
          <w:p w14:paraId="233E5739">
            <w:pPr>
              <w:pStyle w:val="40"/>
              <w:rPr>
                <w:b w:val="0"/>
                <w:bCs/>
                <w:color w:val="000000" w:themeColor="text1"/>
                <w14:textFill>
                  <w14:solidFill>
                    <w14:schemeClr w14:val="tx1"/>
                  </w14:solidFill>
                </w14:textFill>
              </w:rPr>
            </w:pPr>
            <w:r>
              <w:rPr>
                <w:rFonts w:hint="eastAsia"/>
                <w:b w:val="0"/>
                <w:bCs/>
                <w:color w:val="000000" w:themeColor="text1"/>
                <w:lang w:val="en-US" w:eastAsia="zh-CN"/>
                <w14:textFill>
                  <w14:solidFill>
                    <w14:schemeClr w14:val="tx1"/>
                  </w14:solidFill>
                </w14:textFill>
              </w:rPr>
              <w:t>一般固废执行</w:t>
            </w:r>
            <w:r>
              <w:rPr>
                <w:rFonts w:hint="default"/>
                <w:b w:val="0"/>
                <w:bCs/>
                <w:color w:val="000000" w:themeColor="text1"/>
                <w14:textFill>
                  <w14:solidFill>
                    <w14:schemeClr w14:val="tx1"/>
                  </w14:solidFill>
                </w14:textFill>
              </w:rPr>
              <w:t>《一般工业固体废物贮存和填埋污染控制标准》（GB18599-2020）</w:t>
            </w:r>
          </w:p>
        </w:tc>
      </w:tr>
    </w:tbl>
    <w:p w14:paraId="019B3897">
      <w:pPr>
        <w:tabs>
          <w:tab w:val="left" w:pos="420"/>
          <w:tab w:val="left" w:pos="907"/>
          <w:tab w:val="left" w:pos="1267"/>
        </w:tabs>
        <w:spacing w:before="120" w:beforeLines="50" w:after="120" w:afterLines="50" w:line="360" w:lineRule="auto"/>
        <w:ind w:firstLine="36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注：本项目</w:t>
      </w:r>
      <w:r>
        <w:rPr>
          <w:rFonts w:hint="eastAsia"/>
          <w:color w:val="000000" w:themeColor="text1"/>
          <w:sz w:val="18"/>
          <w:szCs w:val="18"/>
          <w14:textFill>
            <w14:solidFill>
              <w14:schemeClr w14:val="tx1"/>
            </w14:solidFill>
          </w14:textFill>
        </w:rPr>
        <w:t>线路</w:t>
      </w:r>
      <w:r>
        <w:rPr>
          <w:color w:val="000000" w:themeColor="text1"/>
          <w:sz w:val="18"/>
          <w:szCs w:val="18"/>
          <w14:textFill>
            <w14:solidFill>
              <w14:schemeClr w14:val="tx1"/>
            </w14:solidFill>
          </w14:textFill>
        </w:rPr>
        <w:t>所在区域无声环境功能区划，</w:t>
      </w:r>
      <w:r>
        <w:rPr>
          <w:rFonts w:hint="eastAsia"/>
          <w:color w:val="000000" w:themeColor="text1"/>
          <w:sz w:val="18"/>
          <w:szCs w:val="18"/>
          <w14:textFill>
            <w14:solidFill>
              <w14:schemeClr w14:val="tx1"/>
            </w14:solidFill>
          </w14:textFill>
        </w:rPr>
        <w:t>参照</w:t>
      </w:r>
      <w:r>
        <w:rPr>
          <w:color w:val="000000" w:themeColor="text1"/>
          <w:sz w:val="18"/>
          <w:szCs w:val="18"/>
          <w14:textFill>
            <w14:solidFill>
              <w14:schemeClr w14:val="tx1"/>
            </w14:solidFill>
          </w14:textFill>
        </w:rPr>
        <w:t>新疆巴音郭楞蒙古自治州生态环境局</w:t>
      </w:r>
      <w:r>
        <w:rPr>
          <w:rFonts w:hint="eastAsia"/>
          <w:color w:val="000000" w:themeColor="text1"/>
          <w:sz w:val="18"/>
          <w:szCs w:val="18"/>
          <w14:textFill>
            <w14:solidFill>
              <w14:schemeClr w14:val="tx1"/>
            </w14:solidFill>
          </w14:textFill>
        </w:rPr>
        <w:t>对《关于疆电（南疆）送电川渝特高压直流输电工程（巴州段）环境影响评价执行标准的答复》（见附件4）</w:t>
      </w:r>
      <w:r>
        <w:rPr>
          <w:rFonts w:hint="eastAsia"/>
          <w:color w:val="000000" w:themeColor="text1"/>
          <w:sz w:val="18"/>
          <w:szCs w:val="18"/>
          <w:lang w:val="en-US" w:eastAsia="zh-CN"/>
          <w14:textFill>
            <w14:solidFill>
              <w14:schemeClr w14:val="tx1"/>
            </w14:solidFill>
          </w14:textFill>
        </w:rPr>
        <w:t>以及环评报告、《关于三峡南疆塔克拉玛干沙漠新能源基地6×66万千瓦煤电项目环境影响报告书的批复》（新环审〔2024〕208号）</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若羌换流站和若羌火电厂执行《声环境质量标准》（GB 3096-2008）3类标准，其余线路工程沿线执行《声环境质量标准》（GB 3096-2008）2类标准</w:t>
      </w:r>
      <w:r>
        <w:rPr>
          <w:rFonts w:hint="eastAsia"/>
          <w:color w:val="000000" w:themeColor="text1"/>
          <w:sz w:val="18"/>
          <w:szCs w:val="18"/>
          <w14:textFill>
            <w14:solidFill>
              <w14:schemeClr w14:val="tx1"/>
            </w14:solidFill>
          </w14:textFill>
        </w:rPr>
        <w:t>，故</w:t>
      </w:r>
      <w:r>
        <w:rPr>
          <w:rFonts w:hint="eastAsia"/>
          <w:color w:val="000000" w:themeColor="text1"/>
          <w:sz w:val="18"/>
          <w:szCs w:val="18"/>
          <w:lang w:val="en-US" w:eastAsia="zh-CN"/>
          <w14:textFill>
            <w14:solidFill>
              <w14:schemeClr w14:val="tx1"/>
            </w14:solidFill>
          </w14:textFill>
        </w:rPr>
        <w:t>本项目输电线路起点、终点边导线地面投影两侧各50m范围执行3类声环境质量标准，线路其余线段执行2类声环境质量标准</w:t>
      </w:r>
      <w:r>
        <w:rPr>
          <w:rFonts w:hint="eastAsia"/>
          <w:color w:val="000000" w:themeColor="text1"/>
          <w:sz w:val="18"/>
          <w:szCs w:val="18"/>
          <w14:textFill>
            <w14:solidFill>
              <w14:schemeClr w14:val="tx1"/>
            </w14:solidFill>
          </w14:textFill>
        </w:rPr>
        <w:t>。</w:t>
      </w:r>
    </w:p>
    <w:p w14:paraId="3AD6AA16">
      <w:pPr>
        <w:pStyle w:val="3"/>
        <w:spacing w:before="120" w:beforeLines="50" w:after="120" w:afterLines="50"/>
        <w:rPr>
          <w:color w:val="000000" w:themeColor="text1"/>
          <w14:textFill>
            <w14:solidFill>
              <w14:schemeClr w14:val="tx1"/>
            </w14:solidFill>
          </w14:textFill>
        </w:rPr>
      </w:pPr>
      <w:bookmarkStart w:id="280" w:name="_Toc26109"/>
      <w:r>
        <w:rPr>
          <w:color w:val="000000" w:themeColor="text1"/>
          <w14:textFill>
            <w14:solidFill>
              <w14:schemeClr w14:val="tx1"/>
            </w14:solidFill>
          </w14:textFill>
        </w:rPr>
        <w:t>2.3</w:t>
      </w:r>
      <w:r>
        <w:rPr>
          <w:rFonts w:hint="eastAsia"/>
          <w:color w:val="000000" w:themeColor="text1"/>
          <w14:textFill>
            <w14:solidFill>
              <w14:schemeClr w14:val="tx1"/>
            </w14:solidFill>
          </w14:textFill>
        </w:rPr>
        <w:t>评价工作等级</w:t>
      </w:r>
      <w:bookmarkEnd w:id="270"/>
      <w:bookmarkEnd w:id="271"/>
      <w:bookmarkEnd w:id="272"/>
      <w:bookmarkEnd w:id="273"/>
      <w:bookmarkEnd w:id="274"/>
      <w:bookmarkEnd w:id="275"/>
      <w:bookmarkEnd w:id="276"/>
      <w:bookmarkEnd w:id="277"/>
      <w:bookmarkEnd w:id="278"/>
      <w:bookmarkEnd w:id="279"/>
      <w:bookmarkEnd w:id="280"/>
    </w:p>
    <w:p w14:paraId="5847CE6E">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281" w:name="_Toc8802"/>
      <w:bookmarkStart w:id="282" w:name="_Toc18597"/>
      <w:bookmarkStart w:id="283" w:name="_Toc13136"/>
      <w:bookmarkStart w:id="284" w:name="_Toc30269"/>
      <w:bookmarkStart w:id="285" w:name="_Toc3064"/>
      <w:bookmarkStart w:id="286" w:name="_Toc5548"/>
      <w:bookmarkStart w:id="287" w:name="_Toc16513"/>
      <w:bookmarkStart w:id="288" w:name="_Toc12828"/>
      <w:bookmarkStart w:id="289" w:name="_Toc10279"/>
      <w:bookmarkStart w:id="290" w:name="_Toc12385"/>
      <w:r>
        <w:rPr>
          <w:color w:val="000000" w:themeColor="text1"/>
          <w:sz w:val="28"/>
          <w:szCs w:val="28"/>
          <w14:textFill>
            <w14:solidFill>
              <w14:schemeClr w14:val="tx1"/>
            </w14:solidFill>
          </w14:textFill>
        </w:rPr>
        <w:t>2.3.1</w:t>
      </w:r>
      <w:r>
        <w:rPr>
          <w:rFonts w:hint="eastAsia"/>
          <w:color w:val="000000" w:themeColor="text1"/>
          <w:sz w:val="28"/>
          <w:szCs w:val="28"/>
          <w14:textFill>
            <w14:solidFill>
              <w14:schemeClr w14:val="tx1"/>
            </w14:solidFill>
          </w14:textFill>
        </w:rPr>
        <w:t>电磁环境</w:t>
      </w:r>
      <w:bookmarkEnd w:id="281"/>
      <w:bookmarkEnd w:id="282"/>
      <w:bookmarkEnd w:id="283"/>
      <w:bookmarkEnd w:id="284"/>
      <w:bookmarkEnd w:id="285"/>
      <w:bookmarkEnd w:id="286"/>
      <w:bookmarkEnd w:id="287"/>
      <w:bookmarkEnd w:id="288"/>
      <w:bookmarkEnd w:id="289"/>
      <w:bookmarkEnd w:id="290"/>
    </w:p>
    <w:p w14:paraId="55C73F5B">
      <w:pPr>
        <w:ind w:firstLine="480"/>
        <w:rPr>
          <w:color w:val="000000" w:themeColor="text1"/>
          <w14:textFill>
            <w14:solidFill>
              <w14:schemeClr w14:val="tx1"/>
            </w14:solidFill>
          </w14:textFill>
        </w:rPr>
      </w:pPr>
      <w:r>
        <w:rPr>
          <w:color w:val="000000" w:themeColor="text1"/>
          <w14:textFill>
            <w14:solidFill>
              <w14:schemeClr w14:val="tx1"/>
            </w14:solidFill>
          </w14:textFill>
        </w:rPr>
        <w:t>根据《环境影响评价技术导则 输变电》（HJ24-2020）关于电磁环境影响评价工作等级判定的相关要求，确定本工程电磁环境影响评价工作等级如下：</w:t>
      </w:r>
    </w:p>
    <w:p w14:paraId="57D66764">
      <w:pPr>
        <w:ind w:firstLine="480"/>
        <w:rPr>
          <w:color w:val="000000" w:themeColor="text1"/>
          <w14:textFill>
            <w14:solidFill>
              <w14:schemeClr w14:val="tx1"/>
            </w14:solidFill>
          </w14:textFill>
        </w:rPr>
      </w:pPr>
      <w:r>
        <w:rPr>
          <w:color w:val="000000" w:themeColor="text1"/>
          <w14:textFill>
            <w14:solidFill>
              <w14:schemeClr w14:val="tx1"/>
            </w14:solidFill>
          </w14:textFill>
        </w:rPr>
        <w:t>750</w:t>
      </w:r>
      <w:r>
        <w:rPr>
          <w:rFonts w:hint="eastAsia"/>
          <w:color w:val="000000" w:themeColor="text1"/>
          <w14:textFill>
            <w14:solidFill>
              <w14:schemeClr w14:val="tx1"/>
            </w14:solidFill>
          </w14:textFill>
        </w:rPr>
        <w:t>千伏架空输电线路边导线地面投影外两侧各</w:t>
      </w:r>
      <w:r>
        <w:rPr>
          <w:color w:val="000000" w:themeColor="text1"/>
          <w14:textFill>
            <w14:solidFill>
              <w14:schemeClr w14:val="tx1"/>
            </w14:solidFill>
          </w14:textFill>
        </w:rPr>
        <w:t>20m</w:t>
      </w:r>
      <w:r>
        <w:rPr>
          <w:rFonts w:hint="eastAsia"/>
          <w:color w:val="000000" w:themeColor="text1"/>
          <w14:textFill>
            <w14:solidFill>
              <w14:schemeClr w14:val="tx1"/>
            </w14:solidFill>
          </w14:textFill>
        </w:rPr>
        <w:t>范围内无电磁环境敏感目标，其电磁环境影响评价工作等级为二级。</w:t>
      </w:r>
    </w:p>
    <w:p w14:paraId="57493F4B">
      <w:pPr>
        <w:pStyle w:val="38"/>
        <w:ind w:firstLine="422"/>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表2.3-1  电磁环境影响评价工作等级划分原则</w:t>
      </w:r>
    </w:p>
    <w:tbl>
      <w:tblPr>
        <w:tblStyle w:val="2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
        <w:gridCol w:w="996"/>
        <w:gridCol w:w="933"/>
        <w:gridCol w:w="2518"/>
        <w:gridCol w:w="1139"/>
        <w:gridCol w:w="1236"/>
        <w:gridCol w:w="1099"/>
      </w:tblGrid>
      <w:tr w14:paraId="0C40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7" w:type="pct"/>
            <w:vMerge w:val="restart"/>
            <w:vAlign w:val="center"/>
          </w:tcPr>
          <w:p w14:paraId="300E0387">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分类</w:t>
            </w:r>
          </w:p>
        </w:tc>
        <w:tc>
          <w:tcPr>
            <w:tcW w:w="585" w:type="pct"/>
            <w:vMerge w:val="restart"/>
            <w:vAlign w:val="center"/>
          </w:tcPr>
          <w:p w14:paraId="24AA1F5F">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电压</w:t>
            </w:r>
          </w:p>
          <w:p w14:paraId="2D82445F">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等级</w:t>
            </w:r>
          </w:p>
        </w:tc>
        <w:tc>
          <w:tcPr>
            <w:tcW w:w="548" w:type="pct"/>
            <w:vMerge w:val="restart"/>
            <w:vAlign w:val="center"/>
          </w:tcPr>
          <w:p w14:paraId="7985C793">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工程</w:t>
            </w:r>
          </w:p>
        </w:tc>
        <w:tc>
          <w:tcPr>
            <w:tcW w:w="1479" w:type="pct"/>
            <w:vMerge w:val="restart"/>
            <w:vAlign w:val="center"/>
          </w:tcPr>
          <w:p w14:paraId="1C465528">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条件</w:t>
            </w:r>
          </w:p>
        </w:tc>
        <w:tc>
          <w:tcPr>
            <w:tcW w:w="669" w:type="pct"/>
            <w:vMerge w:val="restart"/>
            <w:vAlign w:val="center"/>
          </w:tcPr>
          <w:p w14:paraId="513D91A8">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评价工作等级</w:t>
            </w:r>
          </w:p>
        </w:tc>
        <w:tc>
          <w:tcPr>
            <w:tcW w:w="1371" w:type="pct"/>
            <w:gridSpan w:val="2"/>
            <w:vAlign w:val="center"/>
          </w:tcPr>
          <w:p w14:paraId="4209C7BA">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本项目</w:t>
            </w:r>
          </w:p>
        </w:tc>
      </w:tr>
      <w:tr w14:paraId="7390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7" w:type="pct"/>
            <w:vMerge w:val="continue"/>
            <w:vAlign w:val="center"/>
          </w:tcPr>
          <w:p w14:paraId="0E8306FE">
            <w:pPr>
              <w:pStyle w:val="40"/>
              <w:rPr>
                <w:bCs/>
                <w:color w:val="000000" w:themeColor="text1"/>
                <w14:textFill>
                  <w14:solidFill>
                    <w14:schemeClr w14:val="tx1"/>
                  </w14:solidFill>
                </w14:textFill>
              </w:rPr>
            </w:pPr>
          </w:p>
        </w:tc>
        <w:tc>
          <w:tcPr>
            <w:tcW w:w="585" w:type="pct"/>
            <w:vMerge w:val="continue"/>
            <w:vAlign w:val="center"/>
          </w:tcPr>
          <w:p w14:paraId="53AFFCB0">
            <w:pPr>
              <w:pStyle w:val="40"/>
              <w:rPr>
                <w:bCs/>
                <w:color w:val="000000" w:themeColor="text1"/>
                <w14:textFill>
                  <w14:solidFill>
                    <w14:schemeClr w14:val="tx1"/>
                  </w14:solidFill>
                </w14:textFill>
              </w:rPr>
            </w:pPr>
          </w:p>
        </w:tc>
        <w:tc>
          <w:tcPr>
            <w:tcW w:w="548" w:type="pct"/>
            <w:vMerge w:val="continue"/>
            <w:vAlign w:val="center"/>
          </w:tcPr>
          <w:p w14:paraId="217DD18B">
            <w:pPr>
              <w:pStyle w:val="40"/>
              <w:rPr>
                <w:bCs/>
                <w:color w:val="000000" w:themeColor="text1"/>
                <w14:textFill>
                  <w14:solidFill>
                    <w14:schemeClr w14:val="tx1"/>
                  </w14:solidFill>
                </w14:textFill>
              </w:rPr>
            </w:pPr>
          </w:p>
        </w:tc>
        <w:tc>
          <w:tcPr>
            <w:tcW w:w="1479" w:type="pct"/>
            <w:vMerge w:val="continue"/>
            <w:vAlign w:val="center"/>
          </w:tcPr>
          <w:p w14:paraId="72DC80A8">
            <w:pPr>
              <w:pStyle w:val="40"/>
              <w:rPr>
                <w:bCs/>
                <w:color w:val="000000" w:themeColor="text1"/>
                <w14:textFill>
                  <w14:solidFill>
                    <w14:schemeClr w14:val="tx1"/>
                  </w14:solidFill>
                </w14:textFill>
              </w:rPr>
            </w:pPr>
          </w:p>
        </w:tc>
        <w:tc>
          <w:tcPr>
            <w:tcW w:w="669" w:type="pct"/>
            <w:vMerge w:val="continue"/>
            <w:vAlign w:val="center"/>
          </w:tcPr>
          <w:p w14:paraId="1040B1F5">
            <w:pPr>
              <w:pStyle w:val="40"/>
              <w:rPr>
                <w:bCs/>
                <w:color w:val="000000" w:themeColor="text1"/>
                <w14:textFill>
                  <w14:solidFill>
                    <w14:schemeClr w14:val="tx1"/>
                  </w14:solidFill>
                </w14:textFill>
              </w:rPr>
            </w:pPr>
          </w:p>
        </w:tc>
        <w:tc>
          <w:tcPr>
            <w:tcW w:w="726" w:type="pct"/>
            <w:vAlign w:val="center"/>
          </w:tcPr>
          <w:p w14:paraId="1CF7C079">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条件</w:t>
            </w:r>
          </w:p>
        </w:tc>
        <w:tc>
          <w:tcPr>
            <w:tcW w:w="644" w:type="pct"/>
            <w:vAlign w:val="center"/>
          </w:tcPr>
          <w:p w14:paraId="679FABD6">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工作等级</w:t>
            </w:r>
          </w:p>
        </w:tc>
      </w:tr>
      <w:tr w14:paraId="3C27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7" w:type="pct"/>
            <w:vMerge w:val="restart"/>
            <w:shd w:val="clear" w:color="auto" w:fill="auto"/>
            <w:vAlign w:val="center"/>
          </w:tcPr>
          <w:p w14:paraId="7882815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交流</w:t>
            </w:r>
          </w:p>
        </w:tc>
        <w:tc>
          <w:tcPr>
            <w:tcW w:w="585" w:type="pct"/>
            <w:vMerge w:val="restart"/>
            <w:shd w:val="clear" w:color="auto" w:fill="auto"/>
            <w:vAlign w:val="center"/>
          </w:tcPr>
          <w:p w14:paraId="41A88B6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500kV以上</w:t>
            </w:r>
          </w:p>
        </w:tc>
        <w:tc>
          <w:tcPr>
            <w:tcW w:w="548" w:type="pct"/>
            <w:vMerge w:val="restart"/>
            <w:shd w:val="clear" w:color="auto" w:fill="auto"/>
            <w:vAlign w:val="center"/>
          </w:tcPr>
          <w:p w14:paraId="79F882B8">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输电线路</w:t>
            </w:r>
          </w:p>
        </w:tc>
        <w:tc>
          <w:tcPr>
            <w:tcW w:w="1479" w:type="pct"/>
            <w:shd w:val="clear" w:color="auto" w:fill="auto"/>
            <w:vAlign w:val="center"/>
          </w:tcPr>
          <w:p w14:paraId="4DBBD5AA">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1.</w:t>
            </w:r>
            <w:r>
              <w:rPr>
                <w:rFonts w:hint="eastAsia"/>
                <w:b w:val="0"/>
                <w:bCs/>
                <w:color w:val="000000" w:themeColor="text1"/>
                <w14:textFill>
                  <w14:solidFill>
                    <w14:schemeClr w14:val="tx1"/>
                  </w14:solidFill>
                </w14:textFill>
              </w:rPr>
              <w:t>地下电缆</w:t>
            </w:r>
          </w:p>
          <w:p w14:paraId="3A00A84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2.</w:t>
            </w:r>
            <w:r>
              <w:rPr>
                <w:rFonts w:hint="eastAsia"/>
                <w:b w:val="0"/>
                <w:bCs/>
                <w:color w:val="000000" w:themeColor="text1"/>
                <w14:textFill>
                  <w14:solidFill>
                    <w14:schemeClr w14:val="tx1"/>
                  </w14:solidFill>
                </w14:textFill>
              </w:rPr>
              <w:t>边导线地面投影外两侧各</w:t>
            </w:r>
            <w:r>
              <w:rPr>
                <w:b w:val="0"/>
                <w:bCs/>
                <w:color w:val="000000" w:themeColor="text1"/>
                <w14:textFill>
                  <w14:solidFill>
                    <w14:schemeClr w14:val="tx1"/>
                  </w14:solidFill>
                </w14:textFill>
              </w:rPr>
              <w:t>20m</w:t>
            </w:r>
            <w:r>
              <w:rPr>
                <w:rFonts w:hint="eastAsia"/>
                <w:b w:val="0"/>
                <w:bCs/>
                <w:color w:val="000000" w:themeColor="text1"/>
                <w14:textFill>
                  <w14:solidFill>
                    <w14:schemeClr w14:val="tx1"/>
                  </w14:solidFill>
                </w14:textFill>
              </w:rPr>
              <w:t>范围内无电磁环境敏感目标的架空线</w:t>
            </w:r>
          </w:p>
        </w:tc>
        <w:tc>
          <w:tcPr>
            <w:tcW w:w="669" w:type="pct"/>
            <w:shd w:val="clear" w:color="auto" w:fill="auto"/>
            <w:vAlign w:val="center"/>
          </w:tcPr>
          <w:p w14:paraId="4645B877">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二</w:t>
            </w:r>
            <w:r>
              <w:rPr>
                <w:b w:val="0"/>
                <w:bCs/>
                <w:color w:val="000000" w:themeColor="text1"/>
                <w14:textFill>
                  <w14:solidFill>
                    <w14:schemeClr w14:val="tx1"/>
                  </w14:solidFill>
                </w14:textFill>
              </w:rPr>
              <w:t>级</w:t>
            </w:r>
          </w:p>
        </w:tc>
        <w:tc>
          <w:tcPr>
            <w:tcW w:w="726" w:type="pct"/>
            <w:shd w:val="clear" w:color="auto" w:fill="auto"/>
            <w:vAlign w:val="center"/>
          </w:tcPr>
          <w:p w14:paraId="7BC277EE">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20m</w:t>
            </w:r>
            <w:r>
              <w:rPr>
                <w:rFonts w:hint="eastAsia"/>
                <w:b w:val="0"/>
                <w:bCs/>
                <w:color w:val="000000" w:themeColor="text1"/>
                <w14:textFill>
                  <w14:solidFill>
                    <w14:schemeClr w14:val="tx1"/>
                  </w14:solidFill>
                </w14:textFill>
              </w:rPr>
              <w:t>范围内无电磁环境敏感目标的架空线</w:t>
            </w:r>
          </w:p>
        </w:tc>
        <w:tc>
          <w:tcPr>
            <w:tcW w:w="644" w:type="pct"/>
            <w:shd w:val="clear" w:color="auto" w:fill="auto"/>
            <w:vAlign w:val="center"/>
          </w:tcPr>
          <w:p w14:paraId="6E7FE95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二级</w:t>
            </w:r>
          </w:p>
        </w:tc>
      </w:tr>
      <w:tr w14:paraId="32DE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7" w:type="pct"/>
            <w:vMerge w:val="continue"/>
            <w:shd w:val="clear" w:color="auto" w:fill="auto"/>
            <w:vAlign w:val="center"/>
          </w:tcPr>
          <w:p w14:paraId="4C1EA611">
            <w:pPr>
              <w:pStyle w:val="40"/>
              <w:rPr>
                <w:b w:val="0"/>
                <w:bCs/>
                <w:color w:val="000000" w:themeColor="text1"/>
                <w14:textFill>
                  <w14:solidFill>
                    <w14:schemeClr w14:val="tx1"/>
                  </w14:solidFill>
                </w14:textFill>
              </w:rPr>
            </w:pPr>
          </w:p>
        </w:tc>
        <w:tc>
          <w:tcPr>
            <w:tcW w:w="585" w:type="pct"/>
            <w:vMerge w:val="continue"/>
            <w:shd w:val="clear" w:color="auto" w:fill="auto"/>
            <w:vAlign w:val="center"/>
          </w:tcPr>
          <w:p w14:paraId="4ED5C1BA">
            <w:pPr>
              <w:pStyle w:val="40"/>
              <w:rPr>
                <w:b w:val="0"/>
                <w:bCs/>
                <w:color w:val="000000" w:themeColor="text1"/>
                <w14:textFill>
                  <w14:solidFill>
                    <w14:schemeClr w14:val="tx1"/>
                  </w14:solidFill>
                </w14:textFill>
              </w:rPr>
            </w:pPr>
          </w:p>
        </w:tc>
        <w:tc>
          <w:tcPr>
            <w:tcW w:w="548" w:type="pct"/>
            <w:vMerge w:val="continue"/>
            <w:shd w:val="clear" w:color="auto" w:fill="auto"/>
            <w:vAlign w:val="center"/>
          </w:tcPr>
          <w:p w14:paraId="7975D775">
            <w:pPr>
              <w:pStyle w:val="40"/>
              <w:rPr>
                <w:b w:val="0"/>
                <w:bCs/>
                <w:color w:val="000000" w:themeColor="text1"/>
                <w14:textFill>
                  <w14:solidFill>
                    <w14:schemeClr w14:val="tx1"/>
                  </w14:solidFill>
                </w14:textFill>
              </w:rPr>
            </w:pPr>
          </w:p>
        </w:tc>
        <w:tc>
          <w:tcPr>
            <w:tcW w:w="1479" w:type="pct"/>
            <w:shd w:val="clear" w:color="auto" w:fill="auto"/>
            <w:vAlign w:val="center"/>
          </w:tcPr>
          <w:p w14:paraId="38D78A02">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边导线地面投影外两侧</w:t>
            </w:r>
            <w:r>
              <w:rPr>
                <w:b w:val="0"/>
                <w:bCs/>
                <w:color w:val="000000" w:themeColor="text1"/>
                <w14:textFill>
                  <w14:solidFill>
                    <w14:schemeClr w14:val="tx1"/>
                  </w14:solidFill>
                </w14:textFill>
              </w:rPr>
              <w:t>20m</w:t>
            </w:r>
            <w:r>
              <w:rPr>
                <w:rFonts w:hint="eastAsia"/>
                <w:b w:val="0"/>
                <w:bCs/>
                <w:color w:val="000000" w:themeColor="text1"/>
                <w14:textFill>
                  <w14:solidFill>
                    <w14:schemeClr w14:val="tx1"/>
                  </w14:solidFill>
                </w14:textFill>
              </w:rPr>
              <w:t>范围内有电磁环境敏感目标的架空线</w:t>
            </w:r>
          </w:p>
        </w:tc>
        <w:tc>
          <w:tcPr>
            <w:tcW w:w="669" w:type="pct"/>
            <w:shd w:val="clear" w:color="auto" w:fill="auto"/>
            <w:vAlign w:val="center"/>
          </w:tcPr>
          <w:p w14:paraId="3FD634C9">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一</w:t>
            </w:r>
            <w:r>
              <w:rPr>
                <w:b w:val="0"/>
                <w:bCs/>
                <w:color w:val="000000" w:themeColor="text1"/>
                <w14:textFill>
                  <w14:solidFill>
                    <w14:schemeClr w14:val="tx1"/>
                  </w14:solidFill>
                </w14:textFill>
              </w:rPr>
              <w:t>级</w:t>
            </w:r>
          </w:p>
        </w:tc>
        <w:tc>
          <w:tcPr>
            <w:tcW w:w="726" w:type="pct"/>
            <w:shd w:val="clear" w:color="auto" w:fill="auto"/>
            <w:vAlign w:val="center"/>
          </w:tcPr>
          <w:p w14:paraId="17B3D67E">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p>
        </w:tc>
        <w:tc>
          <w:tcPr>
            <w:tcW w:w="644" w:type="pct"/>
            <w:shd w:val="clear" w:color="auto" w:fill="auto"/>
            <w:vAlign w:val="center"/>
          </w:tcPr>
          <w:p w14:paraId="69386096">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p>
        </w:tc>
      </w:tr>
    </w:tbl>
    <w:p w14:paraId="1239CAAA">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291" w:name="_Toc25033"/>
      <w:bookmarkStart w:id="292" w:name="_Toc29956"/>
      <w:bookmarkStart w:id="293" w:name="_Toc3865"/>
      <w:bookmarkStart w:id="294" w:name="_Toc19796"/>
      <w:bookmarkStart w:id="295" w:name="_Toc26960"/>
      <w:bookmarkStart w:id="296" w:name="_Toc15364"/>
      <w:bookmarkStart w:id="297" w:name="_Toc14903"/>
      <w:bookmarkStart w:id="298" w:name="_Toc25279"/>
      <w:bookmarkStart w:id="299" w:name="_Toc10210"/>
      <w:bookmarkStart w:id="300" w:name="_Toc18795"/>
      <w:r>
        <w:rPr>
          <w:color w:val="000000" w:themeColor="text1"/>
          <w:sz w:val="28"/>
          <w:szCs w:val="28"/>
          <w14:textFill>
            <w14:solidFill>
              <w14:schemeClr w14:val="tx1"/>
            </w14:solidFill>
          </w14:textFill>
        </w:rPr>
        <w:t>2.3.2</w:t>
      </w:r>
      <w:r>
        <w:rPr>
          <w:rFonts w:hint="eastAsia"/>
          <w:color w:val="000000" w:themeColor="text1"/>
          <w:sz w:val="28"/>
          <w:szCs w:val="28"/>
          <w14:textFill>
            <w14:solidFill>
              <w14:schemeClr w14:val="tx1"/>
            </w14:solidFill>
          </w14:textFill>
        </w:rPr>
        <w:t>声环境</w:t>
      </w:r>
      <w:bookmarkEnd w:id="291"/>
      <w:bookmarkEnd w:id="292"/>
      <w:bookmarkEnd w:id="293"/>
      <w:bookmarkEnd w:id="294"/>
      <w:bookmarkEnd w:id="295"/>
      <w:bookmarkEnd w:id="296"/>
      <w:bookmarkEnd w:id="297"/>
      <w:bookmarkEnd w:id="298"/>
      <w:bookmarkEnd w:id="299"/>
      <w:bookmarkEnd w:id="300"/>
    </w:p>
    <w:p w14:paraId="20C68EE8">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线路</w:t>
      </w:r>
      <w:r>
        <w:rPr>
          <w:color w:val="000000" w:themeColor="text1"/>
          <w14:textFill>
            <w14:solidFill>
              <w14:schemeClr w14:val="tx1"/>
            </w14:solidFill>
          </w14:textFill>
        </w:rPr>
        <w:t>所在区域无声环境功能区划，</w:t>
      </w:r>
      <w:r>
        <w:rPr>
          <w:rFonts w:hint="eastAsia"/>
          <w:color w:val="000000" w:themeColor="text1"/>
          <w14:textFill>
            <w14:solidFill>
              <w14:schemeClr w14:val="tx1"/>
            </w14:solidFill>
          </w14:textFill>
        </w:rPr>
        <w:t>参照</w:t>
      </w:r>
      <w:r>
        <w:rPr>
          <w:color w:val="000000" w:themeColor="text1"/>
          <w14:textFill>
            <w14:solidFill>
              <w14:schemeClr w14:val="tx1"/>
            </w14:solidFill>
          </w14:textFill>
        </w:rPr>
        <w:t>新疆巴音郭楞蒙古自治州生态环境局</w:t>
      </w:r>
      <w:r>
        <w:rPr>
          <w:rFonts w:hint="eastAsia"/>
          <w:color w:val="000000" w:themeColor="text1"/>
          <w14:textFill>
            <w14:solidFill>
              <w14:schemeClr w14:val="tx1"/>
            </w14:solidFill>
          </w14:textFill>
        </w:rPr>
        <w:t>对《关于疆电（南疆）送电川渝特高压直流输电工程（巴州段）环境影响评价执行标准的答复》（见附件4）</w:t>
      </w:r>
      <w:r>
        <w:rPr>
          <w:rFonts w:hint="eastAsia"/>
          <w:color w:val="000000" w:themeColor="text1"/>
          <w:lang w:val="en-US" w:eastAsia="zh-CN"/>
          <w14:textFill>
            <w14:solidFill>
              <w14:schemeClr w14:val="tx1"/>
            </w14:solidFill>
          </w14:textFill>
        </w:rPr>
        <w:t>以及环评报告，根据《关于三峡南疆塔克拉玛干沙漠新能源基地6×66万千瓦煤电项目环境影响报告书的批复》（新环审〔2024〕208号），若羌换流站和若羌火电厂执行《声环境质量标准》（GB 3096-2008）3类标准，其余线路工程沿线执行《声环境质量标准》（GB 3096-2008）2类标准，故本项目输电线路起点、终点边导线地面投影两侧各50m范围执行3类声环境质量标准，线路其余线段执行2类声环境质量标准</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w:t>
      </w:r>
      <w:r>
        <w:rPr>
          <w:color w:val="000000" w:themeColor="text1"/>
          <w14:textFill>
            <w14:solidFill>
              <w14:schemeClr w14:val="tx1"/>
            </w14:solidFill>
          </w14:textFill>
        </w:rPr>
        <w:t>评价范围内无声环境敏感目标，</w:t>
      </w:r>
      <w:r>
        <w:rPr>
          <w:rFonts w:hint="eastAsia"/>
          <w:color w:val="000000" w:themeColor="text1"/>
          <w:lang w:val="en-US" w:eastAsia="zh-CN"/>
          <w14:textFill>
            <w14:solidFill>
              <w14:schemeClr w14:val="tx1"/>
            </w14:solidFill>
          </w14:textFill>
        </w:rPr>
        <w:t>根据《环境影响评价技术导则 声环境》（HJ 2.4-2021），在确定评价等级时，如果建设项目符合两个等级的划分原则，按较高等级评价。</w:t>
      </w:r>
      <w:r>
        <w:rPr>
          <w:color w:val="000000" w:themeColor="text1"/>
          <w14:textFill>
            <w14:solidFill>
              <w14:schemeClr w14:val="tx1"/>
            </w14:solidFill>
          </w14:textFill>
        </w:rPr>
        <w:t>故确定本次声环境影响评价工作等级为</w:t>
      </w:r>
      <w:r>
        <w:rPr>
          <w:rFonts w:hint="eastAsia"/>
          <w:color w:val="000000" w:themeColor="text1"/>
          <w:lang w:val="en-US" w:eastAsia="zh-CN"/>
          <w14:textFill>
            <w14:solidFill>
              <w14:schemeClr w14:val="tx1"/>
            </w14:solidFill>
          </w14:textFill>
        </w:rPr>
        <w:t>二</w:t>
      </w:r>
      <w:r>
        <w:rPr>
          <w:color w:val="000000" w:themeColor="text1"/>
          <w14:textFill>
            <w14:solidFill>
              <w14:schemeClr w14:val="tx1"/>
            </w14:solidFill>
          </w14:textFill>
        </w:rPr>
        <w:t>级。</w:t>
      </w:r>
    </w:p>
    <w:p w14:paraId="54A4C5A1">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01" w:name="_Toc8800"/>
      <w:bookmarkStart w:id="302" w:name="_Toc13873"/>
      <w:bookmarkStart w:id="303" w:name="_Toc12808"/>
      <w:bookmarkStart w:id="304" w:name="_Toc21708"/>
      <w:bookmarkStart w:id="305" w:name="_Toc25307"/>
      <w:bookmarkStart w:id="306" w:name="_Toc29821"/>
      <w:bookmarkStart w:id="307" w:name="_Toc21070"/>
      <w:bookmarkStart w:id="308" w:name="_Toc20071"/>
      <w:bookmarkStart w:id="309" w:name="_Toc12102"/>
      <w:bookmarkStart w:id="310" w:name="_Toc25523"/>
      <w:r>
        <w:rPr>
          <w:color w:val="000000" w:themeColor="text1"/>
          <w:sz w:val="28"/>
          <w:szCs w:val="28"/>
          <w14:textFill>
            <w14:solidFill>
              <w14:schemeClr w14:val="tx1"/>
            </w14:solidFill>
          </w14:textFill>
        </w:rPr>
        <w:t>2.3.3</w:t>
      </w:r>
      <w:r>
        <w:rPr>
          <w:rFonts w:hint="eastAsia"/>
          <w:color w:val="000000" w:themeColor="text1"/>
          <w:sz w:val="28"/>
          <w:szCs w:val="28"/>
          <w14:textFill>
            <w14:solidFill>
              <w14:schemeClr w14:val="tx1"/>
            </w14:solidFill>
          </w14:textFill>
        </w:rPr>
        <w:t>生态环境</w:t>
      </w:r>
      <w:bookmarkEnd w:id="301"/>
      <w:bookmarkEnd w:id="302"/>
      <w:bookmarkEnd w:id="303"/>
      <w:bookmarkEnd w:id="304"/>
      <w:bookmarkEnd w:id="305"/>
      <w:bookmarkEnd w:id="306"/>
      <w:bookmarkEnd w:id="307"/>
      <w:bookmarkEnd w:id="308"/>
      <w:bookmarkEnd w:id="309"/>
      <w:bookmarkEnd w:id="310"/>
    </w:p>
    <w:p w14:paraId="503E8C9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根据《环境影响评价技术导则 生态影响》（</w:t>
      </w:r>
      <w:r>
        <w:rPr>
          <w:color w:val="000000" w:themeColor="text1"/>
          <w14:textFill>
            <w14:solidFill>
              <w14:schemeClr w14:val="tx1"/>
            </w14:solidFill>
          </w14:textFill>
        </w:rPr>
        <w:t>HJ19-2022</w:t>
      </w:r>
      <w:r>
        <w:rPr>
          <w:rFonts w:hint="eastAsia"/>
          <w:color w:val="000000" w:themeColor="text1"/>
          <w14:textFill>
            <w14:solidFill>
              <w14:schemeClr w14:val="tx1"/>
            </w14:solidFill>
          </w14:textFill>
        </w:rPr>
        <w:t>），依据建设项目影响区域的生态敏感性和影响程度，评价等级划分为一级、二级和三级。涉及国家公园、自然保护区、世界自然遗产、重要生境时，评价等级为一级；线性工程可分段确定评价等级。</w:t>
      </w:r>
      <w:r>
        <w:rPr>
          <w:color w:val="000000" w:themeColor="text1"/>
          <w14:textFill>
            <w14:solidFill>
              <w14:schemeClr w14:val="tx1"/>
            </w14:solidFill>
          </w14:textFill>
        </w:rPr>
        <w:t>见表2.3-2。</w:t>
      </w:r>
    </w:p>
    <w:p w14:paraId="0AA4C4FE">
      <w:pPr>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w:t>
      </w:r>
      <w:r>
        <w:rPr>
          <w:b/>
          <w:bCs/>
          <w:color w:val="000000" w:themeColor="text1"/>
          <w:sz w:val="21"/>
          <w:szCs w:val="21"/>
          <w14:textFill>
            <w14:solidFill>
              <w14:schemeClr w14:val="tx1"/>
            </w14:solidFill>
          </w14:textFill>
        </w:rPr>
        <w:t xml:space="preserve">2.3-2 </w:t>
      </w:r>
      <w:r>
        <w:rPr>
          <w:rFonts w:hint="eastAsia"/>
          <w:b/>
          <w:bCs/>
          <w:color w:val="000000" w:themeColor="text1"/>
          <w:sz w:val="21"/>
          <w:szCs w:val="21"/>
          <w14:textFill>
            <w14:solidFill>
              <w14:schemeClr w14:val="tx1"/>
            </w14:solidFill>
          </w14:textFill>
        </w:rPr>
        <w:t xml:space="preserve"> 生态环境影响评价工作等级确定表</w:t>
      </w:r>
    </w:p>
    <w:tbl>
      <w:tblPr>
        <w:tblStyle w:val="2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4575"/>
        <w:gridCol w:w="2841"/>
      </w:tblGrid>
      <w:tr w14:paraId="6B79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pct"/>
            <w:vAlign w:val="center"/>
          </w:tcPr>
          <w:p w14:paraId="6E25FDF7">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序号</w:t>
            </w:r>
          </w:p>
        </w:tc>
        <w:tc>
          <w:tcPr>
            <w:tcW w:w="2684" w:type="pct"/>
            <w:vAlign w:val="center"/>
          </w:tcPr>
          <w:p w14:paraId="428CE7B0">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评价等级确定原则</w:t>
            </w:r>
          </w:p>
        </w:tc>
        <w:tc>
          <w:tcPr>
            <w:tcW w:w="1667" w:type="pct"/>
            <w:vAlign w:val="center"/>
          </w:tcPr>
          <w:p w14:paraId="32A127A0">
            <w:pPr>
              <w:pStyle w:val="4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建设项目情况</w:t>
            </w:r>
          </w:p>
        </w:tc>
      </w:tr>
      <w:tr w14:paraId="4743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pct"/>
            <w:vAlign w:val="center"/>
          </w:tcPr>
          <w:p w14:paraId="406E0FF7">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w:t>
            </w:r>
          </w:p>
        </w:tc>
        <w:tc>
          <w:tcPr>
            <w:tcW w:w="2684" w:type="pct"/>
            <w:vAlign w:val="center"/>
          </w:tcPr>
          <w:p w14:paraId="59675344">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涉及国家公园、自然保护区、世界自然遗产、重要生境时，评价等级为一级</w:t>
            </w:r>
          </w:p>
        </w:tc>
        <w:tc>
          <w:tcPr>
            <w:tcW w:w="1667" w:type="pct"/>
            <w:vAlign w:val="center"/>
          </w:tcPr>
          <w:p w14:paraId="6BF23E0E">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评价范围内不涉及国家公园、自然保护区、世界自然遗产、重要生境</w:t>
            </w:r>
          </w:p>
        </w:tc>
      </w:tr>
      <w:tr w14:paraId="5E71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pct"/>
            <w:vAlign w:val="center"/>
          </w:tcPr>
          <w:p w14:paraId="033525D5">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2</w:t>
            </w:r>
          </w:p>
        </w:tc>
        <w:tc>
          <w:tcPr>
            <w:tcW w:w="2684" w:type="pct"/>
            <w:vAlign w:val="center"/>
          </w:tcPr>
          <w:p w14:paraId="28F8FD0D">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涉及自然公园时，评价等级为二级</w:t>
            </w:r>
          </w:p>
        </w:tc>
        <w:tc>
          <w:tcPr>
            <w:tcW w:w="1667" w:type="pct"/>
            <w:vAlign w:val="center"/>
          </w:tcPr>
          <w:p w14:paraId="731096B1">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评价范围不涉及自然公园</w:t>
            </w:r>
          </w:p>
        </w:tc>
      </w:tr>
      <w:tr w14:paraId="12A4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8" w:type="pct"/>
            <w:vAlign w:val="center"/>
          </w:tcPr>
          <w:p w14:paraId="548E785B">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3</w:t>
            </w:r>
          </w:p>
        </w:tc>
        <w:tc>
          <w:tcPr>
            <w:tcW w:w="2684" w:type="pct"/>
            <w:vAlign w:val="center"/>
          </w:tcPr>
          <w:p w14:paraId="78AC102D">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涉及生态保护红线时，评价等级不低于二级</w:t>
            </w:r>
          </w:p>
        </w:tc>
        <w:tc>
          <w:tcPr>
            <w:tcW w:w="1667" w:type="pct"/>
            <w:vAlign w:val="center"/>
          </w:tcPr>
          <w:p w14:paraId="7BF5755F">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线路终点距离北侧的塔里木盆地南缘土地沙化防控生态保护红线区最近约790m，本项目生态评价范围为边导线地面投影外两侧各300m内带状区域，评价范围内不涉及生态保护红线</w:t>
            </w:r>
          </w:p>
        </w:tc>
      </w:tr>
      <w:tr w14:paraId="28EB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pct"/>
            <w:vAlign w:val="center"/>
          </w:tcPr>
          <w:p w14:paraId="53AA774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4</w:t>
            </w:r>
          </w:p>
        </w:tc>
        <w:tc>
          <w:tcPr>
            <w:tcW w:w="2684" w:type="pct"/>
            <w:vAlign w:val="center"/>
          </w:tcPr>
          <w:p w14:paraId="4DAE31FC">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根据HJ 2.3判断属于水文要素影响型且地表水评价等级不低于二级的建设项目，生态影响评价等级不低于二级</w:t>
            </w:r>
          </w:p>
        </w:tc>
        <w:tc>
          <w:tcPr>
            <w:tcW w:w="1667" w:type="pct"/>
            <w:vAlign w:val="center"/>
          </w:tcPr>
          <w:p w14:paraId="2EC078E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本项目不属于水文要素影响型建设项目</w:t>
            </w:r>
          </w:p>
        </w:tc>
      </w:tr>
      <w:tr w14:paraId="436D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pct"/>
            <w:vAlign w:val="center"/>
          </w:tcPr>
          <w:p w14:paraId="79AC6A64">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5</w:t>
            </w:r>
          </w:p>
        </w:tc>
        <w:tc>
          <w:tcPr>
            <w:tcW w:w="2684" w:type="pct"/>
            <w:vAlign w:val="center"/>
          </w:tcPr>
          <w:p w14:paraId="667A6EDE">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根据HJ 610、HJ 964判断地下水水位或土壤影响范围内分布有天然林、公益林、湿地等生态保护目标的建设项目，生态影响评价等级不低于二级</w:t>
            </w:r>
          </w:p>
        </w:tc>
        <w:tc>
          <w:tcPr>
            <w:tcW w:w="1667" w:type="pct"/>
            <w:vAlign w:val="center"/>
          </w:tcPr>
          <w:p w14:paraId="01FC344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根据</w:t>
            </w:r>
            <w:r>
              <w:rPr>
                <w:b w:val="0"/>
                <w:bCs/>
                <w:color w:val="000000" w:themeColor="text1"/>
                <w14:textFill>
                  <w14:solidFill>
                    <w14:schemeClr w14:val="tx1"/>
                  </w14:solidFill>
                </w14:textFill>
              </w:rPr>
              <w:t>HJ 610</w:t>
            </w: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HJ 964</w:t>
            </w:r>
            <w:r>
              <w:rPr>
                <w:rFonts w:hint="eastAsia"/>
                <w:b w:val="0"/>
                <w:bCs/>
                <w:color w:val="000000" w:themeColor="text1"/>
                <w14:textFill>
                  <w14:solidFill>
                    <w14:schemeClr w14:val="tx1"/>
                  </w14:solidFill>
                </w14:textFill>
              </w:rPr>
              <w:t>本项目均属于</w:t>
            </w:r>
            <w:r>
              <w:rPr>
                <w:b w:val="0"/>
                <w:bCs/>
                <w:color w:val="000000" w:themeColor="text1"/>
                <w14:textFill>
                  <w14:solidFill>
                    <w14:schemeClr w14:val="tx1"/>
                  </w14:solidFill>
                </w14:textFill>
              </w:rPr>
              <w:t>Ⅳ</w:t>
            </w:r>
            <w:r>
              <w:rPr>
                <w:rFonts w:hint="eastAsia"/>
                <w:b w:val="0"/>
                <w:bCs/>
                <w:color w:val="000000" w:themeColor="text1"/>
                <w14:textFill>
                  <w14:solidFill>
                    <w14:schemeClr w14:val="tx1"/>
                  </w14:solidFill>
                </w14:textFill>
              </w:rPr>
              <w:t>类项目，不属于影响地下水水位或土壤的工程</w:t>
            </w:r>
          </w:p>
        </w:tc>
      </w:tr>
      <w:tr w14:paraId="248C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pct"/>
            <w:vAlign w:val="center"/>
          </w:tcPr>
          <w:p w14:paraId="5EC34DA9">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6</w:t>
            </w:r>
          </w:p>
        </w:tc>
        <w:tc>
          <w:tcPr>
            <w:tcW w:w="2684" w:type="pct"/>
            <w:vAlign w:val="center"/>
          </w:tcPr>
          <w:p w14:paraId="05873705">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当工程占地规模大于20km</w:t>
            </w:r>
            <w:r>
              <w:rPr>
                <w:b w:val="0"/>
                <w:bCs/>
                <w:color w:val="000000" w:themeColor="text1"/>
                <w:vertAlign w:val="superscript"/>
                <w14:textFill>
                  <w14:solidFill>
                    <w14:schemeClr w14:val="tx1"/>
                  </w14:solidFill>
                </w14:textFill>
              </w:rPr>
              <w:t>2</w:t>
            </w:r>
            <w:r>
              <w:rPr>
                <w:b w:val="0"/>
                <w:bCs/>
                <w:color w:val="000000" w:themeColor="text1"/>
                <w14:textFill>
                  <w14:solidFill>
                    <w14:schemeClr w14:val="tx1"/>
                  </w14:solidFill>
                </w14:textFill>
              </w:rPr>
              <w:t>时（包括永久和临时占用陆域和水域），评价等级不低于二级；改扩建项目的占地范围以新增占地（包括陆域和水域）确定</w:t>
            </w:r>
          </w:p>
        </w:tc>
        <w:tc>
          <w:tcPr>
            <w:tcW w:w="1667" w:type="pct"/>
            <w:vAlign w:val="center"/>
          </w:tcPr>
          <w:p w14:paraId="2F568080">
            <w:pPr>
              <w:pStyle w:val="40"/>
              <w:rPr>
                <w:b w:val="0"/>
                <w:bCs/>
                <w:color w:val="000000" w:themeColor="text1"/>
                <w14:textFill>
                  <w14:solidFill>
                    <w14:schemeClr w14:val="tx1"/>
                  </w14:solidFill>
                </w14:textFill>
              </w:rPr>
            </w:pPr>
            <w:r>
              <w:rPr>
                <w:rFonts w:hint="eastAsia"/>
                <w:b w:val="0"/>
                <w:bCs/>
                <w:color w:val="000000" w:themeColor="text1"/>
                <w:highlight w:val="none"/>
                <w14:textFill>
                  <w14:solidFill>
                    <w14:schemeClr w14:val="tx1"/>
                  </w14:solidFill>
                </w14:textFill>
              </w:rPr>
              <w:t>本项目总占地面积</w:t>
            </w:r>
            <w:r>
              <w:rPr>
                <w:rFonts w:hint="eastAsia"/>
                <w:b w:val="0"/>
                <w:bCs/>
                <w:color w:val="000000" w:themeColor="text1"/>
                <w:highlight w:val="none"/>
                <w:lang w:eastAsia="zh-CN"/>
                <w14:textFill>
                  <w14:solidFill>
                    <w14:schemeClr w14:val="tx1"/>
                  </w14:solidFill>
                </w14:textFill>
              </w:rPr>
              <w:t>361000</w:t>
            </w:r>
            <w:r>
              <w:rPr>
                <w:b w:val="0"/>
                <w:bCs/>
                <w:color w:val="000000" w:themeColor="text1"/>
                <w:highlight w:val="none"/>
                <w14:textFill>
                  <w14:solidFill>
                    <w14:schemeClr w14:val="tx1"/>
                  </w14:solidFill>
                </w14:textFill>
              </w:rPr>
              <w:t>m</w:t>
            </w:r>
            <w:r>
              <w:rPr>
                <w:b w:val="0"/>
                <w:bCs/>
                <w:color w:val="000000" w:themeColor="text1"/>
                <w:highlight w:val="none"/>
                <w:vertAlign w:val="superscript"/>
                <w14:textFill>
                  <w14:solidFill>
                    <w14:schemeClr w14:val="tx1"/>
                  </w14:solidFill>
                </w14:textFill>
              </w:rPr>
              <w:t>2</w:t>
            </w:r>
            <w:r>
              <w:rPr>
                <w:rFonts w:hint="eastAsia"/>
                <w:b w:val="0"/>
                <w:bCs/>
                <w:color w:val="000000" w:themeColor="text1"/>
                <w:highlight w:val="none"/>
                <w14:textFill>
                  <w14:solidFill>
                    <w14:schemeClr w14:val="tx1"/>
                  </w14:solidFill>
                </w14:textFill>
              </w:rPr>
              <w:t>，永久占地</w:t>
            </w:r>
            <w:r>
              <w:rPr>
                <w:rFonts w:hint="eastAsia"/>
                <w:b w:val="0"/>
                <w:bCs/>
                <w:color w:val="000000" w:themeColor="text1"/>
                <w:highlight w:val="none"/>
                <w:lang w:eastAsia="zh-CN"/>
                <w14:textFill>
                  <w14:solidFill>
                    <w14:schemeClr w14:val="tx1"/>
                  </w14:solidFill>
                </w14:textFill>
              </w:rPr>
              <w:t>26040</w:t>
            </w:r>
            <w:r>
              <w:rPr>
                <w:b w:val="0"/>
                <w:bCs/>
                <w:color w:val="000000" w:themeColor="text1"/>
                <w:highlight w:val="none"/>
                <w14:textFill>
                  <w14:solidFill>
                    <w14:schemeClr w14:val="tx1"/>
                  </w14:solidFill>
                </w14:textFill>
              </w:rPr>
              <w:t>m</w:t>
            </w:r>
            <w:r>
              <w:rPr>
                <w:b w:val="0"/>
                <w:bCs/>
                <w:color w:val="000000" w:themeColor="text1"/>
                <w:highlight w:val="none"/>
                <w:vertAlign w:val="superscript"/>
                <w14:textFill>
                  <w14:solidFill>
                    <w14:schemeClr w14:val="tx1"/>
                  </w14:solidFill>
                </w14:textFill>
              </w:rPr>
              <w:t>2</w:t>
            </w:r>
            <w:r>
              <w:rPr>
                <w:rFonts w:hint="eastAsia"/>
                <w:b w:val="0"/>
                <w:bCs/>
                <w:color w:val="000000" w:themeColor="text1"/>
                <w:highlight w:val="none"/>
                <w14:textFill>
                  <w14:solidFill>
                    <w14:schemeClr w14:val="tx1"/>
                  </w14:solidFill>
                </w14:textFill>
              </w:rPr>
              <w:t>，临时占地</w:t>
            </w:r>
            <w:r>
              <w:rPr>
                <w:rFonts w:hint="eastAsia"/>
                <w:b w:val="0"/>
                <w:bCs/>
                <w:color w:val="000000" w:themeColor="text1"/>
                <w:highlight w:val="none"/>
                <w:lang w:eastAsia="zh-CN"/>
                <w14:textFill>
                  <w14:solidFill>
                    <w14:schemeClr w14:val="tx1"/>
                  </w14:solidFill>
                </w14:textFill>
              </w:rPr>
              <w:t>334960</w:t>
            </w:r>
            <w:r>
              <w:rPr>
                <w:b w:val="0"/>
                <w:bCs/>
                <w:color w:val="000000" w:themeColor="text1"/>
                <w:highlight w:val="none"/>
                <w14:textFill>
                  <w14:solidFill>
                    <w14:schemeClr w14:val="tx1"/>
                  </w14:solidFill>
                </w14:textFill>
              </w:rPr>
              <w:t>m</w:t>
            </w:r>
            <w:r>
              <w:rPr>
                <w:b w:val="0"/>
                <w:bCs/>
                <w:color w:val="000000" w:themeColor="text1"/>
                <w:highlight w:val="none"/>
                <w:vertAlign w:val="superscript"/>
                <w14:textFill>
                  <w14:solidFill>
                    <w14:schemeClr w14:val="tx1"/>
                  </w14:solidFill>
                </w14:textFill>
              </w:rPr>
              <w:t>2</w:t>
            </w:r>
            <w:r>
              <w:rPr>
                <w:rFonts w:hint="eastAsia"/>
                <w:b w:val="0"/>
                <w:bCs/>
                <w:color w:val="000000" w:themeColor="text1"/>
                <w:highlight w:val="none"/>
                <w14:textFill>
                  <w14:solidFill>
                    <w14:schemeClr w14:val="tx1"/>
                  </w14:solidFill>
                </w14:textFill>
              </w:rPr>
              <w:t>，小于</w:t>
            </w:r>
            <w:r>
              <w:rPr>
                <w:b w:val="0"/>
                <w:bCs/>
                <w:color w:val="000000" w:themeColor="text1"/>
                <w:highlight w:val="none"/>
                <w14:textFill>
                  <w14:solidFill>
                    <w14:schemeClr w14:val="tx1"/>
                  </w14:solidFill>
                </w14:textFill>
              </w:rPr>
              <w:t>20km</w:t>
            </w:r>
            <w:r>
              <w:rPr>
                <w:b w:val="0"/>
                <w:bCs/>
                <w:color w:val="000000" w:themeColor="text1"/>
                <w:highlight w:val="none"/>
                <w:vertAlign w:val="superscript"/>
                <w14:textFill>
                  <w14:solidFill>
                    <w14:schemeClr w14:val="tx1"/>
                  </w14:solidFill>
                </w14:textFill>
              </w:rPr>
              <w:t>2</w:t>
            </w:r>
            <w:r>
              <w:rPr>
                <w:rFonts w:hint="eastAsia"/>
                <w:b w:val="0"/>
                <w:bCs/>
                <w:color w:val="000000" w:themeColor="text1"/>
                <w:highlight w:val="none"/>
                <w14:textFill>
                  <w14:solidFill>
                    <w14:schemeClr w14:val="tx1"/>
                  </w14:solidFill>
                </w14:textFill>
              </w:rPr>
              <w:t>。</w:t>
            </w:r>
          </w:p>
        </w:tc>
      </w:tr>
      <w:tr w14:paraId="646A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pct"/>
            <w:vAlign w:val="center"/>
          </w:tcPr>
          <w:p w14:paraId="3DEA0831">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7</w:t>
            </w:r>
          </w:p>
        </w:tc>
        <w:tc>
          <w:tcPr>
            <w:tcW w:w="2684" w:type="pct"/>
            <w:vAlign w:val="center"/>
          </w:tcPr>
          <w:p w14:paraId="56491C56">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除本条a）、b）、c）、d）、e）、f）以外的情况，评价等级为三级</w:t>
            </w:r>
          </w:p>
        </w:tc>
        <w:tc>
          <w:tcPr>
            <w:tcW w:w="1667" w:type="pct"/>
            <w:vAlign w:val="center"/>
          </w:tcPr>
          <w:p w14:paraId="4DD0F598">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本项目评价等级为三级</w:t>
            </w:r>
          </w:p>
        </w:tc>
      </w:tr>
    </w:tbl>
    <w:p w14:paraId="6A8A231A">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综上，本工程生态评价工作等级为三级。</w:t>
      </w:r>
    </w:p>
    <w:p w14:paraId="507182DF">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11" w:name="_Toc15367"/>
      <w:bookmarkStart w:id="312" w:name="_Toc29908"/>
      <w:bookmarkStart w:id="313" w:name="_Toc13092"/>
      <w:bookmarkStart w:id="314" w:name="_Toc25521"/>
      <w:bookmarkStart w:id="315" w:name="_Toc31308"/>
      <w:bookmarkStart w:id="316" w:name="_Toc9198"/>
      <w:bookmarkStart w:id="317" w:name="_Toc25078"/>
      <w:bookmarkStart w:id="318" w:name="_Toc29249"/>
      <w:bookmarkStart w:id="319" w:name="_Toc27049"/>
      <w:bookmarkStart w:id="320" w:name="_Toc24720"/>
      <w:r>
        <w:rPr>
          <w:color w:val="000000" w:themeColor="text1"/>
          <w:sz w:val="28"/>
          <w:szCs w:val="28"/>
          <w14:textFill>
            <w14:solidFill>
              <w14:schemeClr w14:val="tx1"/>
            </w14:solidFill>
          </w14:textFill>
        </w:rPr>
        <w:t>2.3.4</w:t>
      </w:r>
      <w:r>
        <w:rPr>
          <w:rFonts w:hint="eastAsia"/>
          <w:color w:val="000000" w:themeColor="text1"/>
          <w:sz w:val="28"/>
          <w:szCs w:val="28"/>
          <w14:textFill>
            <w14:solidFill>
              <w14:schemeClr w14:val="tx1"/>
            </w14:solidFill>
          </w14:textFill>
        </w:rPr>
        <w:t>地表水环境</w:t>
      </w:r>
      <w:bookmarkEnd w:id="311"/>
      <w:bookmarkEnd w:id="312"/>
      <w:bookmarkEnd w:id="313"/>
      <w:bookmarkEnd w:id="314"/>
      <w:bookmarkEnd w:id="315"/>
      <w:bookmarkEnd w:id="316"/>
      <w:bookmarkEnd w:id="317"/>
      <w:bookmarkEnd w:id="318"/>
      <w:bookmarkEnd w:id="319"/>
      <w:bookmarkEnd w:id="320"/>
    </w:p>
    <w:p w14:paraId="2DB68A77">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本项目正常运行时，无生产工艺废水产生，周边无地表水，暂不分析地表水环境评价工作等级。</w:t>
      </w:r>
    </w:p>
    <w:p w14:paraId="4EEACED2">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21" w:name="_Toc1299"/>
      <w:bookmarkStart w:id="322" w:name="_Toc10946"/>
      <w:bookmarkStart w:id="323" w:name="_Toc6825"/>
      <w:bookmarkStart w:id="324" w:name="_Toc17915"/>
      <w:bookmarkStart w:id="325" w:name="_Toc9782"/>
      <w:bookmarkStart w:id="326" w:name="_Toc8265"/>
      <w:bookmarkStart w:id="327" w:name="_Toc18596"/>
      <w:bookmarkStart w:id="328" w:name="_Toc18016"/>
      <w:bookmarkStart w:id="329" w:name="_Toc24832"/>
      <w:bookmarkStart w:id="330" w:name="_Toc16261"/>
      <w:r>
        <w:rPr>
          <w:color w:val="000000" w:themeColor="text1"/>
          <w:sz w:val="28"/>
          <w:szCs w:val="28"/>
          <w14:textFill>
            <w14:solidFill>
              <w14:schemeClr w14:val="tx1"/>
            </w14:solidFill>
          </w14:textFill>
        </w:rPr>
        <w:t>2.3.5</w:t>
      </w:r>
      <w:r>
        <w:rPr>
          <w:rFonts w:hint="eastAsia"/>
          <w:color w:val="000000" w:themeColor="text1"/>
          <w:sz w:val="28"/>
          <w:szCs w:val="28"/>
          <w14:textFill>
            <w14:solidFill>
              <w14:schemeClr w14:val="tx1"/>
            </w14:solidFill>
          </w14:textFill>
        </w:rPr>
        <w:t>地下水环境</w:t>
      </w:r>
      <w:bookmarkEnd w:id="321"/>
      <w:bookmarkEnd w:id="322"/>
      <w:bookmarkEnd w:id="323"/>
      <w:bookmarkEnd w:id="324"/>
      <w:bookmarkEnd w:id="325"/>
      <w:bookmarkEnd w:id="326"/>
      <w:bookmarkEnd w:id="327"/>
      <w:bookmarkEnd w:id="328"/>
      <w:bookmarkEnd w:id="329"/>
      <w:bookmarkEnd w:id="330"/>
    </w:p>
    <w:p w14:paraId="210D3518">
      <w:pPr>
        <w:ind w:firstLine="480"/>
        <w:rPr>
          <w:color w:val="000000" w:themeColor="text1"/>
          <w14:textFill>
            <w14:solidFill>
              <w14:schemeClr w14:val="tx1"/>
            </w14:solidFill>
          </w14:textFill>
        </w:rPr>
      </w:pPr>
      <w:r>
        <w:rPr>
          <w:color w:val="000000" w:themeColor="text1"/>
          <w14:textFill>
            <w14:solidFill>
              <w14:schemeClr w14:val="tx1"/>
            </w14:solidFill>
          </w14:textFill>
        </w:rPr>
        <w:t>根据建设项目对地下水环境影响的程度，结合《建设项目环境影响评价分类管理名录》，将建设项目分为四类。其中Ⅰ类、Ⅱ类、Ⅲ类建设项目的地下水环境影响评价应按照《环境影响评价技术导则地下水环境》（HJ610-2016）开展工作；本工程为Ⅳ类建设项目，不开展地下水环境影响评价。</w:t>
      </w:r>
    </w:p>
    <w:p w14:paraId="12BA954A">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31" w:name="_Toc13254"/>
      <w:bookmarkStart w:id="332" w:name="_Toc19677"/>
      <w:bookmarkStart w:id="333" w:name="_Toc11656"/>
      <w:bookmarkStart w:id="334" w:name="_Toc2930"/>
      <w:bookmarkStart w:id="335" w:name="_Toc30151"/>
      <w:bookmarkStart w:id="336" w:name="_Toc4104"/>
      <w:bookmarkStart w:id="337" w:name="_Toc24361"/>
      <w:bookmarkStart w:id="338" w:name="_Toc12884"/>
      <w:bookmarkStart w:id="339" w:name="_Toc4532"/>
      <w:bookmarkStart w:id="340" w:name="_Toc5196"/>
      <w:r>
        <w:rPr>
          <w:color w:val="000000" w:themeColor="text1"/>
          <w:sz w:val="28"/>
          <w:szCs w:val="28"/>
          <w14:textFill>
            <w14:solidFill>
              <w14:schemeClr w14:val="tx1"/>
            </w14:solidFill>
          </w14:textFill>
        </w:rPr>
        <w:t>2.3.6</w:t>
      </w:r>
      <w:r>
        <w:rPr>
          <w:rFonts w:hint="eastAsia"/>
          <w:color w:val="000000" w:themeColor="text1"/>
          <w:sz w:val="28"/>
          <w:szCs w:val="28"/>
          <w14:textFill>
            <w14:solidFill>
              <w14:schemeClr w14:val="tx1"/>
            </w14:solidFill>
          </w14:textFill>
        </w:rPr>
        <w:t>环境空气</w:t>
      </w:r>
      <w:bookmarkEnd w:id="331"/>
      <w:bookmarkEnd w:id="332"/>
      <w:bookmarkEnd w:id="333"/>
      <w:bookmarkEnd w:id="334"/>
      <w:bookmarkEnd w:id="335"/>
      <w:bookmarkEnd w:id="336"/>
      <w:bookmarkEnd w:id="337"/>
      <w:bookmarkEnd w:id="338"/>
      <w:bookmarkEnd w:id="339"/>
      <w:bookmarkEnd w:id="340"/>
    </w:p>
    <w:p w14:paraId="1AFDFAD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本工程施工期间的施工扬尘对周围的大气环境影响很小，运营期无废气污染物排放，本次对大气环境影响评价以分析说明为主。</w:t>
      </w:r>
    </w:p>
    <w:p w14:paraId="1C8DFF53">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41" w:name="_Toc26267"/>
      <w:bookmarkStart w:id="342" w:name="_Toc7699"/>
      <w:bookmarkStart w:id="343" w:name="_Toc19997"/>
      <w:bookmarkStart w:id="344" w:name="_Toc23743"/>
      <w:bookmarkStart w:id="345" w:name="_Toc26904"/>
      <w:bookmarkStart w:id="346" w:name="_Toc23383"/>
      <w:bookmarkStart w:id="347" w:name="_Toc6098"/>
      <w:bookmarkStart w:id="348" w:name="_Toc29341"/>
      <w:bookmarkStart w:id="349" w:name="_Toc19829"/>
      <w:bookmarkStart w:id="350" w:name="_Toc24624"/>
      <w:r>
        <w:rPr>
          <w:color w:val="000000" w:themeColor="text1"/>
          <w:sz w:val="28"/>
          <w:szCs w:val="28"/>
          <w14:textFill>
            <w14:solidFill>
              <w14:schemeClr w14:val="tx1"/>
            </w14:solidFill>
          </w14:textFill>
        </w:rPr>
        <w:t>2.3.7</w:t>
      </w:r>
      <w:r>
        <w:rPr>
          <w:rFonts w:hint="eastAsia"/>
          <w:color w:val="000000" w:themeColor="text1"/>
          <w:sz w:val="28"/>
          <w:szCs w:val="28"/>
          <w14:textFill>
            <w14:solidFill>
              <w14:schemeClr w14:val="tx1"/>
            </w14:solidFill>
          </w14:textFill>
        </w:rPr>
        <w:t>土壤环境</w:t>
      </w:r>
      <w:bookmarkEnd w:id="341"/>
      <w:bookmarkEnd w:id="342"/>
      <w:bookmarkEnd w:id="343"/>
      <w:bookmarkEnd w:id="344"/>
      <w:bookmarkEnd w:id="345"/>
      <w:bookmarkEnd w:id="346"/>
      <w:bookmarkEnd w:id="347"/>
      <w:bookmarkEnd w:id="348"/>
      <w:bookmarkEnd w:id="349"/>
      <w:bookmarkEnd w:id="350"/>
    </w:p>
    <w:p w14:paraId="0E88E37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本工程为输变电项目，参照《环境影响评价技术导则土壤环境（试行）》（</w:t>
      </w:r>
      <w:r>
        <w:rPr>
          <w:color w:val="000000" w:themeColor="text1"/>
          <w14:textFill>
            <w14:solidFill>
              <w14:schemeClr w14:val="tx1"/>
            </w14:solidFill>
          </w14:textFill>
        </w:rPr>
        <w:t>HJ964-2018</w:t>
      </w:r>
      <w:r>
        <w:rPr>
          <w:rFonts w:hint="eastAsia"/>
          <w:color w:val="000000" w:themeColor="text1"/>
          <w14:textFill>
            <w14:solidFill>
              <w14:schemeClr w14:val="tx1"/>
            </w14:solidFill>
          </w14:textFill>
        </w:rPr>
        <w:t>）中“附录</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表</w:t>
      </w:r>
      <w:r>
        <w:rPr>
          <w:color w:val="000000" w:themeColor="text1"/>
          <w14:textFill>
            <w14:solidFill>
              <w14:schemeClr w14:val="tx1"/>
            </w14:solidFill>
          </w14:textFill>
        </w:rPr>
        <w:t>A.1</w:t>
      </w:r>
      <w:r>
        <w:rPr>
          <w:rFonts w:hint="eastAsia"/>
          <w:color w:val="000000" w:themeColor="text1"/>
          <w14:textFill>
            <w14:solidFill>
              <w14:schemeClr w14:val="tx1"/>
            </w14:solidFill>
          </w14:textFill>
        </w:rPr>
        <w:t>土壤环境影响评价项目类别”，本工程行业类别属于“电力热力燃气及水生产和供应业”中的“其他”项目。因此，本工程土壤环境影响评价项目类别为</w:t>
      </w:r>
      <w:r>
        <w:rPr>
          <w:color w:val="000000" w:themeColor="text1"/>
          <w14:textFill>
            <w14:solidFill>
              <w14:schemeClr w14:val="tx1"/>
            </w14:solidFill>
          </w14:textFill>
        </w:rPr>
        <w:t>Ⅳ</w:t>
      </w:r>
      <w:r>
        <w:rPr>
          <w:rFonts w:hint="eastAsia"/>
          <w:color w:val="000000" w:themeColor="text1"/>
          <w14:textFill>
            <w14:solidFill>
              <w14:schemeClr w14:val="tx1"/>
            </w14:solidFill>
          </w14:textFill>
        </w:rPr>
        <w:t>类，可不开展土壤环境影响评价。</w:t>
      </w:r>
    </w:p>
    <w:p w14:paraId="348B8E5F">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51" w:name="_Toc21112"/>
      <w:bookmarkStart w:id="352" w:name="_Toc23137"/>
      <w:bookmarkStart w:id="353" w:name="_Toc28133"/>
      <w:bookmarkStart w:id="354" w:name="_Toc14560"/>
      <w:bookmarkStart w:id="355" w:name="_Toc20579"/>
      <w:bookmarkStart w:id="356" w:name="_Toc17562"/>
      <w:bookmarkStart w:id="357" w:name="_Toc19496"/>
      <w:bookmarkStart w:id="358" w:name="_Toc29607"/>
      <w:bookmarkStart w:id="359" w:name="_Toc19098"/>
      <w:bookmarkStart w:id="360" w:name="_Toc19455"/>
      <w:r>
        <w:rPr>
          <w:color w:val="000000" w:themeColor="text1"/>
          <w:sz w:val="28"/>
          <w:szCs w:val="28"/>
          <w14:textFill>
            <w14:solidFill>
              <w14:schemeClr w14:val="tx1"/>
            </w14:solidFill>
          </w14:textFill>
        </w:rPr>
        <w:t>2.3.8</w:t>
      </w:r>
      <w:r>
        <w:rPr>
          <w:rFonts w:hint="eastAsia"/>
          <w:color w:val="000000" w:themeColor="text1"/>
          <w:sz w:val="28"/>
          <w:szCs w:val="28"/>
          <w14:textFill>
            <w14:solidFill>
              <w14:schemeClr w14:val="tx1"/>
            </w14:solidFill>
          </w14:textFill>
        </w:rPr>
        <w:t>环境风险</w:t>
      </w:r>
      <w:bookmarkEnd w:id="351"/>
      <w:bookmarkEnd w:id="352"/>
      <w:bookmarkEnd w:id="353"/>
      <w:bookmarkEnd w:id="354"/>
      <w:bookmarkEnd w:id="355"/>
      <w:bookmarkEnd w:id="356"/>
      <w:bookmarkEnd w:id="357"/>
      <w:bookmarkEnd w:id="358"/>
      <w:bookmarkEnd w:id="359"/>
      <w:bookmarkEnd w:id="360"/>
    </w:p>
    <w:p w14:paraId="68E19E30">
      <w:pPr>
        <w:ind w:firstLine="480"/>
        <w:rPr>
          <w:color w:val="000000" w:themeColor="text1"/>
          <w14:textFill>
            <w14:solidFill>
              <w14:schemeClr w14:val="tx1"/>
            </w14:solidFill>
          </w14:textFill>
        </w:rPr>
      </w:pPr>
      <w:bookmarkStart w:id="361" w:name="_Toc12904"/>
      <w:bookmarkStart w:id="362" w:name="_Toc17895"/>
      <w:bookmarkStart w:id="363" w:name="_Toc22775"/>
      <w:bookmarkStart w:id="364" w:name="_Toc12827"/>
      <w:bookmarkStart w:id="365" w:name="_Toc16099"/>
      <w:bookmarkStart w:id="366" w:name="_Toc32582"/>
      <w:bookmarkStart w:id="367" w:name="_Toc12937"/>
      <w:bookmarkStart w:id="368" w:name="_Toc4157"/>
      <w:bookmarkStart w:id="369" w:name="_Toc17051"/>
      <w:bookmarkStart w:id="370" w:name="_Toc26378"/>
      <w:r>
        <w:rPr>
          <w:rFonts w:hint="eastAsia"/>
          <w:color w:val="000000" w:themeColor="text1"/>
          <w14:textFill>
            <w14:solidFill>
              <w14:schemeClr w14:val="tx1"/>
            </w14:solidFill>
          </w14:textFill>
        </w:rPr>
        <w:t>根据《环境影响评价技术导则 输变电》（</w:t>
      </w:r>
      <w:r>
        <w:rPr>
          <w:color w:val="000000" w:themeColor="text1"/>
          <w14:textFill>
            <w14:solidFill>
              <w14:schemeClr w14:val="tx1"/>
            </w14:solidFill>
          </w14:textFill>
        </w:rPr>
        <w:t>HJ 24-2020</w:t>
      </w:r>
      <w:r>
        <w:rPr>
          <w:rFonts w:hint="eastAsia"/>
          <w:color w:val="000000" w:themeColor="text1"/>
          <w14:textFill>
            <w14:solidFill>
              <w14:schemeClr w14:val="tx1"/>
            </w14:solidFill>
          </w14:textFill>
        </w:rPr>
        <w:t>）相关要求，输变电项目环境风险主要是对变压器、高压电抗器、换流器等设备在突发性事故情况下漏油产生的环境风险进行简要分析，主要分析事故油坑、油池设置要求，事故油污水的处置要求。本项目仅为输电线路工程，不涉及变压器、高压电抗器、换流器等设备，故环境风险较小。</w:t>
      </w:r>
    </w:p>
    <w:p w14:paraId="327E82D0">
      <w:pPr>
        <w:pStyle w:val="3"/>
        <w:spacing w:before="120" w:beforeLines="50" w:after="120" w:afterLines="50"/>
        <w:rPr>
          <w:color w:val="000000" w:themeColor="text1"/>
          <w14:textFill>
            <w14:solidFill>
              <w14:schemeClr w14:val="tx1"/>
            </w14:solidFill>
          </w14:textFill>
        </w:rPr>
      </w:pPr>
      <w:bookmarkStart w:id="371" w:name="_Toc8473"/>
      <w:r>
        <w:rPr>
          <w:color w:val="000000" w:themeColor="text1"/>
          <w14:textFill>
            <w14:solidFill>
              <w14:schemeClr w14:val="tx1"/>
            </w14:solidFill>
          </w14:textFill>
        </w:rPr>
        <w:t>2.4评价范围</w:t>
      </w:r>
      <w:bookmarkEnd w:id="361"/>
      <w:bookmarkEnd w:id="362"/>
      <w:bookmarkEnd w:id="363"/>
      <w:bookmarkEnd w:id="364"/>
      <w:bookmarkEnd w:id="365"/>
      <w:bookmarkEnd w:id="366"/>
      <w:bookmarkEnd w:id="367"/>
      <w:bookmarkEnd w:id="368"/>
      <w:bookmarkEnd w:id="369"/>
      <w:bookmarkEnd w:id="370"/>
      <w:bookmarkEnd w:id="371"/>
    </w:p>
    <w:p w14:paraId="3A6D2434">
      <w:pPr>
        <w:ind w:firstLine="480"/>
        <w:rPr>
          <w:color w:val="000000" w:themeColor="text1"/>
          <w:highlight w:val="yellow"/>
          <w14:textFill>
            <w14:solidFill>
              <w14:schemeClr w14:val="tx1"/>
            </w14:solidFill>
          </w14:textFill>
        </w:rPr>
      </w:pPr>
      <w:bookmarkStart w:id="372" w:name="_Toc439"/>
      <w:bookmarkStart w:id="373" w:name="_Toc15069"/>
      <w:bookmarkStart w:id="374" w:name="_Toc19747"/>
      <w:bookmarkStart w:id="375" w:name="_Toc24558"/>
      <w:bookmarkStart w:id="376" w:name="_Toc31245"/>
      <w:bookmarkStart w:id="377" w:name="_Toc27157"/>
      <w:r>
        <w:rPr>
          <w:rFonts w:hint="eastAsia"/>
          <w:color w:val="000000" w:themeColor="text1"/>
          <w14:textFill>
            <w14:solidFill>
              <w14:schemeClr w14:val="tx1"/>
            </w14:solidFill>
          </w14:textFill>
        </w:rPr>
        <w:t>根据《环境影响评价技术导则 输变电》（HJ24-2020）、《环境影响评价技术导则 声环境》（</w:t>
      </w:r>
      <w:r>
        <w:rPr>
          <w:color w:val="000000" w:themeColor="text1"/>
          <w14:textFill>
            <w14:solidFill>
              <w14:schemeClr w14:val="tx1"/>
            </w14:solidFill>
          </w14:textFill>
        </w:rPr>
        <w:t>HJ2.4-2021</w:t>
      </w:r>
      <w:r>
        <w:rPr>
          <w:rFonts w:hint="eastAsia"/>
          <w:color w:val="000000" w:themeColor="text1"/>
          <w14:textFill>
            <w14:solidFill>
              <w14:schemeClr w14:val="tx1"/>
            </w14:solidFill>
          </w14:textFill>
        </w:rPr>
        <w:t>）有关内容及规定，确定本项目的环境影响评价范围。本工程环境影响评价范围见图2.4-1。</w:t>
      </w:r>
    </w:p>
    <w:p w14:paraId="0812B30A">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78" w:name="_Toc29297"/>
      <w:bookmarkStart w:id="379" w:name="_Toc23573"/>
      <w:bookmarkStart w:id="380" w:name="_Toc1666"/>
      <w:bookmarkStart w:id="381" w:name="_Toc28474"/>
      <w:r>
        <w:rPr>
          <w:color w:val="000000" w:themeColor="text1"/>
          <w:sz w:val="28"/>
          <w:szCs w:val="28"/>
          <w14:textFill>
            <w14:solidFill>
              <w14:schemeClr w14:val="tx1"/>
            </w14:solidFill>
          </w14:textFill>
        </w:rPr>
        <w:t>2.4.1</w:t>
      </w:r>
      <w:r>
        <w:rPr>
          <w:rFonts w:hint="eastAsia"/>
          <w:color w:val="000000" w:themeColor="text1"/>
          <w:sz w:val="28"/>
          <w:szCs w:val="28"/>
          <w14:textFill>
            <w14:solidFill>
              <w14:schemeClr w14:val="tx1"/>
            </w14:solidFill>
          </w14:textFill>
        </w:rPr>
        <w:t>电磁环境</w:t>
      </w:r>
      <w:bookmarkEnd w:id="372"/>
      <w:bookmarkEnd w:id="373"/>
      <w:bookmarkEnd w:id="374"/>
      <w:bookmarkEnd w:id="375"/>
      <w:bookmarkEnd w:id="376"/>
      <w:bookmarkEnd w:id="377"/>
      <w:bookmarkEnd w:id="378"/>
      <w:bookmarkEnd w:id="379"/>
      <w:bookmarkEnd w:id="380"/>
      <w:bookmarkEnd w:id="381"/>
    </w:p>
    <w:p w14:paraId="506B396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输变电》（</w:t>
      </w:r>
      <w:r>
        <w:rPr>
          <w:color w:val="000000" w:themeColor="text1"/>
          <w14:textFill>
            <w14:solidFill>
              <w14:schemeClr w14:val="tx1"/>
            </w14:solidFill>
          </w14:textFill>
        </w:rPr>
        <w:t>HJ24-2020</w:t>
      </w:r>
      <w:r>
        <w:rPr>
          <w:rFonts w:hint="eastAsia"/>
          <w:color w:val="000000" w:themeColor="text1"/>
          <w14:textFill>
            <w14:solidFill>
              <w14:schemeClr w14:val="tx1"/>
            </w14:solidFill>
          </w14:textFill>
        </w:rPr>
        <w:t>）关于电磁环境影响评价范围的相关要求，确定本工程电磁环境影响评价范围如下：</w:t>
      </w:r>
    </w:p>
    <w:p w14:paraId="3C873702">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边导线地面投影外两侧各</w:t>
      </w:r>
      <w:r>
        <w:rPr>
          <w:color w:val="000000" w:themeColor="text1"/>
          <w14:textFill>
            <w14:solidFill>
              <w14:schemeClr w14:val="tx1"/>
            </w14:solidFill>
          </w14:textFill>
        </w:rPr>
        <w:t>50m</w:t>
      </w:r>
      <w:r>
        <w:rPr>
          <w:rFonts w:hint="eastAsia"/>
          <w:color w:val="000000" w:themeColor="text1"/>
          <w14:textFill>
            <w14:solidFill>
              <w14:schemeClr w14:val="tx1"/>
            </w14:solidFill>
          </w14:textFill>
        </w:rPr>
        <w:t>范围。</w:t>
      </w:r>
    </w:p>
    <w:p w14:paraId="2A561FD8">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82" w:name="_Toc12394"/>
      <w:bookmarkStart w:id="383" w:name="_Toc2196"/>
      <w:bookmarkStart w:id="384" w:name="_Toc2341"/>
      <w:bookmarkStart w:id="385" w:name="_Toc18768"/>
      <w:bookmarkStart w:id="386" w:name="_Toc18488"/>
      <w:bookmarkStart w:id="387" w:name="_Toc11403"/>
      <w:bookmarkStart w:id="388" w:name="_Toc25304"/>
      <w:bookmarkStart w:id="389" w:name="_Toc14891"/>
      <w:bookmarkStart w:id="390" w:name="_Toc32655"/>
      <w:bookmarkStart w:id="391" w:name="_Toc9058"/>
      <w:r>
        <w:rPr>
          <w:color w:val="000000" w:themeColor="text1"/>
          <w:sz w:val="28"/>
          <w:szCs w:val="28"/>
          <w14:textFill>
            <w14:solidFill>
              <w14:schemeClr w14:val="tx1"/>
            </w14:solidFill>
          </w14:textFill>
        </w:rPr>
        <w:t>2.4.2</w:t>
      </w:r>
      <w:r>
        <w:rPr>
          <w:rFonts w:hint="eastAsia"/>
          <w:color w:val="000000" w:themeColor="text1"/>
          <w:sz w:val="28"/>
          <w:szCs w:val="28"/>
          <w14:textFill>
            <w14:solidFill>
              <w14:schemeClr w14:val="tx1"/>
            </w14:solidFill>
          </w14:textFill>
        </w:rPr>
        <w:t>声环境</w:t>
      </w:r>
      <w:bookmarkEnd w:id="382"/>
      <w:bookmarkEnd w:id="383"/>
      <w:bookmarkEnd w:id="384"/>
      <w:bookmarkEnd w:id="385"/>
      <w:bookmarkEnd w:id="386"/>
      <w:bookmarkEnd w:id="387"/>
      <w:bookmarkEnd w:id="388"/>
      <w:bookmarkEnd w:id="389"/>
      <w:bookmarkEnd w:id="390"/>
      <w:bookmarkEnd w:id="391"/>
    </w:p>
    <w:p w14:paraId="45106C52">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声环境》（</w:t>
      </w:r>
      <w:r>
        <w:rPr>
          <w:color w:val="000000" w:themeColor="text1"/>
          <w14:textFill>
            <w14:solidFill>
              <w14:schemeClr w14:val="tx1"/>
            </w14:solidFill>
          </w14:textFill>
        </w:rPr>
        <w:t>HJ2.4-2021</w:t>
      </w:r>
      <w:r>
        <w:rPr>
          <w:rFonts w:hint="eastAsia"/>
          <w:color w:val="000000" w:themeColor="text1"/>
          <w14:textFill>
            <w14:solidFill>
              <w14:schemeClr w14:val="tx1"/>
            </w14:solidFill>
          </w14:textFill>
        </w:rPr>
        <w:t>）和《环境影响评价技术导则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输变电》（</w:t>
      </w:r>
      <w:r>
        <w:rPr>
          <w:color w:val="000000" w:themeColor="text1"/>
          <w14:textFill>
            <w14:solidFill>
              <w14:schemeClr w14:val="tx1"/>
            </w14:solidFill>
          </w14:textFill>
        </w:rPr>
        <w:t>HJ24-2020</w:t>
      </w:r>
      <w:r>
        <w:rPr>
          <w:rFonts w:hint="eastAsia"/>
          <w:color w:val="000000" w:themeColor="text1"/>
          <w14:textFill>
            <w14:solidFill>
              <w14:schemeClr w14:val="tx1"/>
            </w14:solidFill>
          </w14:textFill>
        </w:rPr>
        <w:t>）规定确定本项目声环境评价范围如下：</w:t>
      </w:r>
    </w:p>
    <w:p w14:paraId="2218713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边导线地面投影两侧各</w:t>
      </w:r>
      <w:r>
        <w:rPr>
          <w:color w:val="000000" w:themeColor="text1"/>
          <w14:textFill>
            <w14:solidFill>
              <w14:schemeClr w14:val="tx1"/>
            </w14:solidFill>
          </w14:textFill>
        </w:rPr>
        <w:t>50m</w:t>
      </w:r>
      <w:r>
        <w:rPr>
          <w:rFonts w:hint="eastAsia"/>
          <w:color w:val="000000" w:themeColor="text1"/>
          <w14:textFill>
            <w14:solidFill>
              <w14:schemeClr w14:val="tx1"/>
            </w14:solidFill>
          </w14:textFill>
        </w:rPr>
        <w:t>范围。</w:t>
      </w:r>
    </w:p>
    <w:p w14:paraId="1EBCF6C5">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bookmarkStart w:id="392" w:name="_Toc24189"/>
      <w:bookmarkStart w:id="393" w:name="_Toc23133"/>
      <w:bookmarkStart w:id="394" w:name="_Toc19910"/>
      <w:bookmarkStart w:id="395" w:name="_Toc19870"/>
      <w:bookmarkStart w:id="396" w:name="_Toc18357"/>
      <w:bookmarkStart w:id="397" w:name="_Toc15437"/>
      <w:bookmarkStart w:id="398" w:name="_Toc22536"/>
      <w:bookmarkStart w:id="399" w:name="_Toc17018"/>
      <w:bookmarkStart w:id="400" w:name="_Toc15400"/>
      <w:bookmarkStart w:id="401" w:name="_Toc6937"/>
      <w:r>
        <w:rPr>
          <w:color w:val="000000" w:themeColor="text1"/>
          <w:sz w:val="28"/>
          <w:szCs w:val="28"/>
          <w14:textFill>
            <w14:solidFill>
              <w14:schemeClr w14:val="tx1"/>
            </w14:solidFill>
          </w14:textFill>
        </w:rPr>
        <w:t>2.4.3</w:t>
      </w:r>
      <w:r>
        <w:rPr>
          <w:rFonts w:hint="eastAsia"/>
          <w:color w:val="000000" w:themeColor="text1"/>
          <w:sz w:val="28"/>
          <w:szCs w:val="28"/>
          <w14:textFill>
            <w14:solidFill>
              <w14:schemeClr w14:val="tx1"/>
            </w14:solidFill>
          </w14:textFill>
        </w:rPr>
        <w:t>生态环境</w:t>
      </w:r>
      <w:bookmarkEnd w:id="392"/>
      <w:bookmarkEnd w:id="393"/>
      <w:bookmarkEnd w:id="394"/>
      <w:bookmarkEnd w:id="395"/>
      <w:bookmarkEnd w:id="396"/>
      <w:bookmarkEnd w:id="397"/>
      <w:bookmarkEnd w:id="398"/>
      <w:bookmarkEnd w:id="399"/>
      <w:bookmarkEnd w:id="400"/>
      <w:bookmarkEnd w:id="401"/>
    </w:p>
    <w:p w14:paraId="5253B397">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根据《环境影响评价技术导则</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输变电》（</w:t>
      </w:r>
      <w:r>
        <w:rPr>
          <w:color w:val="000000" w:themeColor="text1"/>
          <w14:textFill>
            <w14:solidFill>
              <w14:schemeClr w14:val="tx1"/>
            </w14:solidFill>
          </w14:textFill>
        </w:rPr>
        <w:t>HJ24-2020</w:t>
      </w:r>
      <w:r>
        <w:rPr>
          <w:rFonts w:hint="eastAsia"/>
          <w:color w:val="000000" w:themeColor="text1"/>
          <w14:textFill>
            <w14:solidFill>
              <w14:schemeClr w14:val="tx1"/>
            </w14:solidFill>
          </w14:textFill>
        </w:rPr>
        <w:t>）关于生态环境影响评价范围的规定确定本项目生态环境评价范围如下：</w:t>
      </w:r>
    </w:p>
    <w:p w14:paraId="701D8164">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边导线地面投影外两侧各300m内带状区域。</w:t>
      </w:r>
    </w:p>
    <w:p w14:paraId="36F9DBDB">
      <w:pPr>
        <w:pStyle w:val="3"/>
        <w:spacing w:before="120" w:beforeLines="50" w:after="120" w:afterLines="50"/>
        <w:rPr>
          <w:color w:val="000000" w:themeColor="text1"/>
          <w14:textFill>
            <w14:solidFill>
              <w14:schemeClr w14:val="tx1"/>
            </w14:solidFill>
          </w14:textFill>
        </w:rPr>
      </w:pPr>
      <w:bookmarkStart w:id="402" w:name="_Toc3141"/>
      <w:bookmarkStart w:id="403" w:name="_Toc212"/>
      <w:bookmarkStart w:id="404" w:name="_Toc22792"/>
      <w:bookmarkStart w:id="405" w:name="_Toc11359"/>
      <w:bookmarkStart w:id="406" w:name="_Toc16336"/>
      <w:bookmarkStart w:id="407" w:name="_Toc30922"/>
      <w:bookmarkStart w:id="408" w:name="_Toc21538"/>
      <w:bookmarkStart w:id="409" w:name="_Toc24211"/>
      <w:bookmarkStart w:id="410" w:name="_Toc26541"/>
      <w:bookmarkStart w:id="411" w:name="_Toc12798"/>
      <w:bookmarkStart w:id="412" w:name="_Toc20632"/>
      <w:bookmarkStart w:id="413" w:name="_Toc432164276"/>
      <w:bookmarkStart w:id="414" w:name="_Toc432166948"/>
      <w:r>
        <w:rPr>
          <w:color w:val="000000" w:themeColor="text1"/>
          <w14:textFill>
            <w14:solidFill>
              <w14:schemeClr w14:val="tx1"/>
            </w14:solidFill>
          </w14:textFill>
        </w:rPr>
        <w:t>2.5</w:t>
      </w:r>
      <w:bookmarkEnd w:id="402"/>
      <w:bookmarkEnd w:id="403"/>
      <w:bookmarkEnd w:id="404"/>
      <w:bookmarkEnd w:id="405"/>
      <w:bookmarkEnd w:id="406"/>
      <w:bookmarkEnd w:id="407"/>
      <w:bookmarkEnd w:id="408"/>
      <w:bookmarkEnd w:id="409"/>
      <w:r>
        <w:rPr>
          <w:rFonts w:hint="eastAsia"/>
          <w:color w:val="000000" w:themeColor="text1"/>
          <w14:textFill>
            <w14:solidFill>
              <w14:schemeClr w14:val="tx1"/>
            </w14:solidFill>
          </w14:textFill>
        </w:rPr>
        <w:t>环境保护目标</w:t>
      </w:r>
      <w:bookmarkEnd w:id="410"/>
      <w:bookmarkEnd w:id="411"/>
      <w:bookmarkEnd w:id="412"/>
    </w:p>
    <w:bookmarkEnd w:id="413"/>
    <w:bookmarkEnd w:id="414"/>
    <w:p w14:paraId="2A742438">
      <w:pPr>
        <w:pStyle w:val="4"/>
        <w:tabs>
          <w:tab w:val="left" w:pos="3360"/>
        </w:tabs>
        <w:spacing w:before="120" w:beforeLines="50" w:after="120" w:afterLines="50"/>
        <w:ind w:firstLine="0" w:firstLineChars="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2.5.1 </w:t>
      </w:r>
      <w:r>
        <w:rPr>
          <w:rFonts w:hint="eastAsia"/>
          <w:color w:val="000000" w:themeColor="text1"/>
          <w:sz w:val="28"/>
          <w:szCs w:val="28"/>
          <w14:textFill>
            <w14:solidFill>
              <w14:schemeClr w14:val="tx1"/>
            </w14:solidFill>
          </w14:textFill>
        </w:rPr>
        <w:t>电磁环境及声环境保护目标</w:t>
      </w:r>
    </w:p>
    <w:p w14:paraId="449E5302">
      <w:pPr>
        <w:widowControl/>
        <w:ind w:firstLine="48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根据《环境影响评价技术导则 输变电》（</w:t>
      </w:r>
      <w:r>
        <w:rPr>
          <w:color w:val="000000" w:themeColor="text1"/>
          <w:kern w:val="0"/>
          <w14:textFill>
            <w14:solidFill>
              <w14:schemeClr w14:val="tx1"/>
            </w14:solidFill>
          </w14:textFill>
        </w:rPr>
        <w:t>HJ 24-2020</w:t>
      </w:r>
      <w:r>
        <w:rPr>
          <w:rFonts w:hint="eastAsia"/>
          <w:color w:val="000000" w:themeColor="text1"/>
          <w:kern w:val="0"/>
          <w14:textFill>
            <w14:solidFill>
              <w14:schemeClr w14:val="tx1"/>
            </w14:solidFill>
          </w14:textFill>
        </w:rPr>
        <w:t>），电磁环境敏感目标为电磁环境影响评价需重点关注的对象。包括：住宅、学校、医院、办公楼、工厂等有公众居住，工作或学习的建筑物。</w:t>
      </w:r>
    </w:p>
    <w:p w14:paraId="08E34554">
      <w:pPr>
        <w:widowControl/>
        <w:ind w:firstLine="48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根据《环境影响评价技术导则 声环境》（</w:t>
      </w:r>
      <w:r>
        <w:rPr>
          <w:color w:val="000000" w:themeColor="text1"/>
          <w:kern w:val="0"/>
          <w14:textFill>
            <w14:solidFill>
              <w14:schemeClr w14:val="tx1"/>
            </w14:solidFill>
          </w14:textFill>
        </w:rPr>
        <w:t>HJ2.4-2021</w:t>
      </w:r>
      <w:r>
        <w:rPr>
          <w:rFonts w:hint="eastAsia"/>
          <w:color w:val="000000" w:themeColor="text1"/>
          <w:kern w:val="0"/>
          <w14:textFill>
            <w14:solidFill>
              <w14:schemeClr w14:val="tx1"/>
            </w14:solidFill>
          </w14:textFill>
        </w:rPr>
        <w:t>），声环境保护目标是指依据法律、规范、标准政策等确定的需要保持安静的建筑物及建筑物集中区。</w:t>
      </w:r>
    </w:p>
    <w:p w14:paraId="11E75394">
      <w:pPr>
        <w:widowControl/>
        <w:ind w:firstLine="48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根据设计单位提供，本项目并行线路中心线间距100m，电磁环境、声环境评价范围为</w:t>
      </w:r>
      <w:r>
        <w:rPr>
          <w:rFonts w:hint="eastAsia"/>
          <w:color w:val="000000" w:themeColor="text1"/>
          <w14:textFill>
            <w14:solidFill>
              <w14:schemeClr w14:val="tx1"/>
            </w14:solidFill>
          </w14:textFill>
        </w:rPr>
        <w:t>边导线地面投影外两侧各</w:t>
      </w:r>
      <w:r>
        <w:rPr>
          <w:color w:val="000000" w:themeColor="text1"/>
          <w14:textFill>
            <w14:solidFill>
              <w14:schemeClr w14:val="tx1"/>
            </w14:solidFill>
          </w14:textFill>
        </w:rPr>
        <w:t>50m</w:t>
      </w:r>
      <w:r>
        <w:rPr>
          <w:rFonts w:hint="eastAsia"/>
          <w:color w:val="000000" w:themeColor="text1"/>
          <w14:textFill>
            <w14:solidFill>
              <w14:schemeClr w14:val="tx1"/>
            </w14:solidFill>
          </w14:textFill>
        </w:rPr>
        <w:t>范围，</w:t>
      </w:r>
      <w:r>
        <w:rPr>
          <w:rFonts w:hint="eastAsia"/>
          <w:color w:val="000000" w:themeColor="text1"/>
          <w:kern w:val="0"/>
          <w14:textFill>
            <w14:solidFill>
              <w14:schemeClr w14:val="tx1"/>
            </w14:solidFill>
          </w14:textFill>
        </w:rPr>
        <w:t>根据现场勘查，本项目输变电线路沿线电磁环境、声环境评价范围内无电磁环境和声环境保护目标。</w:t>
      </w:r>
    </w:p>
    <w:p w14:paraId="727E00BF">
      <w:pPr>
        <w:widowControl/>
        <w:ind w:firstLine="0" w:firstLineChars="0"/>
        <w:jc w:val="left"/>
        <w:outlineLvl w:val="2"/>
        <w:rPr>
          <w:b/>
          <w:color w:val="000000" w:themeColor="text1"/>
          <w:kern w:val="0"/>
          <w:sz w:val="28"/>
          <w:szCs w:val="28"/>
          <w14:textFill>
            <w14:solidFill>
              <w14:schemeClr w14:val="tx1"/>
            </w14:solidFill>
          </w14:textFill>
        </w:rPr>
      </w:pPr>
      <w:r>
        <w:rPr>
          <w:b/>
          <w:color w:val="000000" w:themeColor="text1"/>
          <w:kern w:val="0"/>
          <w:sz w:val="28"/>
          <w:szCs w:val="28"/>
          <w14:textFill>
            <w14:solidFill>
              <w14:schemeClr w14:val="tx1"/>
            </w14:solidFill>
          </w14:textFill>
        </w:rPr>
        <w:t xml:space="preserve">2.5.2 </w:t>
      </w:r>
      <w:r>
        <w:rPr>
          <w:rFonts w:hint="eastAsia"/>
          <w:b/>
          <w:color w:val="000000" w:themeColor="text1"/>
          <w:kern w:val="0"/>
          <w:sz w:val="28"/>
          <w:szCs w:val="28"/>
          <w14:textFill>
            <w14:solidFill>
              <w14:schemeClr w14:val="tx1"/>
            </w14:solidFill>
          </w14:textFill>
        </w:rPr>
        <w:t>生态环境保护目标</w:t>
      </w:r>
    </w:p>
    <w:p w14:paraId="66EF9120">
      <w:pPr>
        <w:widowControl/>
        <w:ind w:firstLine="48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1</w:t>
      </w:r>
      <w:r>
        <w:rPr>
          <w:rFonts w:hint="eastAsia"/>
          <w:color w:val="000000" w:themeColor="text1"/>
          <w:kern w:val="0"/>
          <w14:textFill>
            <w14:solidFill>
              <w14:schemeClr w14:val="tx1"/>
            </w14:solidFill>
          </w14:textFill>
        </w:rPr>
        <w:t>）</w:t>
      </w:r>
      <w:r>
        <w:rPr>
          <w:rFonts w:hint="eastAsia"/>
          <w:color w:val="000000" w:themeColor="text1"/>
          <w:kern w:val="0"/>
          <w:lang w:val="en-US" w:eastAsia="zh-CN"/>
          <w14:textFill>
            <w14:solidFill>
              <w14:schemeClr w14:val="tx1"/>
            </w14:solidFill>
          </w14:textFill>
        </w:rPr>
        <w:t>环境</w:t>
      </w:r>
      <w:r>
        <w:rPr>
          <w:rFonts w:hint="eastAsia"/>
          <w:color w:val="000000" w:themeColor="text1"/>
          <w:kern w:val="0"/>
          <w14:textFill>
            <w14:solidFill>
              <w14:schemeClr w14:val="tx1"/>
            </w14:solidFill>
          </w14:textFill>
        </w:rPr>
        <w:t>敏感区</w:t>
      </w:r>
    </w:p>
    <w:p w14:paraId="4EEFF7CE">
      <w:pPr>
        <w:widowControl/>
        <w:ind w:firstLine="480"/>
        <w:jc w:val="left"/>
        <w:rPr>
          <w:rFonts w:hint="eastAsia"/>
          <w:color w:val="000000" w:themeColor="text1"/>
          <w:kern w:val="0"/>
          <w:lang w:val="en-US" w:eastAsia="zh-CN"/>
          <w14:textFill>
            <w14:solidFill>
              <w14:schemeClr w14:val="tx1"/>
            </w14:solidFill>
          </w14:textFill>
        </w:rPr>
      </w:pPr>
      <w:r>
        <w:rPr>
          <w:rFonts w:hint="eastAsia"/>
          <w:color w:val="000000" w:themeColor="text1"/>
          <w:kern w:val="0"/>
          <w14:textFill>
            <w14:solidFill>
              <w14:schemeClr w14:val="tx1"/>
            </w14:solidFill>
          </w14:textFill>
        </w:rPr>
        <w:t>根据</w:t>
      </w:r>
      <w:r>
        <w:rPr>
          <w:rFonts w:hint="eastAsia"/>
          <w:color w:val="000000" w:themeColor="text1"/>
          <w:kern w:val="0"/>
          <w:lang w:eastAsia="zh-CN"/>
          <w14:textFill>
            <w14:solidFill>
              <w14:schemeClr w14:val="tx1"/>
            </w14:solidFill>
          </w14:textFill>
        </w:rPr>
        <w:t>《</w:t>
      </w:r>
      <w:r>
        <w:rPr>
          <w:rFonts w:hint="eastAsia"/>
          <w:color w:val="000000" w:themeColor="text1"/>
          <w:kern w:val="0"/>
          <w:lang w:val="en-US" w:eastAsia="zh-CN"/>
          <w14:textFill>
            <w14:solidFill>
              <w14:schemeClr w14:val="tx1"/>
            </w14:solidFill>
          </w14:textFill>
        </w:rPr>
        <w:t>建设项目环境影响评价分类管理名录</w:t>
      </w:r>
      <w:r>
        <w:rPr>
          <w:rFonts w:hint="eastAsia"/>
          <w:color w:val="000000" w:themeColor="text1"/>
          <w:kern w:val="0"/>
          <w:lang w:eastAsia="zh-CN"/>
          <w14:textFill>
            <w14:solidFill>
              <w14:schemeClr w14:val="tx1"/>
            </w14:solidFill>
          </w14:textFill>
        </w:rPr>
        <w:t>》（</w:t>
      </w:r>
      <w:r>
        <w:rPr>
          <w:rFonts w:hint="eastAsia"/>
          <w:color w:val="000000" w:themeColor="text1"/>
          <w:kern w:val="0"/>
          <w:lang w:val="en-US" w:eastAsia="zh-CN"/>
          <w14:textFill>
            <w14:solidFill>
              <w14:schemeClr w14:val="tx1"/>
            </w14:solidFill>
          </w14:textFill>
        </w:rPr>
        <w:t>2021年版</w:t>
      </w:r>
      <w:r>
        <w:rPr>
          <w:rFonts w:hint="eastAsia"/>
          <w:color w:val="000000" w:themeColor="text1"/>
          <w:kern w:val="0"/>
          <w:lang w:eastAsia="zh-CN"/>
          <w14:textFill>
            <w14:solidFill>
              <w14:schemeClr w14:val="tx1"/>
            </w14:solidFill>
          </w14:textFill>
        </w:rPr>
        <w:t>），</w:t>
      </w:r>
      <w:r>
        <w:rPr>
          <w:rFonts w:hint="eastAsia"/>
          <w:color w:val="000000" w:themeColor="text1"/>
          <w:kern w:val="0"/>
          <w:lang w:val="en-US" w:eastAsia="zh-CN"/>
          <w14:textFill>
            <w14:solidFill>
              <w14:schemeClr w14:val="tx1"/>
            </w14:solidFill>
          </w14:textFill>
        </w:rPr>
        <w:t>输变电项目环境敏感区含义指名录中第三条中的（一）国家公园、自然保护区、风景名胜区、世界文化和自然遗产地、海洋特别保护区、饮用水水源保护区；（三）以居住、医疗卫生、文化教育、科研、行政办公为主要功能的区域，以及文物保护单位。</w:t>
      </w:r>
    </w:p>
    <w:p w14:paraId="0F9F6EA4">
      <w:pPr>
        <w:widowControl/>
        <w:ind w:firstLine="480"/>
        <w:jc w:val="left"/>
        <w:rPr>
          <w:color w:val="000000" w:themeColor="text1"/>
          <w:kern w:val="0"/>
          <w14:textFill>
            <w14:solidFill>
              <w14:schemeClr w14:val="tx1"/>
            </w14:solidFill>
          </w14:textFill>
        </w:rPr>
      </w:pPr>
      <w:r>
        <w:rPr>
          <w:rFonts w:hint="eastAsia"/>
          <w:color w:val="000000" w:themeColor="text1"/>
          <w:kern w:val="0"/>
          <w:lang w:val="en-US" w:eastAsia="zh-CN"/>
          <w14:textFill>
            <w14:solidFill>
              <w14:schemeClr w14:val="tx1"/>
            </w14:solidFill>
          </w14:textFill>
        </w:rPr>
        <w:t>根据</w:t>
      </w:r>
      <w:r>
        <w:rPr>
          <w:rFonts w:hint="eastAsia"/>
          <w:color w:val="000000" w:themeColor="text1"/>
          <w:kern w:val="0"/>
          <w14:textFill>
            <w14:solidFill>
              <w14:schemeClr w14:val="tx1"/>
            </w14:solidFill>
          </w14:textFill>
        </w:rPr>
        <w:t>《环境影响评价技术导则 生态影响》（</w:t>
      </w:r>
      <w:r>
        <w:rPr>
          <w:color w:val="000000" w:themeColor="text1"/>
          <w:kern w:val="0"/>
          <w14:textFill>
            <w14:solidFill>
              <w14:schemeClr w14:val="tx1"/>
            </w14:solidFill>
          </w14:textFill>
        </w:rPr>
        <w:t>HJ19-2022</w:t>
      </w:r>
      <w:r>
        <w:rPr>
          <w:rFonts w:hint="eastAsia"/>
          <w:color w:val="000000" w:themeColor="text1"/>
          <w:kern w:val="0"/>
          <w14:textFill>
            <w14:solidFill>
              <w14:schemeClr w14:val="tx1"/>
            </w14:solidFill>
          </w14:textFill>
        </w:rPr>
        <w:t>），生态敏感区包括法定生态保护区域、重要生境以及其他具有重要生态功能、对保护生物多样性具有重要意义的区域：①法定生态保护区域：依据法律法规、政策等规范性文件划定或确认的国家公园、自然保护区、自然公园等自然保护地、世界自然遗产、生态保护红线等区域；②重要生境：包括重要物种的天然集中分布区、栖息地，重要水生生物的产卵场、索饵场、越冬场和洄游通道，迁徙鸟类的重要繁殖地、停歇地、越冬地以及野生动物迁徙通道等。</w:t>
      </w:r>
    </w:p>
    <w:p w14:paraId="72644046">
      <w:pPr>
        <w:widowControl/>
        <w:ind w:firstLine="48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建设项目在选择</w:t>
      </w:r>
      <w:r>
        <w:rPr>
          <w:color w:val="000000" w:themeColor="text1"/>
          <w:kern w:val="0"/>
          <w14:textFill>
            <w14:solidFill>
              <w14:schemeClr w14:val="tx1"/>
            </w14:solidFill>
          </w14:textFill>
        </w:rPr>
        <w:t>750kV</w:t>
      </w:r>
      <w:r>
        <w:rPr>
          <w:rFonts w:hint="eastAsia"/>
          <w:color w:val="000000" w:themeColor="text1"/>
          <w:kern w:val="0"/>
          <w14:textFill>
            <w14:solidFill>
              <w14:schemeClr w14:val="tx1"/>
            </w14:solidFill>
          </w14:textFill>
        </w:rPr>
        <w:t>输电线路路径时，为了保证工程质量，又确保工程对环境的影响程度最小，对沿线与环境有关的地方政府、建设、资源等部门进行了资料收集、调查研究和路径、站址选择协调工作，并根据有关部门的意见对输电线路路径进行了优化。</w:t>
      </w:r>
    </w:p>
    <w:p w14:paraId="0B02AE33">
      <w:pPr>
        <w:widowControl/>
        <w:ind w:firstLine="480"/>
        <w:jc w:val="left"/>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根据本次评价收资调查及现场踏勘结果，建设项目评价范围内不涉及自然保护区、饮用水保护区、生态保护红线等生态敏感区。</w:t>
      </w:r>
    </w:p>
    <w:p w14:paraId="0D36C181">
      <w:pPr>
        <w:widowControl/>
        <w:ind w:firstLine="480"/>
        <w:jc w:val="left"/>
        <w:rPr>
          <w:rFonts w:hint="default" w:eastAsia="宋体"/>
          <w:color w:val="000000" w:themeColor="text1"/>
          <w:kern w:val="0"/>
          <w:lang w:val="en-US" w:eastAsia="zh-CN"/>
          <w14:textFill>
            <w14:solidFill>
              <w14:schemeClr w14:val="tx1"/>
            </w14:solidFill>
          </w14:textFill>
        </w:rPr>
      </w:pPr>
      <w:r>
        <w:rPr>
          <w:rFonts w:hint="eastAsia"/>
          <w:color w:val="000000" w:themeColor="text1"/>
          <w:kern w:val="0"/>
          <w:lang w:eastAsia="zh-CN"/>
          <w14:textFill>
            <w14:solidFill>
              <w14:schemeClr w14:val="tx1"/>
            </w14:solidFill>
          </w14:textFill>
        </w:rPr>
        <w:t>（</w:t>
      </w:r>
      <w:r>
        <w:rPr>
          <w:rFonts w:hint="eastAsia"/>
          <w:color w:val="000000" w:themeColor="text1"/>
          <w:kern w:val="0"/>
          <w:lang w:val="en-US" w:eastAsia="zh-CN"/>
          <w14:textFill>
            <w14:solidFill>
              <w14:schemeClr w14:val="tx1"/>
            </w14:solidFill>
          </w14:textFill>
        </w:rPr>
        <w:t>2</w:t>
      </w:r>
      <w:r>
        <w:rPr>
          <w:rFonts w:hint="eastAsia"/>
          <w:color w:val="000000" w:themeColor="text1"/>
          <w:kern w:val="0"/>
          <w:lang w:eastAsia="zh-CN"/>
          <w14:textFill>
            <w14:solidFill>
              <w14:schemeClr w14:val="tx1"/>
            </w14:solidFill>
          </w14:textFill>
        </w:rPr>
        <w:t>）</w:t>
      </w:r>
      <w:r>
        <w:rPr>
          <w:rFonts w:hint="eastAsia"/>
          <w:color w:val="000000" w:themeColor="text1"/>
          <w:kern w:val="0"/>
          <w:lang w:val="en-US" w:eastAsia="zh-CN"/>
          <w14:textFill>
            <w14:solidFill>
              <w14:schemeClr w14:val="tx1"/>
            </w14:solidFill>
          </w14:textFill>
        </w:rPr>
        <w:t>生态环境保护目标</w:t>
      </w:r>
    </w:p>
    <w:p w14:paraId="6A26BB2D">
      <w:pPr>
        <w:widowControl/>
        <w:ind w:firstLine="480"/>
        <w:jc w:val="left"/>
        <w:rPr>
          <w:rFonts w:hint="eastAsia"/>
          <w:color w:val="000000" w:themeColor="text1"/>
          <w:kern w:val="0"/>
          <w14:textFill>
            <w14:solidFill>
              <w14:schemeClr w14:val="tx1"/>
            </w14:solidFill>
          </w14:textFill>
        </w:rPr>
      </w:pPr>
      <w:r>
        <w:rPr>
          <w:rFonts w:hint="eastAsia"/>
          <w:color w:val="000000" w:themeColor="text1"/>
          <w:kern w:val="0"/>
          <w:lang w:val="en-US" w:eastAsia="zh-CN"/>
          <w14:textFill>
            <w14:solidFill>
              <w14:schemeClr w14:val="tx1"/>
            </w14:solidFill>
          </w14:textFill>
        </w:rPr>
        <w:t>根据</w:t>
      </w:r>
      <w:r>
        <w:rPr>
          <w:rFonts w:hint="eastAsia"/>
          <w:color w:val="000000" w:themeColor="text1"/>
          <w:kern w:val="0"/>
          <w14:textFill>
            <w14:solidFill>
              <w14:schemeClr w14:val="tx1"/>
            </w14:solidFill>
          </w14:textFill>
        </w:rPr>
        <w:t>《环境影响评价技术导则 生态影响》（</w:t>
      </w:r>
      <w:r>
        <w:rPr>
          <w:color w:val="000000" w:themeColor="text1"/>
          <w:kern w:val="0"/>
          <w14:textFill>
            <w14:solidFill>
              <w14:schemeClr w14:val="tx1"/>
            </w14:solidFill>
          </w14:textFill>
        </w:rPr>
        <w:t>HJ19-2022</w:t>
      </w:r>
      <w:r>
        <w:rPr>
          <w:rFonts w:hint="eastAsia"/>
          <w:color w:val="000000" w:themeColor="text1"/>
          <w:kern w:val="0"/>
          <w14:textFill>
            <w14:solidFill>
              <w14:schemeClr w14:val="tx1"/>
            </w14:solidFill>
          </w14:textFill>
        </w:rPr>
        <w:t>）</w:t>
      </w:r>
      <w:r>
        <w:rPr>
          <w:rFonts w:hint="eastAsia"/>
          <w:color w:val="000000" w:themeColor="text1"/>
          <w:kern w:val="0"/>
          <w:lang w:eastAsia="zh-CN"/>
          <w14:textFill>
            <w14:solidFill>
              <w14:schemeClr w14:val="tx1"/>
            </w14:solidFill>
          </w14:textFill>
        </w:rPr>
        <w:t>，</w:t>
      </w:r>
      <w:r>
        <w:rPr>
          <w:rFonts w:hint="eastAsia"/>
          <w:color w:val="000000" w:themeColor="text1"/>
          <w:kern w:val="0"/>
          <w:lang w:val="en-US" w:eastAsia="zh-CN"/>
          <w14:textFill>
            <w14:solidFill>
              <w14:schemeClr w14:val="tx1"/>
            </w14:solidFill>
          </w14:textFill>
        </w:rPr>
        <w:t>生态保护目标指受影响的重要物种、生态敏感区以及其他需要保护的物种、种群、生物群落及生态空间等。项目评价范围内有地方公益林分布，属于生态环境保护目标。</w:t>
      </w:r>
      <w:r>
        <w:rPr>
          <w:rFonts w:hint="default" w:ascii="Times New Roman" w:hAnsi="Times New Roman" w:cs="Times New Roman"/>
          <w:color w:val="000000" w:themeColor="text1"/>
          <w:kern w:val="0"/>
          <w:sz w:val="24"/>
          <w14:textFill>
            <w14:solidFill>
              <w14:schemeClr w14:val="tx1"/>
            </w14:solidFill>
          </w14:textFill>
        </w:rPr>
        <w:t>本项目</w:t>
      </w:r>
      <w:r>
        <w:rPr>
          <w:rFonts w:hint="eastAsia" w:cs="Times New Roman"/>
          <w:color w:val="000000" w:themeColor="text1"/>
          <w:kern w:val="0"/>
          <w:sz w:val="24"/>
          <w:lang w:val="en-US" w:eastAsia="zh-CN"/>
          <w14:textFill>
            <w14:solidFill>
              <w14:schemeClr w14:val="tx1"/>
            </w14:solidFill>
          </w14:textFill>
        </w:rPr>
        <w:t>环境</w:t>
      </w:r>
      <w:r>
        <w:rPr>
          <w:rFonts w:hint="default" w:ascii="Times New Roman" w:hAnsi="Times New Roman" w:cs="Times New Roman"/>
          <w:color w:val="000000" w:themeColor="text1"/>
          <w:kern w:val="0"/>
          <w:sz w:val="24"/>
          <w14:textFill>
            <w14:solidFill>
              <w14:schemeClr w14:val="tx1"/>
            </w14:solidFill>
          </w14:textFill>
        </w:rPr>
        <w:t>保护目标具体情况见表2.</w:t>
      </w:r>
      <w:r>
        <w:rPr>
          <w:rFonts w:hint="eastAsia" w:cs="Times New Roman"/>
          <w:color w:val="000000" w:themeColor="text1"/>
          <w:kern w:val="0"/>
          <w:sz w:val="24"/>
          <w:lang w:val="en-US" w:eastAsia="zh-CN"/>
          <w14:textFill>
            <w14:solidFill>
              <w14:schemeClr w14:val="tx1"/>
            </w14:solidFill>
          </w14:textFill>
        </w:rPr>
        <w:t>5</w:t>
      </w:r>
      <w:r>
        <w:rPr>
          <w:rFonts w:hint="default" w:ascii="Times New Roman" w:hAnsi="Times New Roman" w:cs="Times New Roman"/>
          <w:color w:val="000000" w:themeColor="text1"/>
          <w:kern w:val="0"/>
          <w:sz w:val="24"/>
          <w14:textFill>
            <w14:solidFill>
              <w14:schemeClr w14:val="tx1"/>
            </w14:solidFill>
          </w14:textFill>
        </w:rPr>
        <w:t>-1</w:t>
      </w:r>
      <w:bookmarkStart w:id="415" w:name="_Hlk92140791"/>
      <w:r>
        <w:rPr>
          <w:rFonts w:hint="eastAsia" w:cs="Times New Roman"/>
          <w:color w:val="000000" w:themeColor="text1"/>
          <w:kern w:val="0"/>
          <w:sz w:val="24"/>
          <w:lang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表2.5-2</w:t>
      </w:r>
      <w:r>
        <w:rPr>
          <w:rFonts w:hint="default" w:ascii="Times New Roman" w:hAnsi="Times New Roman" w:cs="Times New Roman"/>
          <w:color w:val="000000" w:themeColor="text1"/>
          <w:sz w:val="24"/>
          <w14:textFill>
            <w14:solidFill>
              <w14:schemeClr w14:val="tx1"/>
            </w14:solidFill>
          </w14:textFill>
        </w:rPr>
        <w:t>。</w:t>
      </w:r>
      <w:bookmarkEnd w:id="415"/>
      <w:r>
        <w:rPr>
          <w:rFonts w:hint="default" w:ascii="Times New Roman" w:hAnsi="Times New Roman" w:cs="Times New Roman"/>
          <w:color w:val="000000" w:themeColor="text1"/>
          <w:sz w:val="24"/>
          <w14:textFill>
            <w14:solidFill>
              <w14:schemeClr w14:val="tx1"/>
            </w14:solidFill>
          </w14:textFill>
        </w:rPr>
        <w:t>项目与公益林的位置关系图见图2.</w:t>
      </w:r>
      <w:r>
        <w:rPr>
          <w:rFonts w:hint="eastAsia" w:cs="Times New Roman"/>
          <w:color w:val="000000" w:themeColor="text1"/>
          <w:sz w:val="24"/>
          <w:lang w:val="en-US" w:eastAsia="zh-CN"/>
          <w14:textFill>
            <w14:solidFill>
              <w14:schemeClr w14:val="tx1"/>
            </w14:solidFill>
          </w14:textFill>
        </w:rPr>
        <w:t>5</w:t>
      </w:r>
      <w:r>
        <w:rPr>
          <w:rFonts w:hint="default" w:ascii="Times New Roman" w:hAnsi="Times New Roman" w:cs="Times New Roman"/>
          <w:color w:val="000000" w:themeColor="text1"/>
          <w:sz w:val="24"/>
          <w14:textFill>
            <w14:solidFill>
              <w14:schemeClr w14:val="tx1"/>
            </w14:solidFill>
          </w14:textFill>
        </w:rPr>
        <w:t>-1。</w:t>
      </w:r>
    </w:p>
    <w:p w14:paraId="1F8F469A">
      <w:pPr>
        <w:keepNext w:val="0"/>
        <w:keepLines w:val="0"/>
        <w:pageBreakBefore w:val="0"/>
        <w:widowControl w:val="0"/>
        <w:kinsoku/>
        <w:wordWrap/>
        <w:overflowPunct/>
        <w:topLinePunct w:val="0"/>
        <w:autoSpaceDE w:val="0"/>
        <w:autoSpaceDN w:val="0"/>
        <w:bidi w:val="0"/>
        <w:adjustRightInd w:val="0"/>
        <w:snapToGrid/>
        <w:spacing w:line="360" w:lineRule="auto"/>
        <w:ind w:firstLine="413" w:firstLineChars="196"/>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表2.5-1  环境保护目标一览表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1899"/>
        <w:gridCol w:w="1599"/>
        <w:gridCol w:w="1338"/>
        <w:gridCol w:w="2569"/>
      </w:tblGrid>
      <w:tr w14:paraId="46AE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pct"/>
            <w:vAlign w:val="center"/>
          </w:tcPr>
          <w:p w14:paraId="14A4D53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环境要素</w:t>
            </w:r>
          </w:p>
        </w:tc>
        <w:tc>
          <w:tcPr>
            <w:tcW w:w="1114" w:type="pct"/>
            <w:vAlign w:val="center"/>
          </w:tcPr>
          <w:p w14:paraId="2C1E8DC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环境敏感目标</w:t>
            </w:r>
          </w:p>
        </w:tc>
        <w:tc>
          <w:tcPr>
            <w:tcW w:w="938" w:type="pct"/>
            <w:vAlign w:val="center"/>
          </w:tcPr>
          <w:p w14:paraId="70B3908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与项目相对位置（方位，距离）</w:t>
            </w:r>
          </w:p>
        </w:tc>
        <w:tc>
          <w:tcPr>
            <w:tcW w:w="785" w:type="pct"/>
            <w:vAlign w:val="center"/>
          </w:tcPr>
          <w:p w14:paraId="2A333B9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规模</w:t>
            </w:r>
          </w:p>
        </w:tc>
        <w:tc>
          <w:tcPr>
            <w:tcW w:w="1506" w:type="pct"/>
            <w:vAlign w:val="center"/>
          </w:tcPr>
          <w:p w14:paraId="15CFED7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保护要求</w:t>
            </w:r>
          </w:p>
        </w:tc>
      </w:tr>
      <w:tr w14:paraId="0FD1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pct"/>
            <w:vMerge w:val="restart"/>
            <w:vAlign w:val="center"/>
          </w:tcPr>
          <w:p w14:paraId="1F11B99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生态环境</w:t>
            </w:r>
          </w:p>
        </w:tc>
        <w:tc>
          <w:tcPr>
            <w:tcW w:w="1114" w:type="pct"/>
            <w:vAlign w:val="center"/>
          </w:tcPr>
          <w:p w14:paraId="2CABBBB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auto"/>
                <w:sz w:val="21"/>
                <w:szCs w:val="21"/>
                <w:lang w:val="en-US" w:eastAsia="zh-CN"/>
              </w:rPr>
              <w:t>国家二级保护野生植物：黑果枸杞和胀果甘草</w:t>
            </w:r>
          </w:p>
        </w:tc>
        <w:tc>
          <w:tcPr>
            <w:tcW w:w="938" w:type="pct"/>
            <w:vMerge w:val="restart"/>
            <w:vAlign w:val="center"/>
          </w:tcPr>
          <w:p w14:paraId="4B629B7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评价区域内</w:t>
            </w:r>
          </w:p>
        </w:tc>
        <w:tc>
          <w:tcPr>
            <w:tcW w:w="785" w:type="pct"/>
            <w:vMerge w:val="restart"/>
            <w:vAlign w:val="center"/>
          </w:tcPr>
          <w:p w14:paraId="6DD9D74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1506" w:type="pct"/>
            <w:vAlign w:val="center"/>
          </w:tcPr>
          <w:p w14:paraId="3584510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落实工程占地以及线路沿线周边生态环境保护措施，临时占地可逐渐恢复到自然状态</w:t>
            </w:r>
          </w:p>
        </w:tc>
      </w:tr>
      <w:tr w14:paraId="7837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pct"/>
            <w:vMerge w:val="continue"/>
            <w:vAlign w:val="center"/>
          </w:tcPr>
          <w:p w14:paraId="7BDC881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zh-CN"/>
                <w14:textFill>
                  <w14:solidFill>
                    <w14:schemeClr w14:val="tx1"/>
                  </w14:solidFill>
                </w14:textFill>
              </w:rPr>
            </w:pPr>
          </w:p>
        </w:tc>
        <w:tc>
          <w:tcPr>
            <w:tcW w:w="1114" w:type="pct"/>
            <w:vAlign w:val="center"/>
          </w:tcPr>
          <w:p w14:paraId="3916707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zh-CN"/>
                <w14:textFill>
                  <w14:solidFill>
                    <w14:schemeClr w14:val="tx1"/>
                  </w14:solidFill>
                </w14:textFill>
              </w:rPr>
            </w:pPr>
            <w:r>
              <w:rPr>
                <w:rFonts w:hint="default" w:ascii="Times New Roman" w:hAnsi="Times New Roman" w:eastAsia="宋体" w:cs="Times New Roman"/>
                <w:b w:val="0"/>
                <w:bCs w:val="0"/>
                <w:color w:val="auto"/>
                <w:sz w:val="21"/>
                <w:szCs w:val="21"/>
                <w:lang w:val="en-US" w:eastAsia="zh-CN"/>
              </w:rPr>
              <w:t>国家二级重点保护野生动物：鹅喉羚</w:t>
            </w:r>
          </w:p>
        </w:tc>
        <w:tc>
          <w:tcPr>
            <w:tcW w:w="938" w:type="pct"/>
            <w:vMerge w:val="continue"/>
            <w:vAlign w:val="center"/>
          </w:tcPr>
          <w:p w14:paraId="6B78EBB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zh-CN"/>
                <w14:textFill>
                  <w14:solidFill>
                    <w14:schemeClr w14:val="tx1"/>
                  </w14:solidFill>
                </w14:textFill>
              </w:rPr>
            </w:pPr>
          </w:p>
        </w:tc>
        <w:tc>
          <w:tcPr>
            <w:tcW w:w="785" w:type="pct"/>
            <w:vMerge w:val="continue"/>
            <w:vAlign w:val="center"/>
          </w:tcPr>
          <w:p w14:paraId="471083B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zh-CN"/>
                <w14:textFill>
                  <w14:solidFill>
                    <w14:schemeClr w14:val="tx1"/>
                  </w14:solidFill>
                </w14:textFill>
              </w:rPr>
            </w:pPr>
          </w:p>
        </w:tc>
        <w:tc>
          <w:tcPr>
            <w:tcW w:w="1506" w:type="pct"/>
            <w:vAlign w:val="center"/>
          </w:tcPr>
          <w:p w14:paraId="563409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禁止破坏野生动植物的生境及捕杀野生动物</w:t>
            </w:r>
          </w:p>
        </w:tc>
      </w:tr>
    </w:tbl>
    <w:p w14:paraId="231C6959">
      <w:pPr>
        <w:keepNext w:val="0"/>
        <w:keepLines w:val="0"/>
        <w:pageBreakBefore w:val="0"/>
        <w:widowControl w:val="0"/>
        <w:kinsoku/>
        <w:wordWrap/>
        <w:overflowPunct/>
        <w:topLinePunct w:val="0"/>
        <w:autoSpaceDE w:val="0"/>
        <w:autoSpaceDN w:val="0"/>
        <w:bidi w:val="0"/>
        <w:adjustRightInd w:val="0"/>
        <w:snapToGrid/>
        <w:spacing w:line="360" w:lineRule="auto"/>
        <w:ind w:firstLine="413" w:firstLineChars="196"/>
        <w:jc w:val="center"/>
        <w:textAlignment w:val="auto"/>
        <w:rPr>
          <w:rFonts w:hint="default" w:ascii="Times New Roman" w:hAnsi="Times New Roman" w:eastAsia="宋体" w:cs="Times New Roman"/>
          <w:b/>
          <w:bCs/>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14:textFill>
            <w14:solidFill>
              <w14:schemeClr w14:val="tx1"/>
            </w14:solidFill>
          </w14:textFill>
        </w:rPr>
        <w:t>表</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2</w:t>
      </w:r>
      <w:r>
        <w:rPr>
          <w:rFonts w:hint="default" w:ascii="Times New Roman" w:hAnsi="Times New Roman" w:eastAsia="宋体" w:cs="Times New Roman"/>
          <w:b/>
          <w:bCs/>
          <w:color w:val="000000" w:themeColor="text1"/>
          <w:sz w:val="21"/>
          <w:szCs w:val="21"/>
          <w:highlight w:val="none"/>
          <w:lang w:val="zh-CN"/>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5-</w:t>
      </w:r>
      <w:r>
        <w:rPr>
          <w:rFonts w:hint="eastAsia"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1"/>
          <w:szCs w:val="21"/>
          <w:highlight w:val="none"/>
          <w:lang w:val="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公益林</w:t>
      </w:r>
      <w:r>
        <w:rPr>
          <w:rFonts w:hint="default" w:ascii="Times New Roman" w:hAnsi="Times New Roman" w:eastAsia="宋体" w:cs="Times New Roman"/>
          <w:b/>
          <w:bCs/>
          <w:color w:val="000000" w:themeColor="text1"/>
          <w:sz w:val="21"/>
          <w:szCs w:val="21"/>
          <w:highlight w:val="none"/>
          <w:lang w:val="zh-CN"/>
          <w14:textFill>
            <w14:solidFill>
              <w14:schemeClr w14:val="tx1"/>
            </w14:solidFill>
          </w14:textFill>
        </w:rPr>
        <w:t>保护目标一览表</w:t>
      </w:r>
    </w:p>
    <w:tbl>
      <w:tblPr>
        <w:tblStyle w:val="26"/>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554"/>
        <w:gridCol w:w="592"/>
        <w:gridCol w:w="846"/>
        <w:gridCol w:w="846"/>
        <w:gridCol w:w="912"/>
        <w:gridCol w:w="1039"/>
        <w:gridCol w:w="1350"/>
        <w:gridCol w:w="908"/>
        <w:gridCol w:w="1310"/>
      </w:tblGrid>
      <w:tr w14:paraId="29D30D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331" w:type="pct"/>
            <w:noWrap w:val="0"/>
            <w:vAlign w:val="center"/>
          </w:tcPr>
          <w:p w14:paraId="3980CE31">
            <w:pPr>
              <w:pStyle w:val="41"/>
              <w:spacing w:line="240" w:lineRule="auto"/>
              <w:ind w:left="0" w:leftChars="0" w:firstLine="0" w:firstLineChars="0"/>
              <w:jc w:val="center"/>
              <w:rPr>
                <w:rFonts w:hint="default" w:ascii="Times New Roman" w:hAnsi="Times New Roman" w:eastAsia="宋体" w:cs="Times New Roman"/>
                <w:b/>
                <w:bCs/>
                <w:color w:val="000000" w:themeColor="text1"/>
                <w:kern w:val="2"/>
                <w:sz w:val="21"/>
                <w14:textFill>
                  <w14:solidFill>
                    <w14:schemeClr w14:val="tx1"/>
                  </w14:solidFill>
                </w14:textFill>
              </w:rPr>
            </w:pPr>
            <w:r>
              <w:rPr>
                <w:rFonts w:hint="default" w:ascii="Times New Roman" w:hAnsi="Times New Roman" w:eastAsia="宋体" w:cs="Times New Roman"/>
                <w:b/>
                <w:bCs/>
                <w:color w:val="000000" w:themeColor="text1"/>
                <w:kern w:val="2"/>
                <w:sz w:val="21"/>
                <w14:textFill>
                  <w14:solidFill>
                    <w14:schemeClr w14:val="tx1"/>
                  </w14:solidFill>
                </w14:textFill>
              </w:rPr>
              <w:t>环境要素</w:t>
            </w:r>
          </w:p>
        </w:tc>
        <w:tc>
          <w:tcPr>
            <w:tcW w:w="354" w:type="pct"/>
            <w:noWrap w:val="0"/>
            <w:vAlign w:val="center"/>
          </w:tcPr>
          <w:p w14:paraId="3246C36F">
            <w:pPr>
              <w:pStyle w:val="41"/>
              <w:spacing w:line="240" w:lineRule="auto"/>
              <w:ind w:left="0" w:leftChars="0" w:firstLine="0" w:firstLineChars="0"/>
              <w:jc w:val="center"/>
              <w:rPr>
                <w:rFonts w:hint="default" w:ascii="Times New Roman" w:hAnsi="Times New Roman" w:eastAsia="宋体" w:cs="Times New Roman"/>
                <w:b/>
                <w:bCs/>
                <w:color w:val="000000" w:themeColor="text1"/>
                <w:kern w:val="2"/>
                <w:sz w:val="21"/>
                <w14:textFill>
                  <w14:solidFill>
                    <w14:schemeClr w14:val="tx1"/>
                  </w14:solidFill>
                </w14:textFill>
              </w:rPr>
            </w:pPr>
            <w:r>
              <w:rPr>
                <w:rFonts w:hint="default" w:ascii="Times New Roman" w:hAnsi="Times New Roman" w:eastAsia="宋体" w:cs="Times New Roman"/>
                <w:b/>
                <w:bCs/>
                <w:color w:val="000000" w:themeColor="text1"/>
                <w:kern w:val="2"/>
                <w:sz w:val="21"/>
                <w14:textFill>
                  <w14:solidFill>
                    <w14:schemeClr w14:val="tx1"/>
                  </w14:solidFill>
                </w14:textFill>
              </w:rPr>
              <w:t>保护目标</w:t>
            </w:r>
          </w:p>
        </w:tc>
        <w:tc>
          <w:tcPr>
            <w:tcW w:w="506" w:type="pct"/>
            <w:noWrap w:val="0"/>
            <w:vAlign w:val="center"/>
          </w:tcPr>
          <w:p w14:paraId="0F53AD92">
            <w:pPr>
              <w:pStyle w:val="41"/>
              <w:spacing w:line="240" w:lineRule="auto"/>
              <w:jc w:val="cente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t>级别</w:t>
            </w:r>
          </w:p>
        </w:tc>
        <w:tc>
          <w:tcPr>
            <w:tcW w:w="506" w:type="pct"/>
            <w:noWrap w:val="0"/>
            <w:vAlign w:val="center"/>
          </w:tcPr>
          <w:p w14:paraId="04B2150C">
            <w:pPr>
              <w:pStyle w:val="41"/>
              <w:spacing w:line="240" w:lineRule="auto"/>
              <w:jc w:val="cente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t>权属</w:t>
            </w:r>
          </w:p>
        </w:tc>
        <w:tc>
          <w:tcPr>
            <w:tcW w:w="545" w:type="pct"/>
            <w:noWrap w:val="0"/>
            <w:vAlign w:val="center"/>
          </w:tcPr>
          <w:p w14:paraId="2B066BE0">
            <w:pPr>
              <w:pStyle w:val="41"/>
              <w:spacing w:line="240" w:lineRule="auto"/>
              <w:jc w:val="cente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t>物种</w:t>
            </w:r>
          </w:p>
        </w:tc>
        <w:tc>
          <w:tcPr>
            <w:tcW w:w="621" w:type="pct"/>
            <w:noWrap w:val="0"/>
            <w:vAlign w:val="center"/>
          </w:tcPr>
          <w:p w14:paraId="429206B4">
            <w:pPr>
              <w:pStyle w:val="41"/>
              <w:spacing w:line="240" w:lineRule="auto"/>
              <w:ind w:left="0" w:leftChars="0" w:firstLine="0" w:firstLineChars="0"/>
              <w:jc w:val="cente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t>面积（</w:t>
            </w:r>
            <w:r>
              <w:rPr>
                <w:rFonts w:hint="eastAsia" w:ascii="Times New Roman" w:hAnsi="Times New Roman" w:eastAsia="宋体" w:cs="Times New Roman"/>
                <w:b/>
                <w:bCs/>
                <w:color w:val="000000" w:themeColor="text1"/>
                <w:kern w:val="2"/>
                <w:sz w:val="21"/>
                <w:lang w:val="en-US" w:eastAsia="zh-CN"/>
                <w14:textFill>
                  <w14:solidFill>
                    <w14:schemeClr w14:val="tx1"/>
                  </w14:solidFill>
                </w14:textFill>
              </w:rPr>
              <w:t>h</w:t>
            </w:r>
            <w: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t>m</w:t>
            </w:r>
            <w:r>
              <w:rPr>
                <w:rFonts w:hint="default" w:ascii="Times New Roman" w:hAnsi="Times New Roman" w:eastAsia="宋体" w:cs="Times New Roman"/>
                <w:b/>
                <w:bCs/>
                <w:color w:val="000000" w:themeColor="text1"/>
                <w:kern w:val="2"/>
                <w:sz w:val="21"/>
                <w:vertAlign w:val="superscript"/>
                <w:lang w:val="en-US" w:eastAsia="zh-CN"/>
                <w14:textFill>
                  <w14:solidFill>
                    <w14:schemeClr w14:val="tx1"/>
                  </w14:solidFill>
                </w14:textFill>
              </w:rPr>
              <w:t>2</w:t>
            </w:r>
            <w:r>
              <w:rPr>
                <w:rFonts w:hint="default" w:ascii="Times New Roman" w:hAnsi="Times New Roman" w:eastAsia="宋体" w:cs="Times New Roman"/>
                <w:b/>
                <w:bCs/>
                <w:color w:val="000000" w:themeColor="text1"/>
                <w:kern w:val="2"/>
                <w:sz w:val="21"/>
                <w:lang w:val="en-US" w:eastAsia="zh-CN"/>
                <w14:textFill>
                  <w14:solidFill>
                    <w14:schemeClr w14:val="tx1"/>
                  </w14:solidFill>
                </w14:textFill>
              </w:rPr>
              <w:t>）</w:t>
            </w:r>
          </w:p>
        </w:tc>
        <w:tc>
          <w:tcPr>
            <w:tcW w:w="807" w:type="pct"/>
            <w:noWrap w:val="0"/>
            <w:vAlign w:val="center"/>
          </w:tcPr>
          <w:p w14:paraId="2B5D1B77">
            <w:pPr>
              <w:pStyle w:val="41"/>
              <w:spacing w:line="240" w:lineRule="auto"/>
              <w:jc w:val="center"/>
              <w:rPr>
                <w:rFonts w:hint="default" w:ascii="Times New Roman" w:hAnsi="Times New Roman" w:eastAsia="宋体" w:cs="Times New Roman"/>
                <w:b/>
                <w:bCs/>
                <w:color w:val="000000" w:themeColor="text1"/>
                <w:kern w:val="2"/>
                <w:sz w:val="21"/>
                <w14:textFill>
                  <w14:solidFill>
                    <w14:schemeClr w14:val="tx1"/>
                  </w14:solidFill>
                </w14:textFill>
              </w:rPr>
            </w:pPr>
            <w:r>
              <w:rPr>
                <w:rFonts w:hint="default" w:ascii="Times New Roman" w:hAnsi="Times New Roman" w:eastAsia="宋体" w:cs="Times New Roman"/>
                <w:b/>
                <w:bCs/>
                <w:color w:val="000000" w:themeColor="text1"/>
                <w:kern w:val="2"/>
                <w:sz w:val="21"/>
                <w14:textFill>
                  <w14:solidFill>
                    <w14:schemeClr w14:val="tx1"/>
                  </w14:solidFill>
                </w14:textFill>
              </w:rPr>
              <w:t>保护范围</w:t>
            </w:r>
          </w:p>
        </w:tc>
        <w:tc>
          <w:tcPr>
            <w:tcW w:w="543" w:type="pct"/>
            <w:noWrap w:val="0"/>
            <w:vAlign w:val="center"/>
          </w:tcPr>
          <w:p w14:paraId="5A605055">
            <w:pPr>
              <w:pStyle w:val="41"/>
              <w:spacing w:line="240" w:lineRule="auto"/>
              <w:ind w:left="0" w:leftChars="0" w:firstLine="0" w:firstLineChars="0"/>
              <w:jc w:val="center"/>
              <w:rPr>
                <w:rFonts w:hint="default" w:ascii="Times New Roman" w:hAnsi="Times New Roman" w:eastAsia="宋体" w:cs="Times New Roman"/>
                <w:b/>
                <w:bCs/>
                <w:color w:val="000000" w:themeColor="text1"/>
                <w:kern w:val="2"/>
                <w:sz w:val="21"/>
                <w14:textFill>
                  <w14:solidFill>
                    <w14:schemeClr w14:val="tx1"/>
                  </w14:solidFill>
                </w14:textFill>
              </w:rPr>
            </w:pPr>
            <w:r>
              <w:rPr>
                <w:rFonts w:hint="default" w:ascii="Times New Roman" w:hAnsi="Times New Roman" w:eastAsia="宋体" w:cs="Times New Roman"/>
                <w:b/>
                <w:bCs/>
                <w:color w:val="000000" w:themeColor="text1"/>
                <w:kern w:val="2"/>
                <w:sz w:val="21"/>
                <w14:textFill>
                  <w14:solidFill>
                    <w14:schemeClr w14:val="tx1"/>
                  </w14:solidFill>
                </w14:textFill>
              </w:rPr>
              <w:t>距最近距离</w:t>
            </w:r>
            <w:r>
              <w:rPr>
                <w:rFonts w:hint="eastAsia" w:ascii="Times New Roman" w:hAnsi="Times New Roman" w:eastAsia="宋体" w:cs="Times New Roman"/>
                <w:b/>
                <w:bCs/>
                <w:color w:val="000000" w:themeColor="text1"/>
                <w:kern w:val="2"/>
                <w:sz w:val="21"/>
                <w:lang w:eastAsia="zh-CN"/>
                <w14:textFill>
                  <w14:solidFill>
                    <w14:schemeClr w14:val="tx1"/>
                  </w14:solidFill>
                </w14:textFill>
              </w:rPr>
              <w:t>（</w:t>
            </w:r>
            <w:r>
              <w:rPr>
                <w:rFonts w:hint="default" w:ascii="Times New Roman" w:hAnsi="Times New Roman" w:eastAsia="宋体" w:cs="Times New Roman"/>
                <w:b/>
                <w:bCs/>
                <w:color w:val="000000" w:themeColor="text1"/>
                <w:kern w:val="2"/>
                <w:sz w:val="21"/>
                <w14:textFill>
                  <w14:solidFill>
                    <w14:schemeClr w14:val="tx1"/>
                  </w14:solidFill>
                </w14:textFill>
              </w:rPr>
              <w:t>m</w:t>
            </w:r>
            <w:r>
              <w:rPr>
                <w:rFonts w:hint="eastAsia" w:ascii="Times New Roman" w:hAnsi="Times New Roman" w:eastAsia="宋体" w:cs="Times New Roman"/>
                <w:b/>
                <w:bCs/>
                <w:color w:val="000000" w:themeColor="text1"/>
                <w:kern w:val="2"/>
                <w:sz w:val="21"/>
                <w:lang w:eastAsia="zh-CN"/>
                <w14:textFill>
                  <w14:solidFill>
                    <w14:schemeClr w14:val="tx1"/>
                  </w14:solidFill>
                </w14:textFill>
              </w:rPr>
              <w:t>）</w:t>
            </w:r>
          </w:p>
        </w:tc>
        <w:tc>
          <w:tcPr>
            <w:tcW w:w="783" w:type="pct"/>
            <w:shd w:val="clear" w:color="auto" w:fill="auto"/>
            <w:noWrap w:val="0"/>
            <w:vAlign w:val="center"/>
          </w:tcPr>
          <w:p w14:paraId="485E2773">
            <w:pPr>
              <w:widowControl/>
              <w:spacing w:line="240" w:lineRule="auto"/>
              <w:ind w:firstLine="0" w:firstLineChars="0"/>
              <w:jc w:val="center"/>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功能</w:t>
            </w:r>
          </w:p>
        </w:tc>
      </w:tr>
      <w:tr w14:paraId="233A07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55" w:hRule="atLeast"/>
          <w:jc w:val="center"/>
        </w:trPr>
        <w:tc>
          <w:tcPr>
            <w:tcW w:w="331" w:type="pct"/>
            <w:noWrap w:val="0"/>
            <w:vAlign w:val="center"/>
          </w:tcPr>
          <w:p w14:paraId="53AF139B">
            <w:pPr>
              <w:pStyle w:val="41"/>
              <w:spacing w:line="240" w:lineRule="auto"/>
              <w:ind w:left="0" w:leftChars="0" w:firstLine="0" w:firstLineChars="0"/>
              <w:jc w:val="center"/>
              <w:rPr>
                <w:rFonts w:hint="default" w:ascii="Times New Roman" w:hAnsi="Times New Roman" w:eastAsia="宋体" w:cs="Times New Roman"/>
                <w:color w:val="000000" w:themeColor="text1"/>
                <w:kern w:val="2"/>
                <w:sz w:val="21"/>
                <w14:textFill>
                  <w14:solidFill>
                    <w14:schemeClr w14:val="tx1"/>
                  </w14:solidFill>
                </w14:textFill>
              </w:rPr>
            </w:pPr>
            <w:r>
              <w:rPr>
                <w:rFonts w:hint="default" w:ascii="Times New Roman" w:hAnsi="Times New Roman" w:eastAsia="宋体" w:cs="Times New Roman"/>
                <w:color w:val="000000" w:themeColor="text1"/>
                <w:kern w:val="2"/>
                <w:sz w:val="21"/>
                <w14:textFill>
                  <w14:solidFill>
                    <w14:schemeClr w14:val="tx1"/>
                  </w14:solidFill>
                </w14:textFill>
              </w:rPr>
              <w:t>生态</w:t>
            </w:r>
          </w:p>
        </w:tc>
        <w:tc>
          <w:tcPr>
            <w:tcW w:w="354" w:type="pct"/>
            <w:noWrap w:val="0"/>
            <w:vAlign w:val="center"/>
          </w:tcPr>
          <w:p w14:paraId="7C9E3E52">
            <w:pPr>
              <w:pStyle w:val="41"/>
              <w:spacing w:line="240" w:lineRule="auto"/>
              <w:ind w:left="0" w:leftChars="0" w:firstLine="0" w:firstLineChars="0"/>
              <w:jc w:val="center"/>
              <w:rPr>
                <w:rFonts w:hint="default" w:ascii="Times New Roman" w:hAnsi="Times New Roman" w:eastAsia="宋体" w:cs="Times New Roman"/>
                <w:color w:val="000000" w:themeColor="text1"/>
                <w:kern w:val="2"/>
                <w:sz w:val="21"/>
                <w14:textFill>
                  <w14:solidFill>
                    <w14:schemeClr w14:val="tx1"/>
                  </w14:solidFill>
                </w14:textFill>
              </w:rPr>
            </w:pPr>
            <w:r>
              <w:rPr>
                <w:rFonts w:hint="default" w:ascii="Times New Roman" w:hAnsi="Times New Roman" w:eastAsia="宋体" w:cs="Times New Roman"/>
                <w:color w:val="000000" w:themeColor="text1"/>
                <w:kern w:val="2"/>
                <w:sz w:val="21"/>
                <w14:textFill>
                  <w14:solidFill>
                    <w14:schemeClr w14:val="tx1"/>
                  </w14:solidFill>
                </w14:textFill>
              </w:rPr>
              <w:t>公益林</w:t>
            </w:r>
          </w:p>
        </w:tc>
        <w:tc>
          <w:tcPr>
            <w:tcW w:w="506" w:type="pct"/>
            <w:shd w:val="clear" w:color="auto" w:fill="auto"/>
            <w:noWrap w:val="0"/>
            <w:vAlign w:val="center"/>
          </w:tcPr>
          <w:p w14:paraId="42943D01">
            <w:pPr>
              <w:pStyle w:val="41"/>
              <w:spacing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lang w:val="en-US" w:eastAsia="zh-CN"/>
                <w14:textFill>
                  <w14:solidFill>
                    <w14:schemeClr w14:val="tx1"/>
                  </w14:solidFill>
                </w14:textFill>
              </w:rPr>
              <w:t>地方公益林</w:t>
            </w:r>
          </w:p>
        </w:tc>
        <w:tc>
          <w:tcPr>
            <w:tcW w:w="506" w:type="pct"/>
            <w:shd w:val="clear" w:color="auto" w:fill="auto"/>
            <w:noWrap w:val="0"/>
            <w:vAlign w:val="center"/>
          </w:tcPr>
          <w:p w14:paraId="4ED87674">
            <w:pPr>
              <w:pStyle w:val="41"/>
              <w:spacing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lang w:val="en-US" w:eastAsia="zh-CN"/>
                <w14:textFill>
                  <w14:solidFill>
                    <w14:schemeClr w14:val="tx1"/>
                  </w14:solidFill>
                </w14:textFill>
              </w:rPr>
              <w:t>地方</w:t>
            </w:r>
          </w:p>
        </w:tc>
        <w:tc>
          <w:tcPr>
            <w:tcW w:w="545" w:type="pct"/>
            <w:shd w:val="clear" w:color="auto" w:fill="auto"/>
            <w:noWrap w:val="0"/>
            <w:vAlign w:val="center"/>
          </w:tcPr>
          <w:p w14:paraId="01484F3B">
            <w:pPr>
              <w:pStyle w:val="41"/>
              <w:spacing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lang w:val="en-US" w:eastAsia="zh-CN"/>
                <w14:textFill>
                  <w14:solidFill>
                    <w14:schemeClr w14:val="tx1"/>
                  </w14:solidFill>
                </w14:textFill>
              </w:rPr>
              <w:t>灌木林地</w:t>
            </w:r>
          </w:p>
        </w:tc>
        <w:tc>
          <w:tcPr>
            <w:tcW w:w="621" w:type="pct"/>
            <w:shd w:val="clear" w:color="auto" w:fill="auto"/>
            <w:noWrap w:val="0"/>
            <w:vAlign w:val="center"/>
          </w:tcPr>
          <w:p w14:paraId="668696AB">
            <w:pPr>
              <w:pStyle w:val="41"/>
              <w:spacing w:line="240" w:lineRule="auto"/>
              <w:ind w:left="0" w:lef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lang w:val="en-US" w:eastAsia="zh-CN"/>
                <w14:textFill>
                  <w14:solidFill>
                    <w14:schemeClr w14:val="tx1"/>
                  </w14:solidFill>
                </w14:textFill>
              </w:rPr>
              <w:t>8.4751</w:t>
            </w:r>
          </w:p>
        </w:tc>
        <w:tc>
          <w:tcPr>
            <w:tcW w:w="807" w:type="pct"/>
            <w:noWrap w:val="0"/>
            <w:vAlign w:val="center"/>
          </w:tcPr>
          <w:p w14:paraId="0A59A6E8">
            <w:pPr>
              <w:pStyle w:val="41"/>
              <w:spacing w:line="240" w:lineRule="auto"/>
              <w:ind w:left="0" w:leftChars="0" w:firstLine="0" w:firstLineChars="0"/>
              <w:jc w:val="center"/>
              <w:rPr>
                <w:rFonts w:hint="default" w:ascii="Times New Roman" w:hAnsi="Times New Roman" w:eastAsia="宋体" w:cs="Times New Roman"/>
                <w:color w:val="000000" w:themeColor="text1"/>
                <w:kern w:val="2"/>
                <w:sz w:val="21"/>
                <w14:textFill>
                  <w14:solidFill>
                    <w14:schemeClr w14:val="tx1"/>
                  </w14:solidFill>
                </w14:textFill>
              </w:rPr>
            </w:pPr>
            <w:r>
              <w:rPr>
                <w:rFonts w:hint="default" w:ascii="Times New Roman" w:hAnsi="Times New Roman" w:eastAsia="宋体" w:cs="Times New Roman"/>
                <w:color w:val="000000" w:themeColor="text1"/>
                <w:kern w:val="2"/>
                <w:sz w:val="21"/>
                <w14:textFill>
                  <w14:solidFill>
                    <w14:schemeClr w14:val="tx1"/>
                  </w14:solidFill>
                </w14:textFill>
              </w:rPr>
              <w:t>本项目生态评价范围为边导线地面投影外两侧各300m内带状区域</w:t>
            </w:r>
          </w:p>
        </w:tc>
        <w:tc>
          <w:tcPr>
            <w:tcW w:w="543" w:type="pct"/>
            <w:noWrap w:val="0"/>
            <w:vAlign w:val="center"/>
          </w:tcPr>
          <w:p w14:paraId="251C26CE">
            <w:pPr>
              <w:pStyle w:val="41"/>
              <w:spacing w:line="240" w:lineRule="auto"/>
              <w:ind w:left="0" w:leftChars="0" w:firstLine="0" w:firstLineChars="0"/>
              <w:jc w:val="center"/>
              <w:rPr>
                <w:rFonts w:hint="default" w:ascii="Times New Roman" w:hAnsi="Times New Roman" w:eastAsia="宋体" w:cs="Times New Roman"/>
                <w:color w:val="000000" w:themeColor="text1"/>
                <w:kern w:val="2"/>
                <w:sz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lang w:val="en-US" w:eastAsia="zh-CN"/>
                <w14:textFill>
                  <w14:solidFill>
                    <w14:schemeClr w14:val="tx1"/>
                  </w14:solidFill>
                </w14:textFill>
              </w:rPr>
              <w:t>76</w:t>
            </w:r>
          </w:p>
        </w:tc>
        <w:tc>
          <w:tcPr>
            <w:tcW w:w="783" w:type="pct"/>
            <w:shd w:val="clear" w:color="auto" w:fill="auto"/>
            <w:noWrap w:val="0"/>
            <w:vAlign w:val="center"/>
          </w:tcPr>
          <w:p w14:paraId="0949D1C3">
            <w:pPr>
              <w:widowControl/>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防风固沙林</w:t>
            </w:r>
          </w:p>
        </w:tc>
      </w:tr>
    </w:tbl>
    <w:p w14:paraId="5C863155">
      <w:pPr>
        <w:widowControl/>
        <w:ind w:firstLine="0" w:firstLineChars="0"/>
        <w:jc w:val="left"/>
        <w:outlineLvl w:val="2"/>
        <w:rPr>
          <w:b/>
          <w:color w:val="000000" w:themeColor="text1"/>
          <w:kern w:val="0"/>
          <w:sz w:val="30"/>
          <w:szCs w:val="30"/>
          <w14:textFill>
            <w14:solidFill>
              <w14:schemeClr w14:val="tx1"/>
            </w14:solidFill>
          </w14:textFill>
        </w:rPr>
      </w:pPr>
      <w:r>
        <w:rPr>
          <w:b/>
          <w:color w:val="000000" w:themeColor="text1"/>
          <w:kern w:val="0"/>
          <w:sz w:val="30"/>
          <w:szCs w:val="30"/>
          <w14:textFill>
            <w14:solidFill>
              <w14:schemeClr w14:val="tx1"/>
            </w14:solidFill>
          </w14:textFill>
        </w:rPr>
        <w:t>2.5.</w:t>
      </w:r>
      <w:r>
        <w:rPr>
          <w:rFonts w:hint="eastAsia"/>
          <w:b/>
          <w:color w:val="000000" w:themeColor="text1"/>
          <w:kern w:val="0"/>
          <w:sz w:val="30"/>
          <w:szCs w:val="30"/>
          <w14:textFill>
            <w14:solidFill>
              <w14:schemeClr w14:val="tx1"/>
            </w14:solidFill>
          </w14:textFill>
        </w:rPr>
        <w:t>3水环境敏感目标</w:t>
      </w:r>
    </w:p>
    <w:p w14:paraId="231F7554">
      <w:pPr>
        <w:widowControl/>
        <w:ind w:firstLine="480"/>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本项目评价范围内不涉及地表水、地下水环境敏感目标。</w:t>
      </w:r>
    </w:p>
    <w:p w14:paraId="08E4DD21">
      <w:pPr>
        <w:pStyle w:val="3"/>
        <w:spacing w:before="120" w:beforeLines="50" w:after="120" w:afterLines="50"/>
        <w:rPr>
          <w:color w:val="000000" w:themeColor="text1"/>
          <w14:textFill>
            <w14:solidFill>
              <w14:schemeClr w14:val="tx1"/>
            </w14:solidFill>
          </w14:textFill>
        </w:rPr>
      </w:pPr>
      <w:bookmarkStart w:id="416" w:name="_Toc29691"/>
      <w:bookmarkStart w:id="417" w:name="_Toc16149"/>
      <w:bookmarkStart w:id="418" w:name="_Toc12345"/>
      <w:bookmarkStart w:id="419" w:name="_Toc25355"/>
      <w:bookmarkStart w:id="420" w:name="_Toc4496"/>
      <w:bookmarkStart w:id="421" w:name="_Toc18268"/>
      <w:bookmarkStart w:id="422" w:name="_Toc8535"/>
      <w:bookmarkStart w:id="423" w:name="_Toc30311"/>
      <w:bookmarkStart w:id="424" w:name="_Toc18513"/>
      <w:bookmarkStart w:id="425" w:name="_Toc7450"/>
      <w:bookmarkStart w:id="426" w:name="_Toc7394"/>
      <w:r>
        <w:rPr>
          <w:color w:val="000000" w:themeColor="text1"/>
          <w14:textFill>
            <w14:solidFill>
              <w14:schemeClr w14:val="tx1"/>
            </w14:solidFill>
          </w14:textFill>
        </w:rPr>
        <w:t>2.6</w:t>
      </w:r>
      <w:r>
        <w:rPr>
          <w:rFonts w:hint="eastAsia"/>
          <w:color w:val="000000" w:themeColor="text1"/>
          <w14:textFill>
            <w14:solidFill>
              <w14:schemeClr w14:val="tx1"/>
            </w14:solidFill>
          </w14:textFill>
        </w:rPr>
        <w:t>评价重点</w:t>
      </w:r>
      <w:bookmarkEnd w:id="416"/>
      <w:bookmarkEnd w:id="417"/>
      <w:bookmarkEnd w:id="418"/>
      <w:bookmarkEnd w:id="419"/>
      <w:bookmarkEnd w:id="420"/>
      <w:bookmarkEnd w:id="421"/>
      <w:bookmarkEnd w:id="422"/>
      <w:bookmarkEnd w:id="423"/>
      <w:bookmarkEnd w:id="424"/>
      <w:bookmarkEnd w:id="425"/>
      <w:bookmarkEnd w:id="426"/>
    </w:p>
    <w:p w14:paraId="4F03E4A6">
      <w:pPr>
        <w:numPr>
          <w:ilvl w:val="0"/>
          <w:numId w:val="6"/>
        </w:numPr>
        <w:ind w:firstLine="480"/>
        <w:rPr>
          <w:color w:val="000000" w:themeColor="text1"/>
          <w14:textFill>
            <w14:solidFill>
              <w14:schemeClr w14:val="tx1"/>
            </w14:solidFill>
          </w14:textFill>
        </w:rPr>
      </w:pPr>
      <w:r>
        <w:rPr>
          <w:color w:val="000000" w:themeColor="text1"/>
          <w14:textFill>
            <w14:solidFill>
              <w14:schemeClr w14:val="tx1"/>
            </w14:solidFill>
          </w14:textFill>
        </w:rPr>
        <w:t>通过对本工程施工期、运行期的</w:t>
      </w:r>
      <w:r>
        <w:rPr>
          <w:rFonts w:hint="eastAsia"/>
          <w:color w:val="000000" w:themeColor="text1"/>
          <w:lang w:val="en-US" w:eastAsia="zh-CN"/>
          <w14:textFill>
            <w14:solidFill>
              <w14:schemeClr w14:val="tx1"/>
            </w14:solidFill>
          </w14:textFill>
        </w:rPr>
        <w:t>生态</w:t>
      </w:r>
      <w:r>
        <w:rPr>
          <w:color w:val="000000" w:themeColor="text1"/>
          <w14:textFill>
            <w14:solidFill>
              <w14:schemeClr w14:val="tx1"/>
            </w14:solidFill>
          </w14:textFill>
        </w:rPr>
        <w:t>环境影响分析和评价，分析施工期对环境的影响程度，预测分析运行期对周围环境的影响程度，并提出减缓或降低不利环境影响的措施。</w:t>
      </w:r>
    </w:p>
    <w:p w14:paraId="63678DD8">
      <w:pPr>
        <w:numPr>
          <w:ilvl w:val="0"/>
          <w:numId w:val="6"/>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在对本工程施工期及运行期产生的</w:t>
      </w:r>
      <w:r>
        <w:rPr>
          <w:rFonts w:hint="eastAsia"/>
          <w:color w:val="000000" w:themeColor="text1"/>
          <w:lang w:val="en-US" w:eastAsia="zh-CN"/>
          <w14:textFill>
            <w14:solidFill>
              <w14:schemeClr w14:val="tx1"/>
            </w14:solidFill>
          </w14:textFill>
        </w:rPr>
        <w:t>生态</w:t>
      </w:r>
      <w:r>
        <w:rPr>
          <w:rFonts w:hint="eastAsia"/>
          <w:color w:val="000000" w:themeColor="text1"/>
          <w14:textFill>
            <w14:solidFill>
              <w14:schemeClr w14:val="tx1"/>
            </w14:solidFill>
          </w14:textFill>
        </w:rPr>
        <w:t>环境影响进行分析和预测的基础上，针对施工中采取的环境保护措施，对本工程所存在的环境问题进行分析，提出需采取的环境保护措施，以使本工程所产生的不利环境影响减小到最低程度，并提出环境管理与监测计划，作为本工程影响区域的环境管理及环境规划的依据。</w:t>
      </w:r>
    </w:p>
    <w:p w14:paraId="16B973A2">
      <w:pPr>
        <w:numPr>
          <w:ilvl w:val="0"/>
          <w:numId w:val="6"/>
        </w:num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本工程预测评价的重点是运行期产生的工频电场、工频磁场和噪声对周围环境的影响。</w:t>
      </w:r>
    </w:p>
    <w:p w14:paraId="6395D15C">
      <w:pPr>
        <w:widowControl/>
        <w:ind w:firstLine="480"/>
        <w:jc w:val="left"/>
        <w:rPr>
          <w:color w:val="000000" w:themeColor="text1"/>
          <w14:textFill>
            <w14:solidFill>
              <w14:schemeClr w14:val="tx1"/>
            </w14:solidFill>
          </w14:textFill>
        </w:rPr>
        <w:sectPr>
          <w:headerReference r:id="rId14" w:type="default"/>
          <w:footerReference r:id="rId15" w:type="default"/>
          <w:pgSz w:w="11906" w:h="16838"/>
          <w:pgMar w:top="1440" w:right="1800" w:bottom="1440" w:left="1800" w:header="851" w:footer="992" w:gutter="0"/>
          <w:cols w:space="720" w:num="1"/>
          <w:docGrid w:linePitch="286" w:charSpace="0"/>
        </w:sectPr>
      </w:pPr>
    </w:p>
    <w:p w14:paraId="058DA984">
      <w:pPr>
        <w:pStyle w:val="2"/>
        <w:spacing w:before="156" w:beforeLines="50" w:after="156" w:afterLines="50"/>
        <w:rPr>
          <w:color w:val="000000" w:themeColor="text1"/>
          <w14:textFill>
            <w14:solidFill>
              <w14:schemeClr w14:val="tx1"/>
            </w14:solidFill>
          </w14:textFill>
        </w:rPr>
      </w:pPr>
      <w:bookmarkStart w:id="427" w:name="_Toc13887"/>
      <w:bookmarkStart w:id="428" w:name="_Toc29011"/>
      <w:bookmarkStart w:id="429" w:name="_Toc14950"/>
      <w:bookmarkStart w:id="430" w:name="_Toc23827"/>
      <w:bookmarkStart w:id="431" w:name="_Toc32422"/>
      <w:bookmarkStart w:id="432" w:name="_Toc6416"/>
      <w:bookmarkStart w:id="433" w:name="_Toc1517"/>
      <w:bookmarkStart w:id="434" w:name="_Toc19066"/>
      <w:bookmarkStart w:id="435" w:name="_Toc25550"/>
      <w:bookmarkStart w:id="436" w:name="_Toc9191"/>
      <w:bookmarkStart w:id="437" w:name="_Toc7845"/>
      <w:r>
        <w:rPr>
          <w:color w:val="000000" w:themeColor="text1"/>
          <w14:textFill>
            <w14:solidFill>
              <w14:schemeClr w14:val="tx1"/>
            </w14:solidFill>
          </w14:textFill>
        </w:rPr>
        <w:t>3</w:t>
      </w:r>
      <w:r>
        <w:rPr>
          <w:rFonts w:hint="eastAsia"/>
          <w:color w:val="000000" w:themeColor="text1"/>
          <w14:textFill>
            <w14:solidFill>
              <w14:schemeClr w14:val="tx1"/>
            </w14:solidFill>
          </w14:textFill>
        </w:rPr>
        <w:t>建设项目概况与分析</w:t>
      </w:r>
      <w:bookmarkEnd w:id="427"/>
      <w:bookmarkEnd w:id="428"/>
      <w:bookmarkEnd w:id="429"/>
      <w:bookmarkEnd w:id="430"/>
      <w:bookmarkEnd w:id="431"/>
      <w:bookmarkEnd w:id="432"/>
      <w:bookmarkEnd w:id="433"/>
      <w:bookmarkEnd w:id="434"/>
      <w:bookmarkEnd w:id="435"/>
      <w:bookmarkEnd w:id="436"/>
      <w:bookmarkEnd w:id="437"/>
    </w:p>
    <w:p w14:paraId="26ACE06E">
      <w:pPr>
        <w:pStyle w:val="3"/>
        <w:spacing w:before="156" w:beforeLines="50" w:after="156" w:afterLines="50"/>
        <w:rPr>
          <w:color w:val="000000" w:themeColor="text1"/>
          <w14:textFill>
            <w14:solidFill>
              <w14:schemeClr w14:val="tx1"/>
            </w14:solidFill>
          </w14:textFill>
        </w:rPr>
      </w:pPr>
      <w:bookmarkStart w:id="438" w:name="_Toc7140"/>
      <w:bookmarkStart w:id="439" w:name="_Toc24174"/>
      <w:bookmarkStart w:id="440" w:name="_Toc12612"/>
      <w:bookmarkStart w:id="441" w:name="_Toc22451"/>
      <w:bookmarkStart w:id="442" w:name="_Toc4978"/>
      <w:bookmarkStart w:id="443" w:name="_Toc6001"/>
      <w:bookmarkStart w:id="444" w:name="_Toc22901"/>
      <w:bookmarkStart w:id="445" w:name="_Toc10220"/>
      <w:bookmarkStart w:id="446" w:name="_Toc11706"/>
      <w:bookmarkStart w:id="447" w:name="_Toc25744"/>
      <w:bookmarkStart w:id="448" w:name="_Toc15128"/>
      <w:r>
        <w:rPr>
          <w:color w:val="000000" w:themeColor="text1"/>
          <w14:textFill>
            <w14:solidFill>
              <w14:schemeClr w14:val="tx1"/>
            </w14:solidFill>
          </w14:textFill>
        </w:rPr>
        <w:t>3.1</w:t>
      </w:r>
      <w:r>
        <w:rPr>
          <w:rFonts w:hint="eastAsia"/>
          <w:color w:val="000000" w:themeColor="text1"/>
          <w14:textFill>
            <w14:solidFill>
              <w14:schemeClr w14:val="tx1"/>
            </w14:solidFill>
          </w14:textFill>
        </w:rPr>
        <w:t>项目概况</w:t>
      </w:r>
      <w:bookmarkEnd w:id="438"/>
      <w:bookmarkEnd w:id="439"/>
      <w:bookmarkEnd w:id="440"/>
      <w:bookmarkEnd w:id="441"/>
      <w:bookmarkEnd w:id="442"/>
      <w:bookmarkEnd w:id="443"/>
      <w:bookmarkEnd w:id="444"/>
      <w:bookmarkEnd w:id="445"/>
      <w:bookmarkEnd w:id="446"/>
      <w:bookmarkEnd w:id="447"/>
      <w:bookmarkEnd w:id="448"/>
    </w:p>
    <w:p w14:paraId="512AADA2">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449" w:name="_Toc31839"/>
      <w:bookmarkStart w:id="450" w:name="_Toc10168"/>
      <w:bookmarkStart w:id="451" w:name="_Toc19647"/>
      <w:bookmarkStart w:id="452" w:name="_Toc30568"/>
      <w:bookmarkStart w:id="453" w:name="_Toc3392"/>
      <w:bookmarkStart w:id="454" w:name="_Toc15585"/>
      <w:bookmarkStart w:id="455" w:name="_Toc14194"/>
      <w:bookmarkStart w:id="456" w:name="_Toc688"/>
      <w:bookmarkStart w:id="457" w:name="_Toc21940"/>
      <w:bookmarkStart w:id="458" w:name="_Toc1620"/>
      <w:r>
        <w:rPr>
          <w:color w:val="000000" w:themeColor="text1"/>
          <w:sz w:val="28"/>
          <w:szCs w:val="28"/>
          <w14:textFill>
            <w14:solidFill>
              <w14:schemeClr w14:val="tx1"/>
            </w14:solidFill>
          </w14:textFill>
        </w:rPr>
        <w:t>3.1.1</w:t>
      </w:r>
      <w:r>
        <w:rPr>
          <w:rFonts w:hint="eastAsia"/>
          <w:color w:val="000000" w:themeColor="text1"/>
          <w:sz w:val="28"/>
          <w:szCs w:val="28"/>
          <w14:textFill>
            <w14:solidFill>
              <w14:schemeClr w14:val="tx1"/>
            </w14:solidFill>
          </w14:textFill>
        </w:rPr>
        <w:t>项目一般特性</w:t>
      </w:r>
      <w:bookmarkEnd w:id="449"/>
      <w:bookmarkEnd w:id="450"/>
      <w:bookmarkEnd w:id="451"/>
      <w:bookmarkEnd w:id="452"/>
      <w:bookmarkEnd w:id="453"/>
      <w:bookmarkEnd w:id="454"/>
      <w:bookmarkEnd w:id="455"/>
      <w:bookmarkEnd w:id="456"/>
      <w:bookmarkEnd w:id="457"/>
      <w:bookmarkEnd w:id="458"/>
    </w:p>
    <w:p w14:paraId="6D53F93D">
      <w:pPr>
        <w:snapToGrid w:val="0"/>
        <w:ind w:firstLine="480"/>
        <w:rPr>
          <w:bCs/>
          <w:snapToGrid w:val="0"/>
          <w:color w:val="000000" w:themeColor="text1"/>
          <w14:textFill>
            <w14:solidFill>
              <w14:schemeClr w14:val="tx1"/>
            </w14:solidFill>
          </w14:textFill>
        </w:rPr>
      </w:pPr>
      <w:bookmarkStart w:id="459" w:name="_Toc280601572"/>
      <w:r>
        <w:rPr>
          <w:bCs/>
          <w:snapToGrid w:val="0"/>
          <w:color w:val="000000" w:themeColor="text1"/>
          <w14:textFill>
            <w14:solidFill>
              <w14:schemeClr w14:val="tx1"/>
            </w14:solidFill>
          </w14:textFill>
        </w:rPr>
        <w:t>工程一般特性表见表3.1-1。</w:t>
      </w:r>
    </w:p>
    <w:p w14:paraId="498D8DC0">
      <w:pPr>
        <w:ind w:firstLine="422"/>
        <w:jc w:val="center"/>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 xml:space="preserve">表3.1-1  </w:t>
      </w:r>
      <w:r>
        <w:rPr>
          <w:rFonts w:hint="eastAsia"/>
          <w:b/>
          <w:bCs/>
          <w:color w:val="000000" w:themeColor="text1"/>
          <w:sz w:val="21"/>
          <w:szCs w:val="21"/>
          <w14:textFill>
            <w14:solidFill>
              <w14:schemeClr w14:val="tx1"/>
            </w14:solidFill>
          </w14:textFill>
        </w:rPr>
        <w:t>疆电（南疆）送电川渝特高压配套火电750千伏送出工程</w:t>
      </w:r>
      <w:r>
        <w:rPr>
          <w:b/>
          <w:bCs/>
          <w:color w:val="000000" w:themeColor="text1"/>
          <w:sz w:val="21"/>
          <w:szCs w:val="21"/>
          <w14:textFill>
            <w14:solidFill>
              <w14:schemeClr w14:val="tx1"/>
            </w14:solidFill>
          </w14:textFill>
        </w:rPr>
        <w:t>一般特性表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5"/>
        <w:gridCol w:w="1659"/>
        <w:gridCol w:w="5506"/>
      </w:tblGrid>
      <w:tr w14:paraId="2A34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tcMar>
              <w:top w:w="0" w:type="dxa"/>
              <w:left w:w="57" w:type="dxa"/>
              <w:bottom w:w="0" w:type="dxa"/>
              <w:right w:w="57" w:type="dxa"/>
            </w:tcMar>
            <w:vAlign w:val="center"/>
          </w:tcPr>
          <w:p w14:paraId="5683CA8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项目名称</w:t>
            </w:r>
          </w:p>
        </w:tc>
        <w:tc>
          <w:tcPr>
            <w:tcW w:w="4254" w:type="pct"/>
            <w:gridSpan w:val="2"/>
            <w:tcMar>
              <w:top w:w="0" w:type="dxa"/>
              <w:left w:w="57" w:type="dxa"/>
              <w:bottom w:w="0" w:type="dxa"/>
              <w:right w:w="57" w:type="dxa"/>
            </w:tcMar>
            <w:vAlign w:val="center"/>
          </w:tcPr>
          <w:p w14:paraId="18FC82D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疆电（南疆）送电川渝特高压配套火电750千伏送出工程</w:t>
            </w:r>
          </w:p>
        </w:tc>
      </w:tr>
      <w:tr w14:paraId="2B03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tcMar>
              <w:top w:w="0" w:type="dxa"/>
              <w:left w:w="57" w:type="dxa"/>
              <w:bottom w:w="0" w:type="dxa"/>
              <w:right w:w="57" w:type="dxa"/>
            </w:tcMar>
            <w:vAlign w:val="center"/>
          </w:tcPr>
          <w:p w14:paraId="3460886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建设单位</w:t>
            </w:r>
          </w:p>
        </w:tc>
        <w:tc>
          <w:tcPr>
            <w:tcW w:w="4254" w:type="pct"/>
            <w:gridSpan w:val="2"/>
            <w:tcMar>
              <w:top w:w="0" w:type="dxa"/>
              <w:left w:w="57" w:type="dxa"/>
              <w:bottom w:w="0" w:type="dxa"/>
              <w:right w:w="57" w:type="dxa"/>
            </w:tcMar>
            <w:vAlign w:val="center"/>
          </w:tcPr>
          <w:p w14:paraId="765EB99A">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国网新疆电力有限公司</w:t>
            </w:r>
            <w:r>
              <w:rPr>
                <w:rFonts w:hint="eastAsia" w:ascii="Times New Roman" w:hAnsi="Times New Roman"/>
                <w:color w:val="000000" w:themeColor="text1"/>
                <w:kern w:val="2"/>
                <w:sz w:val="21"/>
                <w14:textFill>
                  <w14:solidFill>
                    <w14:schemeClr w14:val="tx1"/>
                  </w14:solidFill>
                </w14:textFill>
              </w:rPr>
              <w:t>建设分公司</w:t>
            </w:r>
          </w:p>
        </w:tc>
      </w:tr>
      <w:tr w14:paraId="2388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tcMar>
              <w:top w:w="0" w:type="dxa"/>
              <w:left w:w="57" w:type="dxa"/>
              <w:bottom w:w="0" w:type="dxa"/>
              <w:right w:w="57" w:type="dxa"/>
            </w:tcMar>
            <w:vAlign w:val="center"/>
          </w:tcPr>
          <w:p w14:paraId="35E3C21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可研单位</w:t>
            </w:r>
          </w:p>
        </w:tc>
        <w:tc>
          <w:tcPr>
            <w:tcW w:w="4254" w:type="pct"/>
            <w:gridSpan w:val="2"/>
            <w:tcMar>
              <w:top w:w="0" w:type="dxa"/>
              <w:left w:w="57" w:type="dxa"/>
              <w:bottom w:w="0" w:type="dxa"/>
              <w:right w:w="57" w:type="dxa"/>
            </w:tcMar>
            <w:vAlign w:val="center"/>
          </w:tcPr>
          <w:p w14:paraId="7D9A4CFD">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湖北省电力规划设计研究院有限公司</w:t>
            </w:r>
          </w:p>
        </w:tc>
      </w:tr>
      <w:tr w14:paraId="1B6D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tcMar>
              <w:top w:w="0" w:type="dxa"/>
              <w:left w:w="57" w:type="dxa"/>
              <w:bottom w:w="0" w:type="dxa"/>
              <w:right w:w="57" w:type="dxa"/>
            </w:tcMar>
            <w:vAlign w:val="center"/>
          </w:tcPr>
          <w:p w14:paraId="4504358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建设性质</w:t>
            </w:r>
          </w:p>
        </w:tc>
        <w:tc>
          <w:tcPr>
            <w:tcW w:w="4254" w:type="pct"/>
            <w:gridSpan w:val="2"/>
            <w:tcMar>
              <w:top w:w="0" w:type="dxa"/>
              <w:left w:w="57" w:type="dxa"/>
              <w:bottom w:w="0" w:type="dxa"/>
              <w:right w:w="57" w:type="dxa"/>
            </w:tcMar>
            <w:vAlign w:val="center"/>
          </w:tcPr>
          <w:p w14:paraId="4D85A739">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新建</w:t>
            </w:r>
          </w:p>
        </w:tc>
      </w:tr>
      <w:tr w14:paraId="7A45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shd w:val="clear" w:color="auto" w:fill="auto"/>
            <w:tcMar>
              <w:top w:w="0" w:type="dxa"/>
              <w:left w:w="57" w:type="dxa"/>
              <w:bottom w:w="0" w:type="dxa"/>
              <w:right w:w="57" w:type="dxa"/>
            </w:tcMar>
            <w:vAlign w:val="center"/>
          </w:tcPr>
          <w:p w14:paraId="442DA62F">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项目组成</w:t>
            </w:r>
          </w:p>
        </w:tc>
        <w:tc>
          <w:tcPr>
            <w:tcW w:w="4254" w:type="pct"/>
            <w:gridSpan w:val="2"/>
            <w:shd w:val="clear" w:color="auto" w:fill="auto"/>
            <w:tcMar>
              <w:top w:w="0" w:type="dxa"/>
              <w:left w:w="57" w:type="dxa"/>
              <w:bottom w:w="0" w:type="dxa"/>
              <w:right w:w="57" w:type="dxa"/>
            </w:tcMar>
            <w:vAlign w:val="center"/>
          </w:tcPr>
          <w:p w14:paraId="264D305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新建线路折单长度38.4km，其中单回路架设38.2km，同塔双回路架设2</w:t>
            </w:r>
            <w:r>
              <w:rPr>
                <w:rFonts w:ascii="Times New Roman" w:hAnsi="Times New Roman"/>
                <w:color w:val="000000" w:themeColor="text1"/>
                <w:kern w:val="2"/>
                <w:sz w:val="21"/>
                <w14:textFill>
                  <w14:solidFill>
                    <w14:schemeClr w14:val="tx1"/>
                  </w14:solidFill>
                </w14:textFill>
              </w:rPr>
              <w:t>×</w:t>
            </w:r>
            <w:r>
              <w:rPr>
                <w:rFonts w:hint="eastAsia" w:ascii="Times New Roman" w:hAnsi="Times New Roman"/>
                <w:color w:val="000000" w:themeColor="text1"/>
                <w:kern w:val="2"/>
                <w:sz w:val="21"/>
                <w14:textFill>
                  <w14:solidFill>
                    <w14:schemeClr w14:val="tx1"/>
                  </w14:solidFill>
                </w14:textFill>
              </w:rPr>
              <w:t>0.1km（若羌换流站侧终端塔采用双回路角钢塔）</w:t>
            </w:r>
          </w:p>
        </w:tc>
      </w:tr>
      <w:tr w14:paraId="55BD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shd w:val="clear" w:color="auto" w:fill="auto"/>
            <w:tcMar>
              <w:top w:w="0" w:type="dxa"/>
              <w:left w:w="57" w:type="dxa"/>
              <w:bottom w:w="0" w:type="dxa"/>
              <w:right w:w="57" w:type="dxa"/>
            </w:tcMar>
            <w:vAlign w:val="center"/>
          </w:tcPr>
          <w:p w14:paraId="50443851">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建设地点</w:t>
            </w:r>
          </w:p>
        </w:tc>
        <w:tc>
          <w:tcPr>
            <w:tcW w:w="4254" w:type="pct"/>
            <w:gridSpan w:val="2"/>
            <w:shd w:val="clear" w:color="auto" w:fill="auto"/>
            <w:tcMar>
              <w:top w:w="0" w:type="dxa"/>
              <w:left w:w="57" w:type="dxa"/>
              <w:bottom w:w="0" w:type="dxa"/>
              <w:right w:w="57" w:type="dxa"/>
            </w:tcMar>
            <w:vAlign w:val="center"/>
          </w:tcPr>
          <w:p w14:paraId="64316359">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新疆维吾尔自治区巴音郭楞蒙古自治州若羌县</w:t>
            </w:r>
          </w:p>
        </w:tc>
      </w:tr>
      <w:tr w14:paraId="4E87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shd w:val="clear" w:color="auto" w:fill="auto"/>
            <w:tcMar>
              <w:top w:w="0" w:type="dxa"/>
              <w:left w:w="57" w:type="dxa"/>
              <w:bottom w:w="0" w:type="dxa"/>
              <w:right w:w="57" w:type="dxa"/>
            </w:tcMar>
            <w:vAlign w:val="center"/>
          </w:tcPr>
          <w:p w14:paraId="59F576B5">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起止位置</w:t>
            </w:r>
          </w:p>
        </w:tc>
        <w:tc>
          <w:tcPr>
            <w:tcW w:w="4254" w:type="pct"/>
            <w:gridSpan w:val="2"/>
            <w:shd w:val="clear" w:color="auto" w:fill="auto"/>
            <w:tcMar>
              <w:top w:w="0" w:type="dxa"/>
              <w:left w:w="57" w:type="dxa"/>
              <w:bottom w:w="0" w:type="dxa"/>
              <w:right w:w="57" w:type="dxa"/>
            </w:tcMar>
            <w:vAlign w:val="center"/>
          </w:tcPr>
          <w:p w14:paraId="38D7EC0D">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线路起点位于若羌火电厂，地理坐标：E88°31′33.822″，N38°58′0.600″；终点位于若羌±800kV换流站，地理坐标：</w:t>
            </w:r>
            <w:r>
              <w:rPr>
                <w:rFonts w:hint="eastAsia" w:ascii="Times New Roman" w:hAnsi="Times New Roman"/>
                <w:color w:val="000000" w:themeColor="text1"/>
                <w:kern w:val="2"/>
                <w:sz w:val="21"/>
                <w14:textFill>
                  <w14:solidFill>
                    <w14:schemeClr w14:val="tx1"/>
                  </w14:solidFill>
                </w14:textFill>
              </w:rPr>
              <w:t>E</w:t>
            </w:r>
            <w:r>
              <w:rPr>
                <w:rFonts w:ascii="Times New Roman" w:hAnsi="Times New Roman"/>
                <w:color w:val="000000" w:themeColor="text1"/>
                <w:kern w:val="2"/>
                <w:sz w:val="21"/>
                <w14:textFill>
                  <w14:solidFill>
                    <w14:schemeClr w14:val="tx1"/>
                  </w14:solidFill>
                </w14:textFill>
              </w:rPr>
              <w:t>88°25′40.839″，</w:t>
            </w:r>
            <w:r>
              <w:rPr>
                <w:rFonts w:hint="eastAsia" w:ascii="Times New Roman" w:hAnsi="Times New Roman"/>
                <w:color w:val="000000" w:themeColor="text1"/>
                <w:kern w:val="2"/>
                <w:sz w:val="21"/>
                <w14:textFill>
                  <w14:solidFill>
                    <w14:schemeClr w14:val="tx1"/>
                  </w14:solidFill>
                </w14:textFill>
              </w:rPr>
              <w:t>N</w:t>
            </w:r>
            <w:r>
              <w:rPr>
                <w:rFonts w:ascii="Times New Roman" w:hAnsi="Times New Roman"/>
                <w:color w:val="000000" w:themeColor="text1"/>
                <w:kern w:val="2"/>
                <w:sz w:val="21"/>
                <w14:textFill>
                  <w14:solidFill>
                    <w14:schemeClr w14:val="tx1"/>
                  </w14:solidFill>
                </w14:textFill>
              </w:rPr>
              <w:t>39°0′8.077″。</w:t>
            </w:r>
          </w:p>
        </w:tc>
      </w:tr>
      <w:bookmarkEnd w:id="459"/>
      <w:tr w14:paraId="55DF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restart"/>
            <w:tcMar>
              <w:top w:w="0" w:type="dxa"/>
              <w:left w:w="57" w:type="dxa"/>
              <w:bottom w:w="0" w:type="dxa"/>
              <w:right w:w="57" w:type="dxa"/>
            </w:tcMar>
            <w:vAlign w:val="center"/>
          </w:tcPr>
          <w:p w14:paraId="3CF6F75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主体工程</w:t>
            </w:r>
          </w:p>
        </w:tc>
        <w:tc>
          <w:tcPr>
            <w:tcW w:w="985" w:type="pct"/>
            <w:tcMar>
              <w:top w:w="0" w:type="dxa"/>
              <w:left w:w="57" w:type="dxa"/>
              <w:bottom w:w="0" w:type="dxa"/>
              <w:right w:w="57" w:type="dxa"/>
            </w:tcMar>
            <w:vAlign w:val="center"/>
          </w:tcPr>
          <w:p w14:paraId="697CB8EC">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电压等级</w:t>
            </w:r>
          </w:p>
        </w:tc>
        <w:tc>
          <w:tcPr>
            <w:tcW w:w="3269" w:type="pct"/>
            <w:tcMar>
              <w:top w:w="0" w:type="dxa"/>
              <w:left w:w="57" w:type="dxa"/>
              <w:bottom w:w="0" w:type="dxa"/>
              <w:right w:w="57" w:type="dxa"/>
            </w:tcMar>
            <w:vAlign w:val="center"/>
          </w:tcPr>
          <w:p w14:paraId="70CF2586">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750kV</w:t>
            </w:r>
          </w:p>
        </w:tc>
      </w:tr>
      <w:tr w14:paraId="25C3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7B2B8054">
            <w:pPr>
              <w:ind w:firstLine="480"/>
              <w:jc w:val="center"/>
              <w:rPr>
                <w:color w:val="000000" w:themeColor="text1"/>
                <w14:textFill>
                  <w14:solidFill>
                    <w14:schemeClr w14:val="tx1"/>
                  </w14:solidFill>
                </w14:textFill>
              </w:rPr>
            </w:pPr>
            <w:bookmarkStart w:id="460" w:name="表31"/>
            <w:bookmarkEnd w:id="460"/>
          </w:p>
        </w:tc>
        <w:tc>
          <w:tcPr>
            <w:tcW w:w="985" w:type="pct"/>
            <w:shd w:val="clear" w:color="auto" w:fill="auto"/>
            <w:tcMar>
              <w:top w:w="0" w:type="dxa"/>
              <w:left w:w="57" w:type="dxa"/>
              <w:bottom w:w="0" w:type="dxa"/>
              <w:right w:w="57" w:type="dxa"/>
            </w:tcMar>
            <w:vAlign w:val="center"/>
          </w:tcPr>
          <w:p w14:paraId="4EE70CC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单回电流（A）</w:t>
            </w:r>
          </w:p>
        </w:tc>
        <w:tc>
          <w:tcPr>
            <w:tcW w:w="3269" w:type="pct"/>
            <w:tcMar>
              <w:top w:w="0" w:type="dxa"/>
              <w:left w:w="57" w:type="dxa"/>
              <w:bottom w:w="0" w:type="dxa"/>
              <w:right w:w="57" w:type="dxa"/>
            </w:tcMar>
            <w:vAlign w:val="center"/>
          </w:tcPr>
          <w:p w14:paraId="10E113DE">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1863</w:t>
            </w:r>
          </w:p>
        </w:tc>
      </w:tr>
      <w:tr w14:paraId="2F76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69FF9601">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0D2A9F4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线路路径长度（km）</w:t>
            </w:r>
          </w:p>
        </w:tc>
        <w:tc>
          <w:tcPr>
            <w:tcW w:w="3269" w:type="pct"/>
            <w:tcMar>
              <w:top w:w="0" w:type="dxa"/>
              <w:left w:w="57" w:type="dxa"/>
              <w:bottom w:w="0" w:type="dxa"/>
              <w:right w:w="57" w:type="dxa"/>
            </w:tcMar>
            <w:vAlign w:val="center"/>
          </w:tcPr>
          <w:p w14:paraId="372C0988">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折单长度38.4km（</w:t>
            </w:r>
            <w:r>
              <w:rPr>
                <w:rFonts w:ascii="Times New Roman" w:hAnsi="Times New Roman"/>
                <w:color w:val="000000" w:themeColor="text1"/>
                <w:kern w:val="2"/>
                <w:sz w:val="21"/>
                <w14:textFill>
                  <w14:solidFill>
                    <w14:schemeClr w14:val="tx1"/>
                  </w14:solidFill>
                </w14:textFill>
              </w:rPr>
              <w:t>3×12.8k</w:t>
            </w:r>
            <w:r>
              <w:rPr>
                <w:rFonts w:hint="eastAsia" w:ascii="Times New Roman" w:hAnsi="Times New Roman"/>
                <w:color w:val="000000" w:themeColor="text1"/>
                <w:kern w:val="2"/>
                <w:sz w:val="21"/>
                <w14:textFill>
                  <w14:solidFill>
                    <w14:schemeClr w14:val="tx1"/>
                  </w14:solidFill>
                </w14:textFill>
              </w:rPr>
              <w:t>m）</w:t>
            </w:r>
          </w:p>
        </w:tc>
      </w:tr>
      <w:tr w14:paraId="0346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6DEC7C09">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245F44E1">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架设方式</w:t>
            </w:r>
          </w:p>
        </w:tc>
        <w:tc>
          <w:tcPr>
            <w:tcW w:w="3269" w:type="pct"/>
            <w:tcMar>
              <w:top w:w="0" w:type="dxa"/>
              <w:left w:w="57" w:type="dxa"/>
              <w:bottom w:w="0" w:type="dxa"/>
              <w:right w:w="57" w:type="dxa"/>
            </w:tcMar>
            <w:vAlign w:val="center"/>
          </w:tcPr>
          <w:p w14:paraId="75E23CE2">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3条单回路并行架设38.2km，同塔双回线路并行架设0.2km，均采用架空</w:t>
            </w:r>
          </w:p>
        </w:tc>
      </w:tr>
      <w:tr w14:paraId="453B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475F76E9">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34619FB7">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并行线路中心线间距</w:t>
            </w:r>
          </w:p>
        </w:tc>
        <w:tc>
          <w:tcPr>
            <w:tcW w:w="3269" w:type="pct"/>
            <w:tcMar>
              <w:top w:w="0" w:type="dxa"/>
              <w:left w:w="57" w:type="dxa"/>
              <w:bottom w:w="0" w:type="dxa"/>
              <w:right w:w="57" w:type="dxa"/>
            </w:tcMar>
            <w:vAlign w:val="center"/>
          </w:tcPr>
          <w:p w14:paraId="2038FC82">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100m</w:t>
            </w:r>
          </w:p>
        </w:tc>
      </w:tr>
      <w:tr w14:paraId="606F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23A3ACF5">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592EE787">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导线型号</w:t>
            </w:r>
          </w:p>
        </w:tc>
        <w:tc>
          <w:tcPr>
            <w:tcW w:w="3269" w:type="pct"/>
            <w:tcMar>
              <w:top w:w="0" w:type="dxa"/>
              <w:left w:w="57" w:type="dxa"/>
              <w:bottom w:w="0" w:type="dxa"/>
              <w:right w:w="57" w:type="dxa"/>
            </w:tcMar>
            <w:vAlign w:val="center"/>
          </w:tcPr>
          <w:p w14:paraId="77750C8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采用6×JL3/G1A-400/50钢芯高导电率铝绞线</w:t>
            </w:r>
          </w:p>
        </w:tc>
      </w:tr>
      <w:tr w14:paraId="7D01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21B536EB">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40089D27">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导线分裂数</w:t>
            </w:r>
          </w:p>
        </w:tc>
        <w:tc>
          <w:tcPr>
            <w:tcW w:w="3269" w:type="pct"/>
            <w:tcMar>
              <w:top w:w="0" w:type="dxa"/>
              <w:left w:w="57" w:type="dxa"/>
              <w:bottom w:w="0" w:type="dxa"/>
              <w:right w:w="57" w:type="dxa"/>
            </w:tcMar>
            <w:vAlign w:val="center"/>
          </w:tcPr>
          <w:p w14:paraId="2581BB75">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6</w:t>
            </w:r>
          </w:p>
        </w:tc>
      </w:tr>
      <w:tr w14:paraId="19D3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35E556CA">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3A3F53EE">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杆塔数量</w:t>
            </w:r>
          </w:p>
        </w:tc>
        <w:tc>
          <w:tcPr>
            <w:tcW w:w="3269" w:type="pct"/>
            <w:tcMar>
              <w:top w:w="0" w:type="dxa"/>
              <w:left w:w="57" w:type="dxa"/>
              <w:bottom w:w="0" w:type="dxa"/>
              <w:right w:w="57" w:type="dxa"/>
            </w:tcMar>
            <w:vAlign w:val="center"/>
          </w:tcPr>
          <w:p w14:paraId="2A83B56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8</w:t>
            </w:r>
            <w:r>
              <w:rPr>
                <w:rFonts w:hint="eastAsia" w:ascii="Times New Roman" w:hAnsi="Times New Roman"/>
                <w:color w:val="000000" w:themeColor="text1"/>
                <w:kern w:val="2"/>
                <w:sz w:val="21"/>
                <w:lang w:val="en-US" w:eastAsia="zh-CN"/>
                <w14:textFill>
                  <w14:solidFill>
                    <w14:schemeClr w14:val="tx1"/>
                  </w14:solidFill>
                </w14:textFill>
              </w:rPr>
              <w:t>4</w:t>
            </w:r>
            <w:r>
              <w:rPr>
                <w:rFonts w:hint="eastAsia" w:ascii="Times New Roman" w:hAnsi="Times New Roman"/>
                <w:color w:val="000000" w:themeColor="text1"/>
                <w:kern w:val="2"/>
                <w:sz w:val="21"/>
                <w14:textFill>
                  <w14:solidFill>
                    <w14:schemeClr w14:val="tx1"/>
                  </w14:solidFill>
                </w14:textFill>
              </w:rPr>
              <w:t>基</w:t>
            </w:r>
          </w:p>
        </w:tc>
      </w:tr>
      <w:tr w14:paraId="1451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6342BC92">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1249077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杆塔型式</w:t>
            </w:r>
          </w:p>
        </w:tc>
        <w:tc>
          <w:tcPr>
            <w:tcW w:w="3269" w:type="pct"/>
            <w:tcMar>
              <w:top w:w="0" w:type="dxa"/>
              <w:left w:w="57" w:type="dxa"/>
              <w:bottom w:w="0" w:type="dxa"/>
              <w:right w:w="57" w:type="dxa"/>
            </w:tcMar>
            <w:vAlign w:val="center"/>
          </w:tcPr>
          <w:p w14:paraId="16B0B661">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直线塔5</w:t>
            </w:r>
            <w:r>
              <w:rPr>
                <w:rFonts w:hint="eastAsia" w:ascii="Times New Roman" w:hAnsi="Times New Roman"/>
                <w:color w:val="000000" w:themeColor="text1"/>
                <w:kern w:val="2"/>
                <w:sz w:val="21"/>
                <w:lang w:val="en-US" w:eastAsia="zh-CN"/>
                <w14:textFill>
                  <w14:solidFill>
                    <w14:schemeClr w14:val="tx1"/>
                  </w14:solidFill>
                </w14:textFill>
              </w:rPr>
              <w:t>2</w:t>
            </w:r>
            <w:r>
              <w:rPr>
                <w:rFonts w:hint="eastAsia" w:ascii="Times New Roman" w:hAnsi="Times New Roman"/>
                <w:color w:val="000000" w:themeColor="text1"/>
                <w:kern w:val="2"/>
                <w:sz w:val="21"/>
                <w14:textFill>
                  <w14:solidFill>
                    <w14:schemeClr w14:val="tx1"/>
                  </w14:solidFill>
                </w14:textFill>
              </w:rPr>
              <w:t>基，耐张塔3</w:t>
            </w:r>
            <w:r>
              <w:rPr>
                <w:rFonts w:hint="eastAsia" w:ascii="Times New Roman" w:hAnsi="Times New Roman"/>
                <w:color w:val="000000" w:themeColor="text1"/>
                <w:kern w:val="2"/>
                <w:sz w:val="21"/>
                <w:lang w:val="en-US" w:eastAsia="zh-CN"/>
                <w14:textFill>
                  <w14:solidFill>
                    <w14:schemeClr w14:val="tx1"/>
                  </w14:solidFill>
                </w14:textFill>
              </w:rPr>
              <w:t>2</w:t>
            </w:r>
            <w:r>
              <w:rPr>
                <w:rFonts w:hint="eastAsia" w:ascii="Times New Roman" w:hAnsi="Times New Roman"/>
                <w:color w:val="000000" w:themeColor="text1"/>
                <w:kern w:val="2"/>
                <w:sz w:val="21"/>
                <w14:textFill>
                  <w14:solidFill>
                    <w14:schemeClr w14:val="tx1"/>
                  </w14:solidFill>
                </w14:textFill>
              </w:rPr>
              <w:t>基</w:t>
            </w:r>
          </w:p>
        </w:tc>
      </w:tr>
      <w:tr w14:paraId="0216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10CFA79F">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095E2E58">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塔基施工场地</w:t>
            </w:r>
          </w:p>
        </w:tc>
        <w:tc>
          <w:tcPr>
            <w:tcW w:w="3269" w:type="pct"/>
            <w:tcMar>
              <w:top w:w="0" w:type="dxa"/>
              <w:left w:w="57" w:type="dxa"/>
              <w:bottom w:w="0" w:type="dxa"/>
              <w:right w:w="57" w:type="dxa"/>
            </w:tcMar>
            <w:vAlign w:val="center"/>
          </w:tcPr>
          <w:p w14:paraId="7D24A68E">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塔基施工场地8</w:t>
            </w:r>
            <w:r>
              <w:rPr>
                <w:rFonts w:hint="eastAsia" w:ascii="Times New Roman" w:hAnsi="Times New Roman"/>
                <w:color w:val="000000" w:themeColor="text1"/>
                <w:kern w:val="2"/>
                <w:sz w:val="21"/>
                <w:lang w:val="en-US" w:eastAsia="zh-CN"/>
                <w14:textFill>
                  <w14:solidFill>
                    <w14:schemeClr w14:val="tx1"/>
                  </w14:solidFill>
                </w14:textFill>
              </w:rPr>
              <w:t>4</w:t>
            </w:r>
            <w:r>
              <w:rPr>
                <w:rFonts w:hint="eastAsia" w:ascii="Times New Roman" w:hAnsi="Times New Roman"/>
                <w:color w:val="000000" w:themeColor="text1"/>
                <w:kern w:val="2"/>
                <w:sz w:val="21"/>
                <w14:textFill>
                  <w14:solidFill>
                    <w14:schemeClr w14:val="tx1"/>
                  </w14:solidFill>
                </w14:textFill>
              </w:rPr>
              <w:t>处。</w:t>
            </w:r>
          </w:p>
        </w:tc>
      </w:tr>
      <w:tr w14:paraId="5B10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350A9453">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71E8FE2E">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跨越情况</w:t>
            </w:r>
          </w:p>
        </w:tc>
        <w:tc>
          <w:tcPr>
            <w:tcW w:w="3269" w:type="pct"/>
            <w:tcMar>
              <w:top w:w="0" w:type="dxa"/>
              <w:left w:w="57" w:type="dxa"/>
              <w:bottom w:w="0" w:type="dxa"/>
              <w:right w:w="57" w:type="dxa"/>
            </w:tcMar>
            <w:vAlign w:val="center"/>
          </w:tcPr>
          <w:p w14:paraId="126C2D3D">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本项目跨越点共计72处，跨越220kV线路6回、110kV线路18回、35kV线路6回、10kV线路3回、国道3回、高速3回、普通铁路6回、架空通信线6回、地埋光缆21回，预计设42处施工场地。</w:t>
            </w:r>
          </w:p>
        </w:tc>
      </w:tr>
      <w:tr w14:paraId="41B3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199392F4">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4D796C3D">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基础形式</w:t>
            </w:r>
          </w:p>
        </w:tc>
        <w:tc>
          <w:tcPr>
            <w:tcW w:w="3269" w:type="pct"/>
            <w:tcMar>
              <w:top w:w="0" w:type="dxa"/>
              <w:left w:w="57" w:type="dxa"/>
              <w:bottom w:w="0" w:type="dxa"/>
              <w:right w:w="57" w:type="dxa"/>
            </w:tcMar>
            <w:vAlign w:val="center"/>
          </w:tcPr>
          <w:p w14:paraId="463A3295">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板式基础</w:t>
            </w:r>
            <w:r>
              <w:rPr>
                <w:rFonts w:hint="eastAsia" w:ascii="Times New Roman" w:hAnsi="Times New Roman"/>
                <w:color w:val="000000" w:themeColor="text1"/>
                <w:kern w:val="2"/>
                <w:sz w:val="21"/>
                <w:lang w:val="en-US" w:eastAsia="zh-CN"/>
                <w14:textFill>
                  <w14:solidFill>
                    <w14:schemeClr w14:val="tx1"/>
                  </w14:solidFill>
                </w14:textFill>
              </w:rPr>
              <w:t>33</w:t>
            </w:r>
            <w:r>
              <w:rPr>
                <w:rFonts w:hint="eastAsia" w:ascii="Times New Roman" w:hAnsi="Times New Roman"/>
                <w:color w:val="000000" w:themeColor="text1"/>
                <w:kern w:val="2"/>
                <w:sz w:val="21"/>
                <w14:textFill>
                  <w14:solidFill>
                    <w14:schemeClr w14:val="tx1"/>
                  </w14:solidFill>
                </w14:textFill>
              </w:rPr>
              <w:t>基，灌注桩基础</w:t>
            </w:r>
            <w:r>
              <w:rPr>
                <w:rFonts w:hint="eastAsia" w:ascii="Times New Roman" w:hAnsi="Times New Roman"/>
                <w:color w:val="000000" w:themeColor="text1"/>
                <w:kern w:val="2"/>
                <w:sz w:val="21"/>
                <w:lang w:val="en-US" w:eastAsia="zh-CN"/>
                <w14:textFill>
                  <w14:solidFill>
                    <w14:schemeClr w14:val="tx1"/>
                  </w14:solidFill>
                </w14:textFill>
              </w:rPr>
              <w:t>11</w:t>
            </w:r>
            <w:r>
              <w:rPr>
                <w:rFonts w:hint="eastAsia" w:ascii="Times New Roman" w:hAnsi="Times New Roman"/>
                <w:color w:val="000000" w:themeColor="text1"/>
                <w:kern w:val="2"/>
                <w:sz w:val="21"/>
                <w14:textFill>
                  <w14:solidFill>
                    <w14:schemeClr w14:val="tx1"/>
                  </w14:solidFill>
                </w14:textFill>
              </w:rPr>
              <w:t>基，挖孔桩基础4</w:t>
            </w:r>
            <w:r>
              <w:rPr>
                <w:rFonts w:hint="eastAsia" w:ascii="Times New Roman" w:hAnsi="Times New Roman"/>
                <w:color w:val="000000" w:themeColor="text1"/>
                <w:kern w:val="2"/>
                <w:sz w:val="21"/>
                <w:lang w:val="en-US" w:eastAsia="zh-CN"/>
                <w14:textFill>
                  <w14:solidFill>
                    <w14:schemeClr w14:val="tx1"/>
                  </w14:solidFill>
                </w14:textFill>
              </w:rPr>
              <w:t>0</w:t>
            </w:r>
            <w:r>
              <w:rPr>
                <w:rFonts w:hint="eastAsia" w:ascii="Times New Roman" w:hAnsi="Times New Roman"/>
                <w:color w:val="000000" w:themeColor="text1"/>
                <w:kern w:val="2"/>
                <w:sz w:val="21"/>
                <w14:textFill>
                  <w14:solidFill>
                    <w14:schemeClr w14:val="tx1"/>
                  </w14:solidFill>
                </w14:textFill>
              </w:rPr>
              <w:t>基</w:t>
            </w:r>
          </w:p>
        </w:tc>
      </w:tr>
      <w:tr w14:paraId="104F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172323B3">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3A1D5987">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地线规格</w:t>
            </w:r>
          </w:p>
        </w:tc>
        <w:tc>
          <w:tcPr>
            <w:tcW w:w="3269" w:type="pct"/>
            <w:tcMar>
              <w:top w:w="0" w:type="dxa"/>
              <w:left w:w="57" w:type="dxa"/>
              <w:bottom w:w="0" w:type="dxa"/>
              <w:right w:w="57" w:type="dxa"/>
            </w:tcMar>
            <w:vAlign w:val="center"/>
          </w:tcPr>
          <w:p w14:paraId="13005F2C">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每回路均为一根采用24芯OPGW-150光缆，一根采用JLB40-150铝包钢绞线，</w:t>
            </w:r>
            <w:r>
              <w:rPr>
                <w:rFonts w:hint="eastAsia" w:ascii="宋体" w:hAnsi="宋体" w:cs="宋体"/>
                <w:color w:val="000000" w:themeColor="text1"/>
                <w:kern w:val="2"/>
                <w:sz w:val="21"/>
                <w14:textFill>
                  <w14:solidFill>
                    <w14:schemeClr w14:val="tx1"/>
                  </w14:solidFill>
                </w14:textFill>
              </w:rPr>
              <w:t>“三跨”</w:t>
            </w:r>
            <w:r>
              <w:rPr>
                <w:rFonts w:hint="eastAsia" w:ascii="Times New Roman" w:hAnsi="Times New Roman"/>
                <w:color w:val="000000" w:themeColor="text1"/>
                <w:kern w:val="2"/>
                <w:sz w:val="21"/>
                <w14:textFill>
                  <w14:solidFill>
                    <w14:schemeClr w14:val="tx1"/>
                  </w14:solidFill>
                </w14:textFill>
              </w:rPr>
              <w:t>段采用2根72芯OPGW-150光缆。</w:t>
            </w:r>
          </w:p>
        </w:tc>
      </w:tr>
      <w:tr w14:paraId="2AFC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5F9C62F4">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0D8D1006">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导线对地线高范围</w:t>
            </w:r>
          </w:p>
        </w:tc>
        <w:tc>
          <w:tcPr>
            <w:tcW w:w="3269" w:type="pct"/>
            <w:tcMar>
              <w:top w:w="0" w:type="dxa"/>
              <w:left w:w="57" w:type="dxa"/>
              <w:bottom w:w="0" w:type="dxa"/>
              <w:right w:w="57" w:type="dxa"/>
            </w:tcMar>
            <w:vAlign w:val="center"/>
          </w:tcPr>
          <w:p w14:paraId="77AC607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36~72m</w:t>
            </w:r>
          </w:p>
        </w:tc>
      </w:tr>
      <w:tr w14:paraId="77EB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36B7A94E">
            <w:pPr>
              <w:ind w:firstLine="480"/>
              <w:jc w:val="center"/>
              <w:rPr>
                <w:color w:val="000000" w:themeColor="text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3EE6E2D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地形</w:t>
            </w:r>
          </w:p>
        </w:tc>
        <w:tc>
          <w:tcPr>
            <w:tcW w:w="3269" w:type="pct"/>
            <w:tcMar>
              <w:top w:w="0" w:type="dxa"/>
              <w:left w:w="57" w:type="dxa"/>
              <w:bottom w:w="0" w:type="dxa"/>
              <w:right w:w="57" w:type="dxa"/>
            </w:tcMar>
            <w:vAlign w:val="center"/>
          </w:tcPr>
          <w:p w14:paraId="3A98185C">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平地100%</w:t>
            </w:r>
          </w:p>
        </w:tc>
      </w:tr>
      <w:tr w14:paraId="2AFC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restart"/>
            <w:tcMar>
              <w:top w:w="0" w:type="dxa"/>
              <w:left w:w="57" w:type="dxa"/>
              <w:bottom w:w="0" w:type="dxa"/>
              <w:right w:w="57" w:type="dxa"/>
            </w:tcMar>
            <w:vAlign w:val="center"/>
          </w:tcPr>
          <w:p w14:paraId="19725E06">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临时工程设置情况</w:t>
            </w:r>
          </w:p>
        </w:tc>
        <w:tc>
          <w:tcPr>
            <w:tcW w:w="985" w:type="pct"/>
            <w:shd w:val="clear" w:color="auto" w:fill="auto"/>
            <w:tcMar>
              <w:top w:w="0" w:type="dxa"/>
              <w:left w:w="57" w:type="dxa"/>
              <w:bottom w:w="0" w:type="dxa"/>
              <w:right w:w="57" w:type="dxa"/>
            </w:tcMar>
            <w:vAlign w:val="center"/>
          </w:tcPr>
          <w:p w14:paraId="538DDDA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施工临时道路</w:t>
            </w:r>
          </w:p>
        </w:tc>
        <w:tc>
          <w:tcPr>
            <w:tcW w:w="3269" w:type="pct"/>
            <w:shd w:val="clear" w:color="auto" w:fill="auto"/>
            <w:tcMar>
              <w:top w:w="0" w:type="dxa"/>
              <w:left w:w="57" w:type="dxa"/>
              <w:bottom w:w="0" w:type="dxa"/>
              <w:right w:w="57" w:type="dxa"/>
            </w:tcMar>
            <w:vAlign w:val="center"/>
          </w:tcPr>
          <w:p w14:paraId="047C2DFA">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施工临时道路</w:t>
            </w:r>
            <w:r>
              <w:rPr>
                <w:rFonts w:hint="eastAsia" w:ascii="Times New Roman" w:hAnsi="Times New Roman"/>
                <w:color w:val="000000" w:themeColor="text1"/>
                <w:kern w:val="2"/>
                <w:sz w:val="21"/>
                <w:lang w:val="en-US" w:eastAsia="zh-CN"/>
                <w14:textFill>
                  <w14:solidFill>
                    <w14:schemeClr w14:val="tx1"/>
                  </w14:solidFill>
                </w14:textFill>
              </w:rPr>
              <w:t>21.2</w:t>
            </w:r>
            <w:r>
              <w:rPr>
                <w:rFonts w:ascii="Times New Roman" w:hAnsi="Times New Roman"/>
                <w:color w:val="000000" w:themeColor="text1"/>
                <w:kern w:val="2"/>
                <w:sz w:val="21"/>
                <w14:textFill>
                  <w14:solidFill>
                    <w14:schemeClr w14:val="tx1"/>
                  </w14:solidFill>
                </w14:textFill>
              </w:rPr>
              <w:t>km，</w:t>
            </w:r>
            <w:r>
              <w:rPr>
                <w:rFonts w:hint="eastAsia" w:ascii="Times New Roman" w:hAnsi="Times New Roman"/>
                <w:color w:val="000000" w:themeColor="text1"/>
                <w:kern w:val="2"/>
                <w:sz w:val="21"/>
                <w:lang w:val="en-US" w:eastAsia="zh-CN"/>
                <w14:textFill>
                  <w14:solidFill>
                    <w14:schemeClr w14:val="tx1"/>
                  </w14:solidFill>
                </w14:textFill>
              </w:rPr>
              <w:t>4.5</w:t>
            </w:r>
            <w:r>
              <w:rPr>
                <w:rFonts w:ascii="Times New Roman" w:hAnsi="Times New Roman"/>
                <w:color w:val="000000" w:themeColor="text1"/>
                <w:kern w:val="2"/>
                <w:sz w:val="21"/>
                <w14:textFill>
                  <w14:solidFill>
                    <w14:schemeClr w14:val="tx1"/>
                  </w14:solidFill>
                </w14:textFill>
              </w:rPr>
              <w:t>m宽。</w:t>
            </w:r>
          </w:p>
        </w:tc>
      </w:tr>
      <w:tr w14:paraId="4317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34628AFD">
            <w:pPr>
              <w:pStyle w:val="41"/>
              <w:spacing w:line="240" w:lineRule="auto"/>
              <w:ind w:firstLineChars="0"/>
              <w:rPr>
                <w:rFonts w:ascii="Times New Roman" w:hAnsi="Times New Roman"/>
                <w:color w:val="000000" w:themeColor="text1"/>
                <w:kern w:val="2"/>
                <w:sz w:val="2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437AE274">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牵张场、张力场</w:t>
            </w:r>
          </w:p>
        </w:tc>
        <w:tc>
          <w:tcPr>
            <w:tcW w:w="3269" w:type="pct"/>
            <w:tcMar>
              <w:top w:w="0" w:type="dxa"/>
              <w:left w:w="57" w:type="dxa"/>
              <w:bottom w:w="0" w:type="dxa"/>
              <w:right w:w="57" w:type="dxa"/>
            </w:tcMar>
            <w:vAlign w:val="center"/>
          </w:tcPr>
          <w:p w14:paraId="5C4E4E1C">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本项目共设置牵</w:t>
            </w:r>
            <w:r>
              <w:rPr>
                <w:rFonts w:hint="eastAsia" w:ascii="Times New Roman" w:hAnsi="Times New Roman"/>
                <w:color w:val="000000" w:themeColor="text1"/>
                <w:kern w:val="2"/>
                <w:sz w:val="21"/>
                <w14:textFill>
                  <w14:solidFill>
                    <w14:schemeClr w14:val="tx1"/>
                  </w14:solidFill>
                </w14:textFill>
              </w:rPr>
              <w:t>引</w:t>
            </w:r>
            <w:r>
              <w:rPr>
                <w:rFonts w:ascii="Times New Roman" w:hAnsi="Times New Roman"/>
                <w:color w:val="000000" w:themeColor="text1"/>
                <w:kern w:val="2"/>
                <w:sz w:val="21"/>
                <w14:textFill>
                  <w14:solidFill>
                    <w14:schemeClr w14:val="tx1"/>
                  </w14:solidFill>
                </w14:textFill>
              </w:rPr>
              <w:t>场</w:t>
            </w:r>
            <w:r>
              <w:rPr>
                <w:rFonts w:hint="eastAsia" w:ascii="Times New Roman" w:hAnsi="Times New Roman"/>
                <w:color w:val="000000" w:themeColor="text1"/>
                <w:kern w:val="2"/>
                <w:sz w:val="21"/>
                <w:lang w:val="en-US" w:eastAsia="zh-CN"/>
                <w14:textFill>
                  <w14:solidFill>
                    <w14:schemeClr w14:val="tx1"/>
                  </w14:solidFill>
                </w14:textFill>
              </w:rPr>
              <w:t>23</w:t>
            </w:r>
            <w:r>
              <w:rPr>
                <w:rFonts w:ascii="Times New Roman" w:hAnsi="Times New Roman"/>
                <w:color w:val="000000" w:themeColor="text1"/>
                <w:kern w:val="2"/>
                <w:sz w:val="21"/>
                <w14:textFill>
                  <w14:solidFill>
                    <w14:schemeClr w14:val="tx1"/>
                  </w14:solidFill>
                </w14:textFill>
              </w:rPr>
              <w:t>个、张力场</w:t>
            </w:r>
            <w:r>
              <w:rPr>
                <w:rFonts w:hint="eastAsia" w:ascii="Times New Roman" w:hAnsi="Times New Roman"/>
                <w:color w:val="000000" w:themeColor="text1"/>
                <w:kern w:val="2"/>
                <w:sz w:val="21"/>
                <w:lang w:val="en-US" w:eastAsia="zh-CN"/>
                <w14:textFill>
                  <w14:solidFill>
                    <w14:schemeClr w14:val="tx1"/>
                  </w14:solidFill>
                </w14:textFill>
              </w:rPr>
              <w:t>21</w:t>
            </w:r>
            <w:r>
              <w:rPr>
                <w:rFonts w:ascii="Times New Roman" w:hAnsi="Times New Roman"/>
                <w:color w:val="000000" w:themeColor="text1"/>
                <w:kern w:val="2"/>
                <w:sz w:val="21"/>
                <w14:textFill>
                  <w14:solidFill>
                    <w14:schemeClr w14:val="tx1"/>
                  </w14:solidFill>
                </w14:textFill>
              </w:rPr>
              <w:t>个。</w:t>
            </w:r>
          </w:p>
        </w:tc>
      </w:tr>
      <w:tr w14:paraId="52B1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7733EF6D">
            <w:pPr>
              <w:pStyle w:val="41"/>
              <w:spacing w:line="240" w:lineRule="auto"/>
              <w:ind w:firstLineChars="0"/>
              <w:rPr>
                <w:rFonts w:ascii="Times New Roman" w:hAnsi="Times New Roman"/>
                <w:color w:val="000000" w:themeColor="text1"/>
                <w:kern w:val="2"/>
                <w:sz w:val="2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1E751C37">
            <w:pPr>
              <w:pStyle w:val="40"/>
              <w:widowControl/>
              <w:rPr>
                <w:b w:val="0"/>
                <w:color w:val="000000" w:themeColor="text1"/>
                <w:szCs w:val="21"/>
                <w14:textFill>
                  <w14:solidFill>
                    <w14:schemeClr w14:val="tx1"/>
                  </w14:solidFill>
                </w14:textFill>
              </w:rPr>
            </w:pPr>
            <w:r>
              <w:rPr>
                <w:b w:val="0"/>
                <w:color w:val="000000" w:themeColor="text1"/>
                <w:szCs w:val="21"/>
                <w14:textFill>
                  <w14:solidFill>
                    <w14:schemeClr w14:val="tx1"/>
                  </w14:solidFill>
                </w14:textFill>
              </w:rPr>
              <w:t>塔基施工场地</w:t>
            </w:r>
          </w:p>
        </w:tc>
        <w:tc>
          <w:tcPr>
            <w:tcW w:w="3269" w:type="pct"/>
            <w:shd w:val="clear" w:color="auto" w:fill="auto"/>
            <w:tcMar>
              <w:top w:w="0" w:type="dxa"/>
              <w:left w:w="57" w:type="dxa"/>
              <w:bottom w:w="0" w:type="dxa"/>
              <w:right w:w="57" w:type="dxa"/>
            </w:tcMar>
            <w:vAlign w:val="center"/>
          </w:tcPr>
          <w:p w14:paraId="0DC827F3">
            <w:pPr>
              <w:pStyle w:val="40"/>
              <w:widowControl/>
              <w:rPr>
                <w:b w:val="0"/>
                <w:color w:val="000000" w:themeColor="text1"/>
                <w:szCs w:val="21"/>
                <w14:textFill>
                  <w14:solidFill>
                    <w14:schemeClr w14:val="tx1"/>
                  </w14:solidFill>
                </w14:textFill>
              </w:rPr>
            </w:pPr>
            <w:r>
              <w:rPr>
                <w:b w:val="0"/>
                <w:color w:val="000000" w:themeColor="text1"/>
                <w:szCs w:val="21"/>
                <w14:textFill>
                  <w14:solidFill>
                    <w14:schemeClr w14:val="tx1"/>
                  </w14:solidFill>
                </w14:textFill>
              </w:rPr>
              <w:t>塔基施工场地</w:t>
            </w:r>
            <w:r>
              <w:rPr>
                <w:rFonts w:hint="eastAsia"/>
                <w:b w:val="0"/>
                <w:color w:val="000000" w:themeColor="text1"/>
                <w:szCs w:val="21"/>
                <w14:textFill>
                  <w14:solidFill>
                    <w14:schemeClr w14:val="tx1"/>
                  </w14:solidFill>
                </w14:textFill>
              </w:rPr>
              <w:t>8</w:t>
            </w:r>
            <w:r>
              <w:rPr>
                <w:rFonts w:hint="eastAsia"/>
                <w:b w:val="0"/>
                <w:color w:val="000000" w:themeColor="text1"/>
                <w:szCs w:val="21"/>
                <w:lang w:val="en-US" w:eastAsia="zh-CN"/>
                <w14:textFill>
                  <w14:solidFill>
                    <w14:schemeClr w14:val="tx1"/>
                  </w14:solidFill>
                </w14:textFill>
              </w:rPr>
              <w:t>4</w:t>
            </w:r>
            <w:r>
              <w:rPr>
                <w:b w:val="0"/>
                <w:color w:val="000000" w:themeColor="text1"/>
                <w:szCs w:val="21"/>
                <w14:textFill>
                  <w14:solidFill>
                    <w14:schemeClr w14:val="tx1"/>
                  </w14:solidFill>
                </w14:textFill>
              </w:rPr>
              <w:t>座。</w:t>
            </w:r>
          </w:p>
        </w:tc>
      </w:tr>
      <w:tr w14:paraId="67B3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vMerge w:val="continue"/>
            <w:tcMar>
              <w:top w:w="0" w:type="dxa"/>
              <w:left w:w="57" w:type="dxa"/>
              <w:bottom w:w="0" w:type="dxa"/>
              <w:right w:w="57" w:type="dxa"/>
            </w:tcMar>
            <w:vAlign w:val="center"/>
          </w:tcPr>
          <w:p w14:paraId="777FF76D">
            <w:pPr>
              <w:pStyle w:val="41"/>
              <w:spacing w:line="240" w:lineRule="auto"/>
              <w:ind w:firstLineChars="0"/>
              <w:rPr>
                <w:rFonts w:ascii="Times New Roman" w:hAnsi="Times New Roman"/>
                <w:color w:val="000000" w:themeColor="text1"/>
                <w:kern w:val="2"/>
                <w:sz w:val="21"/>
                <w14:textFill>
                  <w14:solidFill>
                    <w14:schemeClr w14:val="tx1"/>
                  </w14:solidFill>
                </w14:textFill>
              </w:rPr>
            </w:pPr>
          </w:p>
        </w:tc>
        <w:tc>
          <w:tcPr>
            <w:tcW w:w="985" w:type="pct"/>
            <w:shd w:val="clear" w:color="auto" w:fill="auto"/>
            <w:tcMar>
              <w:top w:w="0" w:type="dxa"/>
              <w:left w:w="57" w:type="dxa"/>
              <w:bottom w:w="0" w:type="dxa"/>
              <w:right w:w="57" w:type="dxa"/>
            </w:tcMar>
            <w:vAlign w:val="center"/>
          </w:tcPr>
          <w:p w14:paraId="03441347">
            <w:pPr>
              <w:pStyle w:val="40"/>
              <w:widowControl/>
              <w:rPr>
                <w:b w:val="0"/>
                <w:color w:val="000000" w:themeColor="text1"/>
                <w:szCs w:val="21"/>
                <w14:textFill>
                  <w14:solidFill>
                    <w14:schemeClr w14:val="tx1"/>
                  </w14:solidFill>
                </w14:textFill>
              </w:rPr>
            </w:pPr>
            <w:r>
              <w:rPr>
                <w:b w:val="0"/>
                <w:color w:val="000000" w:themeColor="text1"/>
                <w:szCs w:val="21"/>
                <w14:textFill>
                  <w14:solidFill>
                    <w14:schemeClr w14:val="tx1"/>
                  </w14:solidFill>
                </w14:textFill>
              </w:rPr>
              <w:t>施工营地和材料站</w:t>
            </w:r>
          </w:p>
        </w:tc>
        <w:tc>
          <w:tcPr>
            <w:tcW w:w="3269" w:type="pct"/>
            <w:shd w:val="clear" w:color="auto" w:fill="auto"/>
            <w:tcMar>
              <w:top w:w="0" w:type="dxa"/>
              <w:left w:w="57" w:type="dxa"/>
              <w:bottom w:w="0" w:type="dxa"/>
              <w:right w:w="57" w:type="dxa"/>
            </w:tcMar>
            <w:vAlign w:val="center"/>
          </w:tcPr>
          <w:p w14:paraId="65A435E0">
            <w:pPr>
              <w:pStyle w:val="40"/>
              <w:widowControl/>
              <w:rPr>
                <w:b w:val="0"/>
                <w:color w:val="000000" w:themeColor="text1"/>
                <w:szCs w:val="21"/>
                <w14:textFill>
                  <w14:solidFill>
                    <w14:schemeClr w14:val="tx1"/>
                  </w14:solidFill>
                </w14:textFill>
              </w:rPr>
            </w:pPr>
            <w:r>
              <w:rPr>
                <w:b w:val="0"/>
                <w:color w:val="000000" w:themeColor="text1"/>
                <w:szCs w:val="21"/>
                <w14:textFill>
                  <w14:solidFill>
                    <w14:schemeClr w14:val="tx1"/>
                  </w14:solidFill>
                </w14:textFill>
              </w:rPr>
              <w:t>本项目拟建</w:t>
            </w:r>
            <w:r>
              <w:rPr>
                <w:rFonts w:hint="eastAsia"/>
                <w:b w:val="0"/>
                <w:color w:val="000000" w:themeColor="text1"/>
                <w:szCs w:val="21"/>
                <w14:textFill>
                  <w14:solidFill>
                    <w14:schemeClr w14:val="tx1"/>
                  </w14:solidFill>
                </w14:textFill>
              </w:rPr>
              <w:t>1</w:t>
            </w:r>
            <w:r>
              <w:rPr>
                <w:b w:val="0"/>
                <w:color w:val="000000" w:themeColor="text1"/>
                <w:szCs w:val="21"/>
                <w14:textFill>
                  <w14:solidFill>
                    <w14:schemeClr w14:val="tx1"/>
                  </w14:solidFill>
                </w14:textFill>
              </w:rPr>
              <w:t>处施工营地、材料站</w:t>
            </w:r>
            <w:r>
              <w:rPr>
                <w:rFonts w:hint="eastAsia"/>
                <w:b w:val="0"/>
                <w:color w:val="000000" w:themeColor="text1"/>
                <w:szCs w:val="21"/>
                <w14:textFill>
                  <w14:solidFill>
                    <w14:schemeClr w14:val="tx1"/>
                  </w14:solidFill>
                </w14:textFill>
              </w:rPr>
              <w:t>，位于</w:t>
            </w:r>
            <w:r>
              <w:rPr>
                <w:b w:val="0"/>
                <w:bCs/>
                <w:color w:val="000000" w:themeColor="text1"/>
                <w14:textFill>
                  <w14:solidFill>
                    <w14:schemeClr w14:val="tx1"/>
                  </w14:solidFill>
                </w14:textFill>
              </w:rPr>
              <w:t>终点若羌±800kV换流站</w:t>
            </w:r>
            <w:r>
              <w:rPr>
                <w:rFonts w:hint="eastAsia"/>
                <w:b w:val="0"/>
                <w:bCs/>
                <w:color w:val="000000" w:themeColor="text1"/>
                <w14:textFill>
                  <w14:solidFill>
                    <w14:schemeClr w14:val="tx1"/>
                  </w14:solidFill>
                </w14:textFill>
              </w:rPr>
              <w:t>附近</w:t>
            </w:r>
            <w:r>
              <w:rPr>
                <w:b w:val="0"/>
                <w:bCs/>
                <w:color w:val="000000" w:themeColor="text1"/>
                <w:szCs w:val="21"/>
                <w14:textFill>
                  <w14:solidFill>
                    <w14:schemeClr w14:val="tx1"/>
                  </w14:solidFill>
                </w14:textFill>
              </w:rPr>
              <w:t>。</w:t>
            </w:r>
          </w:p>
        </w:tc>
      </w:tr>
      <w:tr w14:paraId="6BAB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tcMar>
              <w:top w:w="0" w:type="dxa"/>
              <w:left w:w="57" w:type="dxa"/>
              <w:bottom w:w="0" w:type="dxa"/>
              <w:right w:w="57" w:type="dxa"/>
            </w:tcMar>
            <w:vAlign w:val="center"/>
          </w:tcPr>
          <w:p w14:paraId="756F254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占地面积</w:t>
            </w:r>
          </w:p>
        </w:tc>
        <w:tc>
          <w:tcPr>
            <w:tcW w:w="4254" w:type="pct"/>
            <w:gridSpan w:val="2"/>
            <w:tcMar>
              <w:top w:w="0" w:type="dxa"/>
              <w:left w:w="57" w:type="dxa"/>
              <w:bottom w:w="0" w:type="dxa"/>
              <w:right w:w="57" w:type="dxa"/>
            </w:tcMar>
            <w:vAlign w:val="center"/>
          </w:tcPr>
          <w:p w14:paraId="43F6BC89">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highlight w:val="none"/>
                <w14:textFill>
                  <w14:solidFill>
                    <w14:schemeClr w14:val="tx1"/>
                  </w14:solidFill>
                </w14:textFill>
              </w:rPr>
              <w:t>本项目总占地</w:t>
            </w:r>
            <w:r>
              <w:rPr>
                <w:rFonts w:ascii="Times New Roman" w:hAnsi="Times New Roman"/>
                <w:color w:val="000000" w:themeColor="text1"/>
                <w:kern w:val="2"/>
                <w:sz w:val="21"/>
                <w:highlight w:val="none"/>
                <w14:textFill>
                  <w14:solidFill>
                    <w14:schemeClr w14:val="tx1"/>
                  </w14:solidFill>
                </w14:textFill>
              </w:rPr>
              <w:t>面积</w:t>
            </w:r>
            <w:r>
              <w:rPr>
                <w:rFonts w:hint="eastAsia" w:ascii="Times New Roman" w:hAnsi="Times New Roman"/>
                <w:color w:val="000000" w:themeColor="text1"/>
                <w:kern w:val="2"/>
                <w:sz w:val="21"/>
                <w:highlight w:val="none"/>
                <w:lang w:eastAsia="zh-CN"/>
                <w14:textFill>
                  <w14:solidFill>
                    <w14:schemeClr w14:val="tx1"/>
                  </w14:solidFill>
                </w14:textFill>
              </w:rPr>
              <w:t>361000</w:t>
            </w:r>
            <w:r>
              <w:rPr>
                <w:rFonts w:ascii="Times New Roman" w:hAnsi="Times New Roman"/>
                <w:color w:val="000000" w:themeColor="text1"/>
                <w:kern w:val="2"/>
                <w:sz w:val="21"/>
                <w:highlight w:val="none"/>
                <w14:textFill>
                  <w14:solidFill>
                    <w14:schemeClr w14:val="tx1"/>
                  </w14:solidFill>
                </w14:textFill>
              </w:rPr>
              <w:t>m</w:t>
            </w:r>
            <w:r>
              <w:rPr>
                <w:rFonts w:ascii="Times New Roman" w:hAnsi="Times New Roman"/>
                <w:color w:val="000000" w:themeColor="text1"/>
                <w:kern w:val="2"/>
                <w:sz w:val="21"/>
                <w:highlight w:val="none"/>
                <w:vertAlign w:val="superscript"/>
                <w14:textFill>
                  <w14:solidFill>
                    <w14:schemeClr w14:val="tx1"/>
                  </w14:solidFill>
                </w14:textFill>
              </w:rPr>
              <w:t>2</w:t>
            </w:r>
            <w:r>
              <w:rPr>
                <w:rFonts w:ascii="Times New Roman" w:hAnsi="Times New Roman"/>
                <w:color w:val="000000" w:themeColor="text1"/>
                <w:kern w:val="2"/>
                <w:sz w:val="21"/>
                <w:highlight w:val="none"/>
                <w14:textFill>
                  <w14:solidFill>
                    <w14:schemeClr w14:val="tx1"/>
                  </w14:solidFill>
                </w14:textFill>
              </w:rPr>
              <w:t>，</w:t>
            </w:r>
            <w:r>
              <w:rPr>
                <w:rFonts w:hint="eastAsia" w:ascii="Times New Roman" w:hAnsi="Times New Roman"/>
                <w:color w:val="000000" w:themeColor="text1"/>
                <w:kern w:val="2"/>
                <w:sz w:val="21"/>
                <w:highlight w:val="none"/>
                <w14:textFill>
                  <w14:solidFill>
                    <w14:schemeClr w14:val="tx1"/>
                  </w14:solidFill>
                </w14:textFill>
              </w:rPr>
              <w:t>永久占地</w:t>
            </w:r>
            <w:r>
              <w:rPr>
                <w:rFonts w:hint="eastAsia" w:ascii="Times New Roman" w:hAnsi="Times New Roman"/>
                <w:color w:val="000000" w:themeColor="text1"/>
                <w:kern w:val="2"/>
                <w:sz w:val="21"/>
                <w:highlight w:val="none"/>
                <w:lang w:eastAsia="zh-CN"/>
                <w14:textFill>
                  <w14:solidFill>
                    <w14:schemeClr w14:val="tx1"/>
                  </w14:solidFill>
                </w14:textFill>
              </w:rPr>
              <w:t>26040</w:t>
            </w:r>
            <w:r>
              <w:rPr>
                <w:rFonts w:hint="eastAsia" w:ascii="Times New Roman" w:hAnsi="Times New Roman"/>
                <w:color w:val="000000" w:themeColor="text1"/>
                <w:kern w:val="2"/>
                <w:sz w:val="21"/>
                <w:highlight w:val="none"/>
                <w14:textFill>
                  <w14:solidFill>
                    <w14:schemeClr w14:val="tx1"/>
                  </w14:solidFill>
                </w14:textFill>
              </w:rPr>
              <w:t>m</w:t>
            </w:r>
            <w:r>
              <w:rPr>
                <w:rFonts w:hint="eastAsia" w:ascii="Times New Roman" w:hAnsi="Times New Roman"/>
                <w:color w:val="000000" w:themeColor="text1"/>
                <w:kern w:val="2"/>
                <w:sz w:val="21"/>
                <w:highlight w:val="none"/>
                <w:vertAlign w:val="superscript"/>
                <w14:textFill>
                  <w14:solidFill>
                    <w14:schemeClr w14:val="tx1"/>
                  </w14:solidFill>
                </w14:textFill>
              </w:rPr>
              <w:t>2</w:t>
            </w:r>
            <w:r>
              <w:rPr>
                <w:rFonts w:hint="eastAsia" w:ascii="Times New Roman" w:hAnsi="Times New Roman"/>
                <w:color w:val="000000" w:themeColor="text1"/>
                <w:kern w:val="2"/>
                <w:sz w:val="21"/>
                <w:highlight w:val="none"/>
                <w14:textFill>
                  <w14:solidFill>
                    <w14:schemeClr w14:val="tx1"/>
                  </w14:solidFill>
                </w14:textFill>
              </w:rPr>
              <w:t>，临时占地</w:t>
            </w:r>
            <w:r>
              <w:rPr>
                <w:rFonts w:hint="eastAsia" w:ascii="Times New Roman" w:hAnsi="Times New Roman"/>
                <w:color w:val="000000" w:themeColor="text1"/>
                <w:kern w:val="2"/>
                <w:sz w:val="21"/>
                <w:highlight w:val="none"/>
                <w:lang w:eastAsia="zh-CN"/>
                <w14:textFill>
                  <w14:solidFill>
                    <w14:schemeClr w14:val="tx1"/>
                  </w14:solidFill>
                </w14:textFill>
              </w:rPr>
              <w:t>334960</w:t>
            </w:r>
            <w:r>
              <w:rPr>
                <w:rFonts w:hint="eastAsia" w:ascii="Times New Roman" w:hAnsi="Times New Roman"/>
                <w:color w:val="000000" w:themeColor="text1"/>
                <w:kern w:val="2"/>
                <w:sz w:val="21"/>
                <w:highlight w:val="none"/>
                <w14:textFill>
                  <w14:solidFill>
                    <w14:schemeClr w14:val="tx1"/>
                  </w14:solidFill>
                </w14:textFill>
              </w:rPr>
              <w:t>m</w:t>
            </w:r>
            <w:r>
              <w:rPr>
                <w:rFonts w:hint="eastAsia" w:ascii="Times New Roman" w:hAnsi="Times New Roman"/>
                <w:color w:val="000000" w:themeColor="text1"/>
                <w:kern w:val="2"/>
                <w:sz w:val="21"/>
                <w:highlight w:val="none"/>
                <w:vertAlign w:val="superscript"/>
                <w14:textFill>
                  <w14:solidFill>
                    <w14:schemeClr w14:val="tx1"/>
                  </w14:solidFill>
                </w14:textFill>
              </w:rPr>
              <w:t>2</w:t>
            </w:r>
            <w:r>
              <w:rPr>
                <w:rFonts w:ascii="Times New Roman" w:hAnsi="Times New Roman"/>
                <w:color w:val="000000" w:themeColor="text1"/>
                <w:kern w:val="2"/>
                <w:sz w:val="21"/>
                <w:highlight w:val="none"/>
                <w14:textFill>
                  <w14:solidFill>
                    <w14:schemeClr w14:val="tx1"/>
                  </w14:solidFill>
                </w14:textFill>
              </w:rPr>
              <w:t>。</w:t>
            </w:r>
          </w:p>
        </w:tc>
      </w:tr>
      <w:tr w14:paraId="0E39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tcMar>
              <w:top w:w="0" w:type="dxa"/>
              <w:left w:w="57" w:type="dxa"/>
              <w:bottom w:w="0" w:type="dxa"/>
              <w:right w:w="57" w:type="dxa"/>
            </w:tcMar>
            <w:vAlign w:val="center"/>
          </w:tcPr>
          <w:p w14:paraId="33D40F7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建设时间</w:t>
            </w:r>
          </w:p>
        </w:tc>
        <w:tc>
          <w:tcPr>
            <w:tcW w:w="4254" w:type="pct"/>
            <w:gridSpan w:val="2"/>
            <w:tcMar>
              <w:top w:w="0" w:type="dxa"/>
              <w:left w:w="57" w:type="dxa"/>
              <w:bottom w:w="0" w:type="dxa"/>
              <w:right w:w="57" w:type="dxa"/>
            </w:tcMar>
            <w:vAlign w:val="center"/>
          </w:tcPr>
          <w:p w14:paraId="6962CC01">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计划202</w:t>
            </w:r>
            <w:r>
              <w:rPr>
                <w:rFonts w:hint="eastAsia" w:ascii="Times New Roman" w:hAnsi="Times New Roman"/>
                <w:color w:val="000000" w:themeColor="text1"/>
                <w:kern w:val="2"/>
                <w:sz w:val="21"/>
                <w:lang w:val="en-US" w:eastAsia="zh-CN"/>
                <w14:textFill>
                  <w14:solidFill>
                    <w14:schemeClr w14:val="tx1"/>
                  </w14:solidFill>
                </w14:textFill>
              </w:rPr>
              <w:t>6</w:t>
            </w:r>
            <w:r>
              <w:rPr>
                <w:rFonts w:ascii="Times New Roman" w:hAnsi="Times New Roman"/>
                <w:color w:val="000000" w:themeColor="text1"/>
                <w:kern w:val="2"/>
                <w:sz w:val="21"/>
                <w14:textFill>
                  <w14:solidFill>
                    <w14:schemeClr w14:val="tx1"/>
                  </w14:solidFill>
                </w14:textFill>
              </w:rPr>
              <w:t>年</w:t>
            </w:r>
            <w:r>
              <w:rPr>
                <w:rFonts w:hint="eastAsia" w:ascii="Times New Roman" w:hAnsi="Times New Roman"/>
                <w:color w:val="000000" w:themeColor="text1"/>
                <w:kern w:val="2"/>
                <w:sz w:val="21"/>
                <w:lang w:val="en-US" w:eastAsia="zh-CN"/>
                <w14:textFill>
                  <w14:solidFill>
                    <w14:schemeClr w14:val="tx1"/>
                  </w14:solidFill>
                </w14:textFill>
              </w:rPr>
              <w:t>11月</w:t>
            </w:r>
            <w:r>
              <w:rPr>
                <w:rFonts w:ascii="Times New Roman" w:hAnsi="Times New Roman"/>
                <w:color w:val="000000" w:themeColor="text1"/>
                <w:kern w:val="2"/>
                <w:sz w:val="21"/>
                <w14:textFill>
                  <w14:solidFill>
                    <w14:schemeClr w14:val="tx1"/>
                  </w14:solidFill>
                </w14:textFill>
              </w:rPr>
              <w:t>开始建设</w:t>
            </w:r>
            <w:r>
              <w:rPr>
                <w:rFonts w:hint="eastAsia" w:ascii="Times New Roman" w:hAnsi="Times New Roman"/>
                <w:color w:val="000000" w:themeColor="text1"/>
                <w:kern w:val="2"/>
                <w:sz w:val="21"/>
                <w14:textFill>
                  <w14:solidFill>
                    <w14:schemeClr w14:val="tx1"/>
                  </w14:solidFill>
                </w14:textFill>
              </w:rPr>
              <w:t>，202</w:t>
            </w:r>
            <w:r>
              <w:rPr>
                <w:rFonts w:hint="eastAsia" w:ascii="Times New Roman" w:hAnsi="Times New Roman"/>
                <w:color w:val="000000" w:themeColor="text1"/>
                <w:kern w:val="2"/>
                <w:sz w:val="21"/>
                <w:lang w:val="en-US" w:eastAsia="zh-CN"/>
                <w14:textFill>
                  <w14:solidFill>
                    <w14:schemeClr w14:val="tx1"/>
                  </w14:solidFill>
                </w14:textFill>
              </w:rPr>
              <w:t>8</w:t>
            </w:r>
            <w:r>
              <w:rPr>
                <w:rFonts w:hint="eastAsia" w:ascii="Times New Roman" w:hAnsi="Times New Roman"/>
                <w:color w:val="000000" w:themeColor="text1"/>
                <w:kern w:val="2"/>
                <w:sz w:val="21"/>
                <w14:textFill>
                  <w14:solidFill>
                    <w14:schemeClr w14:val="tx1"/>
                  </w14:solidFill>
                </w14:textFill>
              </w:rPr>
              <w:t>年</w:t>
            </w:r>
            <w:r>
              <w:rPr>
                <w:rFonts w:hint="eastAsia" w:ascii="Times New Roman" w:hAnsi="Times New Roman"/>
                <w:color w:val="000000" w:themeColor="text1"/>
                <w:kern w:val="2"/>
                <w:sz w:val="21"/>
                <w:lang w:val="en-US" w:eastAsia="zh-CN"/>
                <w14:textFill>
                  <w14:solidFill>
                    <w14:schemeClr w14:val="tx1"/>
                  </w14:solidFill>
                </w14:textFill>
              </w:rPr>
              <w:t>1月</w:t>
            </w:r>
            <w:r>
              <w:rPr>
                <w:rFonts w:hint="eastAsia" w:ascii="Times New Roman" w:hAnsi="Times New Roman"/>
                <w:color w:val="000000" w:themeColor="text1"/>
                <w:kern w:val="2"/>
                <w:sz w:val="21"/>
                <w14:textFill>
                  <w14:solidFill>
                    <w14:schemeClr w14:val="tx1"/>
                  </w14:solidFill>
                </w14:textFill>
              </w:rPr>
              <w:t>正式建成投产。</w:t>
            </w:r>
          </w:p>
        </w:tc>
      </w:tr>
      <w:tr w14:paraId="595B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45" w:type="pct"/>
            <w:tcMar>
              <w:top w:w="0" w:type="dxa"/>
              <w:left w:w="57" w:type="dxa"/>
              <w:bottom w:w="0" w:type="dxa"/>
              <w:right w:w="57" w:type="dxa"/>
            </w:tcMar>
            <w:vAlign w:val="center"/>
          </w:tcPr>
          <w:p w14:paraId="4448B70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投资</w:t>
            </w:r>
          </w:p>
        </w:tc>
        <w:tc>
          <w:tcPr>
            <w:tcW w:w="4254" w:type="pct"/>
            <w:gridSpan w:val="2"/>
            <w:tcMar>
              <w:top w:w="0" w:type="dxa"/>
              <w:left w:w="57" w:type="dxa"/>
              <w:bottom w:w="0" w:type="dxa"/>
              <w:right w:w="57" w:type="dxa"/>
            </w:tcMar>
            <w:vAlign w:val="center"/>
          </w:tcPr>
          <w:p w14:paraId="34A281D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highlight w:val="none"/>
                <w:lang w:eastAsia="zh-CN"/>
                <w14:textFill>
                  <w14:solidFill>
                    <w14:schemeClr w14:val="tx1"/>
                  </w14:solidFill>
                </w14:textFill>
              </w:rPr>
              <w:t>14162万元</w:t>
            </w:r>
            <w:r>
              <w:rPr>
                <w:rFonts w:ascii="Times New Roman" w:hAnsi="Times New Roman"/>
                <w:color w:val="000000" w:themeColor="text1"/>
                <w:kern w:val="2"/>
                <w:sz w:val="21"/>
                <w:highlight w:val="none"/>
                <w14:textFill>
                  <w14:solidFill>
                    <w14:schemeClr w14:val="tx1"/>
                  </w14:solidFill>
                </w14:textFill>
              </w:rPr>
              <w:t>（</w:t>
            </w:r>
            <w:r>
              <w:rPr>
                <w:rFonts w:hint="eastAsia" w:ascii="Times New Roman" w:hAnsi="Times New Roman"/>
                <w:color w:val="000000" w:themeColor="text1"/>
                <w:kern w:val="2"/>
                <w:sz w:val="21"/>
                <w:highlight w:val="none"/>
                <w14:textFill>
                  <w14:solidFill>
                    <w14:schemeClr w14:val="tx1"/>
                  </w14:solidFill>
                </w14:textFill>
              </w:rPr>
              <w:t>动</w:t>
            </w:r>
            <w:r>
              <w:rPr>
                <w:rFonts w:ascii="Times New Roman" w:hAnsi="Times New Roman"/>
                <w:color w:val="000000" w:themeColor="text1"/>
                <w:kern w:val="2"/>
                <w:sz w:val="21"/>
                <w:highlight w:val="none"/>
                <w14:textFill>
                  <w14:solidFill>
                    <w14:schemeClr w14:val="tx1"/>
                  </w14:solidFill>
                </w14:textFill>
              </w:rPr>
              <w:t>态总投资）</w:t>
            </w:r>
            <w:r>
              <w:rPr>
                <w:rFonts w:hint="eastAsia" w:ascii="Times New Roman" w:hAnsi="Times New Roman"/>
                <w:color w:val="000000" w:themeColor="text1"/>
                <w:kern w:val="2"/>
                <w:sz w:val="21"/>
                <w:highlight w:val="none"/>
                <w14:textFill>
                  <w14:solidFill>
                    <w14:schemeClr w14:val="tx1"/>
                  </w14:solidFill>
                </w14:textFill>
              </w:rPr>
              <w:t>，</w:t>
            </w:r>
            <w:r>
              <w:rPr>
                <w:rFonts w:hint="eastAsia" w:ascii="Times New Roman" w:hAnsi="Times New Roman"/>
                <w:color w:val="000000" w:themeColor="text1"/>
                <w:kern w:val="2"/>
                <w:sz w:val="21"/>
                <w14:textFill>
                  <w14:solidFill>
                    <w14:schemeClr w14:val="tx1"/>
                  </w14:solidFill>
                </w14:textFill>
              </w:rPr>
              <w:t>其中环保投资140万元，占总投资的</w:t>
            </w:r>
            <w:r>
              <w:rPr>
                <w:rFonts w:hint="eastAsia" w:ascii="Times New Roman" w:hAnsi="Times New Roman"/>
                <w:color w:val="000000" w:themeColor="text1"/>
                <w:kern w:val="2"/>
                <w:sz w:val="21"/>
                <w:lang w:eastAsia="zh-CN"/>
                <w14:textFill>
                  <w14:solidFill>
                    <w14:schemeClr w14:val="tx1"/>
                  </w14:solidFill>
                </w14:textFill>
              </w:rPr>
              <w:t>0.99%</w:t>
            </w:r>
            <w:r>
              <w:rPr>
                <w:rFonts w:hint="eastAsia" w:ascii="Times New Roman" w:hAnsi="Times New Roman"/>
                <w:color w:val="000000" w:themeColor="text1"/>
                <w:kern w:val="2"/>
                <w:sz w:val="21"/>
                <w14:textFill>
                  <w14:solidFill>
                    <w14:schemeClr w14:val="tx1"/>
                  </w14:solidFill>
                </w14:textFill>
              </w:rPr>
              <w:t>。</w:t>
            </w:r>
          </w:p>
        </w:tc>
      </w:tr>
    </w:tbl>
    <w:p w14:paraId="226F777A">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461" w:name="_Toc28012"/>
      <w:bookmarkStart w:id="462" w:name="_Toc7159"/>
      <w:bookmarkStart w:id="463" w:name="_Toc19301"/>
      <w:bookmarkStart w:id="464" w:name="_Toc20540"/>
      <w:bookmarkStart w:id="465" w:name="_Toc2344"/>
      <w:bookmarkStart w:id="466" w:name="_Toc4370"/>
      <w:bookmarkStart w:id="467" w:name="_Toc28349"/>
      <w:bookmarkStart w:id="468" w:name="_Toc29332"/>
      <w:bookmarkStart w:id="469" w:name="_Toc17400"/>
      <w:bookmarkStart w:id="470" w:name="_Toc8965"/>
      <w:bookmarkStart w:id="471" w:name="_Toc5376"/>
      <w:r>
        <w:rPr>
          <w:rFonts w:hint="eastAsia"/>
          <w:color w:val="000000" w:themeColor="text1"/>
          <w:sz w:val="28"/>
          <w:szCs w:val="28"/>
          <w14:textFill>
            <w14:solidFill>
              <w14:schemeClr w14:val="tx1"/>
            </w14:solidFill>
          </w14:textFill>
        </w:rPr>
        <w:t>3.1.2若羌火电厂-若羌±800kV换流站750千伏线路工程</w:t>
      </w:r>
    </w:p>
    <w:p w14:paraId="29475A50">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3.1.2.1地理位置</w:t>
      </w:r>
    </w:p>
    <w:p w14:paraId="3160847B">
      <w:pPr>
        <w:ind w:firstLine="480"/>
        <w:rPr>
          <w:color w:val="000000" w:themeColor="text1"/>
          <w:highlight w:val="green"/>
          <w14:textFill>
            <w14:solidFill>
              <w14:schemeClr w14:val="tx1"/>
            </w14:solidFill>
          </w14:textFill>
        </w:rPr>
      </w:pPr>
      <w:r>
        <w:rPr>
          <w:rFonts w:hint="eastAsia"/>
          <w:color w:val="000000" w:themeColor="text1"/>
          <w14:textFill>
            <w14:solidFill>
              <w14:schemeClr w14:val="tx1"/>
            </w14:solidFill>
          </w14:textFill>
        </w:rPr>
        <w:t>本工程全线位于新疆维吾尔自治区巴音郭楞蒙古自治州若羌县。线</w:t>
      </w:r>
      <w:r>
        <w:rPr>
          <w:color w:val="000000" w:themeColor="text1"/>
          <w14:textFill>
            <w14:solidFill>
              <w14:schemeClr w14:val="tx1"/>
            </w14:solidFill>
          </w14:textFill>
        </w:rPr>
        <w:t>路起点位于若羌火电厂，地理坐标：E88°31′33.822″，N38°58′0.600″；终点位于若羌±800kV换流站，地理坐标：E88°25′40.839″，N39°0′8.077″。</w:t>
      </w:r>
      <w:r>
        <w:rPr>
          <w:rFonts w:hint="eastAsia"/>
          <w:color w:val="000000" w:themeColor="text1"/>
          <w14:textFill>
            <w14:solidFill>
              <w14:schemeClr w14:val="tx1"/>
            </w14:solidFill>
          </w14:textFill>
        </w:rPr>
        <w:t>地理位置图见图3.1-1。</w:t>
      </w:r>
    </w:p>
    <w:p w14:paraId="5EC73F38">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3.1.2.2工程规模</w:t>
      </w:r>
    </w:p>
    <w:p w14:paraId="1CD12DB3">
      <w:pPr>
        <w:widowControl/>
        <w:ind w:firstLine="480"/>
        <w:jc w:val="left"/>
        <w:rPr>
          <w:rFonts w:cs="微软雅黑"/>
          <w:color w:val="000000" w:themeColor="text1"/>
          <w:kern w:val="0"/>
          <w:shd w:val="clear" w:color="auto" w:fill="FFFFFF"/>
          <w14:textFill>
            <w14:solidFill>
              <w14:schemeClr w14:val="tx1"/>
            </w14:solidFill>
          </w14:textFill>
        </w:rPr>
      </w:pPr>
      <w:r>
        <w:rPr>
          <w:rFonts w:hint="eastAsia" w:cs="微软雅黑"/>
          <w:color w:val="000000" w:themeColor="text1"/>
          <w:kern w:val="0"/>
          <w:shd w:val="clear" w:color="auto" w:fill="FFFFFF"/>
          <w14:textFill>
            <w14:solidFill>
              <w14:schemeClr w14:val="tx1"/>
            </w14:solidFill>
          </w14:textFill>
        </w:rPr>
        <w:t>本工程线路起自</w:t>
      </w:r>
      <w:r>
        <w:rPr>
          <w:rFonts w:hint="eastAsia" w:cs="微软雅黑"/>
          <w:color w:val="000000" w:themeColor="text1"/>
          <w:kern w:val="0"/>
          <w:shd w:val="clear" w:color="auto" w:fill="FFFFFF"/>
          <w:lang w:val="en-US" w:eastAsia="zh-CN"/>
          <w14:textFill>
            <w14:solidFill>
              <w14:schemeClr w14:val="tx1"/>
            </w14:solidFill>
          </w14:textFill>
        </w:rPr>
        <w:t>在</w:t>
      </w:r>
      <w:r>
        <w:rPr>
          <w:rFonts w:hint="eastAsia" w:cs="微软雅黑"/>
          <w:color w:val="000000" w:themeColor="text1"/>
          <w:kern w:val="0"/>
          <w:shd w:val="clear" w:color="auto" w:fill="FFFFFF"/>
          <w14:textFill>
            <w14:solidFill>
              <w14:schemeClr w14:val="tx1"/>
            </w14:solidFill>
          </w14:textFill>
        </w:rPr>
        <w:t>建的若羌火电厂，止于拟建的若羌±800kV换流站，新建线路折单长度38.4km（3</w:t>
      </w:r>
      <w:r>
        <w:rPr>
          <w:color w:val="000000" w:themeColor="text1"/>
          <w:kern w:val="0"/>
          <w:shd w:val="clear" w:color="auto" w:fill="FFFFFF"/>
          <w14:textFill>
            <w14:solidFill>
              <w14:schemeClr w14:val="tx1"/>
            </w14:solidFill>
          </w14:textFill>
        </w:rPr>
        <w:t>×</w:t>
      </w:r>
      <w:r>
        <w:rPr>
          <w:rFonts w:hint="eastAsia" w:cs="微软雅黑"/>
          <w:color w:val="000000" w:themeColor="text1"/>
          <w:kern w:val="0"/>
          <w:shd w:val="clear" w:color="auto" w:fill="FFFFFF"/>
          <w14:textFill>
            <w14:solidFill>
              <w14:schemeClr w14:val="tx1"/>
            </w14:solidFill>
          </w14:textFill>
        </w:rPr>
        <w:t>12.8km），其中单回路架设38.2km，同塔双回路架设2</w:t>
      </w:r>
      <w:r>
        <w:rPr>
          <w:color w:val="000000" w:themeColor="text1"/>
          <w:kern w:val="0"/>
          <w:shd w:val="clear" w:color="auto" w:fill="FFFFFF"/>
          <w14:textFill>
            <w14:solidFill>
              <w14:schemeClr w14:val="tx1"/>
            </w14:solidFill>
          </w14:textFill>
        </w:rPr>
        <w:t>×</w:t>
      </w:r>
      <w:r>
        <w:rPr>
          <w:rFonts w:hint="eastAsia" w:cs="微软雅黑"/>
          <w:color w:val="000000" w:themeColor="text1"/>
          <w:kern w:val="0"/>
          <w:shd w:val="clear" w:color="auto" w:fill="FFFFFF"/>
          <w14:textFill>
            <w14:solidFill>
              <w14:schemeClr w14:val="tx1"/>
            </w14:solidFill>
          </w14:textFill>
        </w:rPr>
        <w:t>0.1km</w:t>
      </w:r>
      <w:r>
        <w:rPr>
          <w:rFonts w:hint="eastAsia"/>
          <w:bCs/>
          <w:snapToGrid w:val="0"/>
          <w:color w:val="000000" w:themeColor="text1"/>
          <w14:textFill>
            <w14:solidFill>
              <w14:schemeClr w14:val="tx1"/>
            </w14:solidFill>
          </w14:textFill>
        </w:rPr>
        <w:t>（若羌换流站侧终端塔采用双回路角钢塔）</w:t>
      </w:r>
      <w:r>
        <w:rPr>
          <w:rFonts w:hint="eastAsia" w:cs="微软雅黑"/>
          <w:color w:val="000000" w:themeColor="text1"/>
          <w:kern w:val="0"/>
          <w:shd w:val="clear" w:color="auto" w:fill="FFFFFF"/>
          <w14:textFill>
            <w14:solidFill>
              <w14:schemeClr w14:val="tx1"/>
            </w14:solidFill>
          </w14:textFill>
        </w:rPr>
        <w:t>；</w:t>
      </w:r>
    </w:p>
    <w:p w14:paraId="1FD2E427">
      <w:pPr>
        <w:widowControl/>
        <w:ind w:firstLine="480"/>
        <w:jc w:val="left"/>
        <w:rPr>
          <w:rFonts w:cs="微软雅黑"/>
          <w:color w:val="000000" w:themeColor="text1"/>
          <w:kern w:val="0"/>
          <w:shd w:val="clear" w:color="auto" w:fill="FFFFFF"/>
          <w14:textFill>
            <w14:solidFill>
              <w14:schemeClr w14:val="tx1"/>
            </w14:solidFill>
          </w14:textFill>
        </w:rPr>
      </w:pPr>
      <w:r>
        <w:rPr>
          <w:rFonts w:hint="eastAsia" w:cs="微软雅黑"/>
          <w:color w:val="000000" w:themeColor="text1"/>
          <w:kern w:val="0"/>
          <w:shd w:val="clear" w:color="auto" w:fill="FFFFFF"/>
          <w14:textFill>
            <w14:solidFill>
              <w14:schemeClr w14:val="tx1"/>
            </w14:solidFill>
          </w14:textFill>
        </w:rPr>
        <w:t>导线：采用6</w:t>
      </w:r>
      <w:r>
        <w:rPr>
          <w:color w:val="000000" w:themeColor="text1"/>
          <w:kern w:val="0"/>
          <w:shd w:val="clear" w:color="auto" w:fill="FFFFFF"/>
          <w14:textFill>
            <w14:solidFill>
              <w14:schemeClr w14:val="tx1"/>
            </w14:solidFill>
          </w14:textFill>
        </w:rPr>
        <w:t>×</w:t>
      </w:r>
      <w:r>
        <w:rPr>
          <w:rFonts w:hint="eastAsia" w:cs="微软雅黑"/>
          <w:color w:val="000000" w:themeColor="text1"/>
          <w:kern w:val="0"/>
          <w:shd w:val="clear" w:color="auto" w:fill="FFFFFF"/>
          <w14:textFill>
            <w14:solidFill>
              <w14:schemeClr w14:val="tx1"/>
            </w14:solidFill>
          </w14:textFill>
        </w:rPr>
        <w:t>JL3/G1A-400/50钢芯高导电率铝绞线；</w:t>
      </w:r>
    </w:p>
    <w:p w14:paraId="78876184">
      <w:pPr>
        <w:ind w:firstLine="480"/>
        <w:rPr>
          <w:color w:val="000000" w:themeColor="text1"/>
          <w:sz w:val="28"/>
          <w:szCs w:val="28"/>
          <w14:textFill>
            <w14:solidFill>
              <w14:schemeClr w14:val="tx1"/>
            </w14:solidFill>
          </w14:textFill>
        </w:rPr>
      </w:pPr>
      <w:r>
        <w:rPr>
          <w:rFonts w:hint="eastAsia" w:cs="微软雅黑"/>
          <w:color w:val="000000" w:themeColor="text1"/>
          <w:kern w:val="0"/>
          <w:shd w:val="clear" w:color="auto" w:fill="FFFFFF"/>
          <w14:textFill>
            <w14:solidFill>
              <w14:schemeClr w14:val="tx1"/>
            </w14:solidFill>
          </w14:textFill>
        </w:rPr>
        <w:t>地线：每回路均为一根采用24芯OPGW-150光缆，一根采用JLB40-150铝包钢绞线，“三跨”段采用2根72芯OPGW-150光缆。</w:t>
      </w:r>
    </w:p>
    <w:p w14:paraId="7CB4EB60">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3.1.2.</w:t>
      </w:r>
      <w:r>
        <w:rPr>
          <w:rFonts w:hint="eastAsia"/>
          <w:color w:val="000000" w:themeColor="text1"/>
          <w:sz w:val="28"/>
          <w:szCs w:val="28"/>
          <w:lang w:val="en-US" w:eastAsia="zh-CN"/>
          <w14:textFill>
            <w14:solidFill>
              <w14:schemeClr w14:val="tx1"/>
            </w14:solidFill>
          </w14:textFill>
        </w:rPr>
        <w:t>3</w:t>
      </w:r>
      <w:r>
        <w:rPr>
          <w:rFonts w:hint="eastAsia"/>
          <w:color w:val="000000" w:themeColor="text1"/>
          <w:sz w:val="28"/>
          <w:szCs w:val="28"/>
          <w14:textFill>
            <w14:solidFill>
              <w14:schemeClr w14:val="tx1"/>
            </w14:solidFill>
          </w14:textFill>
        </w:rPr>
        <w:t>线路路径</w:t>
      </w:r>
    </w:p>
    <w:p w14:paraId="43B6CDC4">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线路从若羌火电厂750kV间隔向西出线，3回线路均采用</w:t>
      </w:r>
      <w:r>
        <w:rPr>
          <w:rFonts w:hint="eastAsia"/>
          <w:color w:val="000000" w:themeColor="text1"/>
          <w:kern w:val="0"/>
          <w:lang w:bidi="ar"/>
          <w14:textFill>
            <w14:solidFill>
              <w14:schemeClr w14:val="tx1"/>
            </w14:solidFill>
          </w14:textFill>
        </w:rPr>
        <w:t>并行</w:t>
      </w:r>
      <w:r>
        <w:rPr>
          <w:color w:val="000000" w:themeColor="text1"/>
          <w:kern w:val="0"/>
          <w:lang w:bidi="ar"/>
          <w14:textFill>
            <w14:solidFill>
              <w14:schemeClr w14:val="tx1"/>
            </w14:solidFill>
          </w14:textFill>
        </w:rPr>
        <w:t>单回路终端塔向西出线。线路向西走线约1.2</w:t>
      </w:r>
      <w:r>
        <w:rPr>
          <w:rFonts w:hint="eastAsia"/>
          <w:color w:val="000000" w:themeColor="text1"/>
          <w:kern w:val="0"/>
          <w:lang w:bidi="ar"/>
          <w14:textFill>
            <w14:solidFill>
              <w14:schemeClr w14:val="tx1"/>
            </w14:solidFill>
          </w14:textFill>
        </w:rPr>
        <w:t>km</w:t>
      </w:r>
      <w:r>
        <w:rPr>
          <w:color w:val="000000" w:themeColor="text1"/>
          <w:kern w:val="0"/>
          <w:lang w:bidi="ar"/>
          <w14:textFill>
            <w14:solidFill>
              <w14:schemeClr w14:val="tx1"/>
            </w14:solidFill>
          </w14:textFill>
        </w:rPr>
        <w:t>后，3线路向北至密集电力廊道南侧后，向北跨越7条电力线路廊道</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依次为：110千伏立新布南风一线、110kV中广核布南风一二线、110kV中核布南风一二线、220kV塔东泽二线、220kV塔东泽一线、110千伏塔东米牵一线、110千伏塔东米牵二线</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，线路向西北走线跨越格库铁路以及在建罗若铁路，继续西北走线，跨越G0612西和高速以及G315国道后，3回平行线路左转西，线路平行G315国道走线约4.4</w:t>
      </w:r>
      <w:r>
        <w:rPr>
          <w:rFonts w:hint="eastAsia"/>
          <w:color w:val="000000" w:themeColor="text1"/>
          <w:kern w:val="0"/>
          <w:lang w:bidi="ar"/>
          <w14:textFill>
            <w14:solidFill>
              <w14:schemeClr w14:val="tx1"/>
            </w14:solidFill>
          </w14:textFill>
        </w:rPr>
        <w:t>km</w:t>
      </w:r>
      <w:r>
        <w:rPr>
          <w:color w:val="000000" w:themeColor="text1"/>
          <w:kern w:val="0"/>
          <w:lang w:bidi="ar"/>
          <w14:textFill>
            <w14:solidFill>
              <w14:schemeClr w14:val="tx1"/>
            </w14:solidFill>
          </w14:textFill>
        </w:rPr>
        <w:t>，在若羌换流站南侧跨越换流站进站道路，线路右转往北，跨越6条地埋光缆以及110kV塔东六一线后接入若羌换流站</w:t>
      </w:r>
      <w:r>
        <w:rPr>
          <w:rFonts w:hint="eastAsia"/>
          <w:color w:val="000000" w:themeColor="text1"/>
          <w:kern w:val="0"/>
          <w:lang w:eastAsia="zh-CN" w:bidi="ar"/>
          <w14:textFill>
            <w14:solidFill>
              <w14:schemeClr w14:val="tx1"/>
            </w14:solidFill>
          </w14:textFill>
        </w:rPr>
        <w:t>，若羌换流站侧终端塔采用双回路角钢塔</w:t>
      </w:r>
      <w:r>
        <w:rPr>
          <w:color w:val="000000" w:themeColor="text1"/>
          <w:kern w:val="0"/>
          <w:lang w:bidi="ar"/>
          <w14:textFill>
            <w14:solidFill>
              <w14:schemeClr w14:val="tx1"/>
            </w14:solidFill>
          </w14:textFill>
        </w:rPr>
        <w:t>。</w:t>
      </w:r>
    </w:p>
    <w:p w14:paraId="5700B6D6">
      <w:pPr>
        <w:widowControl/>
        <w:ind w:firstLine="480"/>
        <w:jc w:val="left"/>
        <w:rPr>
          <w:color w:val="000000" w:themeColor="text1"/>
          <w:highlight w:val="green"/>
          <w14:textFill>
            <w14:solidFill>
              <w14:schemeClr w14:val="tx1"/>
            </w14:solidFill>
          </w14:textFill>
        </w:rPr>
      </w:pPr>
      <w:r>
        <w:rPr>
          <w:color w:val="000000" w:themeColor="text1"/>
          <w:kern w:val="0"/>
          <w:lang w:bidi="ar"/>
          <w14:textFill>
            <w14:solidFill>
              <w14:schemeClr w14:val="tx1"/>
            </w14:solidFill>
          </w14:textFill>
        </w:rPr>
        <w:t>新建线路长度为3×12.8km，航空线距离为9.7km，曲折系数1.32；线路途经巴州若羌县境内。线路路径示意图见图</w:t>
      </w:r>
      <w:r>
        <w:rPr>
          <w:rFonts w:hint="eastAsia"/>
          <w:color w:val="000000" w:themeColor="text1"/>
          <w:kern w:val="0"/>
          <w:lang w:bidi="ar"/>
          <w14:textFill>
            <w14:solidFill>
              <w14:schemeClr w14:val="tx1"/>
            </w14:solidFill>
          </w14:textFill>
        </w:rPr>
        <w:t>3.1-2</w:t>
      </w:r>
      <w:r>
        <w:rPr>
          <w:color w:val="000000" w:themeColor="text1"/>
          <w:kern w:val="0"/>
          <w:lang w:bidi="ar"/>
          <w14:textFill>
            <w14:solidFill>
              <w14:schemeClr w14:val="tx1"/>
            </w14:solidFill>
          </w14:textFill>
        </w:rPr>
        <w:t>。</w:t>
      </w:r>
    </w:p>
    <w:p w14:paraId="51731964">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3.1.2.</w:t>
      </w:r>
      <w:r>
        <w:rPr>
          <w:rFonts w:hint="eastAsia"/>
          <w:color w:val="000000" w:themeColor="text1"/>
          <w:sz w:val="28"/>
          <w:szCs w:val="28"/>
          <w:lang w:val="en-US" w:eastAsia="zh-CN"/>
          <w14:textFill>
            <w14:solidFill>
              <w14:schemeClr w14:val="tx1"/>
            </w14:solidFill>
          </w14:textFill>
        </w:rPr>
        <w:t>4</w:t>
      </w:r>
      <w:r>
        <w:rPr>
          <w:rFonts w:hint="eastAsia"/>
          <w:color w:val="000000" w:themeColor="text1"/>
          <w:sz w:val="28"/>
          <w:szCs w:val="28"/>
          <w14:textFill>
            <w14:solidFill>
              <w14:schemeClr w14:val="tx1"/>
            </w14:solidFill>
          </w14:textFill>
        </w:rPr>
        <w:t>线路交叉跨越情况</w:t>
      </w:r>
    </w:p>
    <w:p w14:paraId="47A1EF83">
      <w:pPr>
        <w:widowControl/>
        <w:ind w:firstLine="480"/>
        <w:jc w:val="left"/>
        <w:rPr>
          <w:color w:val="000000" w:themeColor="text1"/>
          <w14:textFill>
            <w14:solidFill>
              <w14:schemeClr w14:val="tx1"/>
            </w14:solidFill>
          </w14:textFill>
        </w:rPr>
      </w:pPr>
      <w:r>
        <w:rPr>
          <w:rFonts w:ascii="瀹嬩綋" w:hAnsi="瀹嬩綋" w:eastAsia="瀹嬩綋" w:cs="瀹嬩綋"/>
          <w:color w:val="000000" w:themeColor="text1"/>
          <w:kern w:val="0"/>
          <w:lang w:bidi="ar"/>
          <w14:textFill>
            <w14:solidFill>
              <w14:schemeClr w14:val="tx1"/>
            </w14:solidFill>
          </w14:textFill>
        </w:rPr>
        <w:t>本工程新建线路沿线主要交叉跨越见表</w:t>
      </w:r>
      <w:r>
        <w:rPr>
          <w:color w:val="000000" w:themeColor="text1"/>
          <w:kern w:val="0"/>
          <w:lang w:bidi="ar"/>
          <w14:textFill>
            <w14:solidFill>
              <w14:schemeClr w14:val="tx1"/>
            </w14:solidFill>
          </w14:textFill>
        </w:rPr>
        <w:t>3</w:t>
      </w:r>
      <w:r>
        <w:rPr>
          <w:rFonts w:hint="eastAsia"/>
          <w:color w:val="000000" w:themeColor="text1"/>
          <w:kern w:val="0"/>
          <w:lang w:bidi="ar"/>
          <w14:textFill>
            <w14:solidFill>
              <w14:schemeClr w14:val="tx1"/>
            </w14:solidFill>
          </w14:textFill>
        </w:rPr>
        <w:t>.1-2</w:t>
      </w:r>
      <w:r>
        <w:rPr>
          <w:rFonts w:ascii="瀹嬩綋" w:hAnsi="瀹嬩綋" w:eastAsia="瀹嬩綋" w:cs="瀹嬩綋"/>
          <w:color w:val="000000" w:themeColor="text1"/>
          <w:kern w:val="0"/>
          <w:lang w:bidi="ar"/>
          <w14:textFill>
            <w14:solidFill>
              <w14:schemeClr w14:val="tx1"/>
            </w14:solidFill>
          </w14:textFill>
        </w:rPr>
        <w:t>。</w:t>
      </w:r>
    </w:p>
    <w:p w14:paraId="2A6E5ACB">
      <w:pPr>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表3</w:t>
      </w:r>
      <w:r>
        <w:rPr>
          <w:rFonts w:hint="eastAsia"/>
          <w:b/>
          <w:bCs/>
          <w:color w:val="000000" w:themeColor="text1"/>
          <w:sz w:val="21"/>
          <w:szCs w:val="21"/>
          <w14:textFill>
            <w14:solidFill>
              <w14:schemeClr w14:val="tx1"/>
            </w14:solidFill>
          </w14:textFill>
        </w:rPr>
        <w:t>.1-2</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 xml:space="preserve"> </w:t>
      </w:r>
      <w:r>
        <w:rPr>
          <w:b/>
          <w:bCs/>
          <w:color w:val="000000" w:themeColor="text1"/>
          <w:sz w:val="21"/>
          <w:szCs w:val="21"/>
          <w14:textFill>
            <w14:solidFill>
              <w14:schemeClr w14:val="tx1"/>
            </w14:solidFill>
          </w14:textFill>
        </w:rPr>
        <w:t>新建线路沿线主要交叉跨越一览表</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2328"/>
        <w:gridCol w:w="1931"/>
        <w:gridCol w:w="2841"/>
      </w:tblGrid>
      <w:tr w14:paraId="405B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199" w:type="pct"/>
            <w:gridSpan w:val="2"/>
            <w:vAlign w:val="center"/>
          </w:tcPr>
          <w:p w14:paraId="669DEE4B">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交叉跨越名称</w:t>
            </w:r>
          </w:p>
        </w:tc>
        <w:tc>
          <w:tcPr>
            <w:tcW w:w="1133" w:type="pct"/>
            <w:vAlign w:val="center"/>
          </w:tcPr>
          <w:p w14:paraId="53CB9733">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单位</w:t>
            </w:r>
          </w:p>
        </w:tc>
        <w:tc>
          <w:tcPr>
            <w:tcW w:w="1667" w:type="pct"/>
            <w:vAlign w:val="center"/>
          </w:tcPr>
          <w:p w14:paraId="44746535">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次数</w:t>
            </w:r>
          </w:p>
        </w:tc>
      </w:tr>
      <w:tr w14:paraId="3070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Align w:val="center"/>
          </w:tcPr>
          <w:p w14:paraId="0DC0786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铁路</w:t>
            </w:r>
          </w:p>
        </w:tc>
        <w:tc>
          <w:tcPr>
            <w:tcW w:w="1366" w:type="pct"/>
            <w:vAlign w:val="center"/>
          </w:tcPr>
          <w:p w14:paraId="2BD7EA7A">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电气化铁路</w:t>
            </w:r>
          </w:p>
        </w:tc>
        <w:tc>
          <w:tcPr>
            <w:tcW w:w="1133" w:type="pct"/>
            <w:vAlign w:val="center"/>
          </w:tcPr>
          <w:p w14:paraId="154B02BF">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次</w:t>
            </w:r>
          </w:p>
        </w:tc>
        <w:tc>
          <w:tcPr>
            <w:tcW w:w="1667" w:type="pct"/>
            <w:vAlign w:val="center"/>
          </w:tcPr>
          <w:p w14:paraId="79B5043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6</w:t>
            </w:r>
          </w:p>
        </w:tc>
      </w:tr>
      <w:tr w14:paraId="0CA1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Merge w:val="restart"/>
            <w:vAlign w:val="center"/>
          </w:tcPr>
          <w:p w14:paraId="6FBC3E0A">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公路</w:t>
            </w:r>
          </w:p>
        </w:tc>
        <w:tc>
          <w:tcPr>
            <w:tcW w:w="1366" w:type="pct"/>
            <w:vAlign w:val="center"/>
          </w:tcPr>
          <w:p w14:paraId="23A4FC79">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高速</w:t>
            </w:r>
          </w:p>
        </w:tc>
        <w:tc>
          <w:tcPr>
            <w:tcW w:w="1133" w:type="pct"/>
            <w:vAlign w:val="center"/>
          </w:tcPr>
          <w:p w14:paraId="0B7664B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次</w:t>
            </w:r>
          </w:p>
        </w:tc>
        <w:tc>
          <w:tcPr>
            <w:tcW w:w="1667" w:type="pct"/>
            <w:vAlign w:val="center"/>
          </w:tcPr>
          <w:p w14:paraId="58032B4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3</w:t>
            </w:r>
          </w:p>
        </w:tc>
      </w:tr>
      <w:tr w14:paraId="37E9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Merge w:val="continue"/>
            <w:vAlign w:val="center"/>
          </w:tcPr>
          <w:p w14:paraId="1F36A3B1">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1366" w:type="pct"/>
            <w:vAlign w:val="center"/>
          </w:tcPr>
          <w:p w14:paraId="0E32878F">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国道</w:t>
            </w:r>
          </w:p>
        </w:tc>
        <w:tc>
          <w:tcPr>
            <w:tcW w:w="1133" w:type="pct"/>
            <w:vAlign w:val="center"/>
          </w:tcPr>
          <w:p w14:paraId="43872CA6">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次</w:t>
            </w:r>
          </w:p>
        </w:tc>
        <w:tc>
          <w:tcPr>
            <w:tcW w:w="1667" w:type="pct"/>
            <w:vAlign w:val="center"/>
          </w:tcPr>
          <w:p w14:paraId="33C8C2E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3</w:t>
            </w:r>
          </w:p>
        </w:tc>
      </w:tr>
      <w:tr w14:paraId="276B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Merge w:val="restart"/>
            <w:vAlign w:val="center"/>
          </w:tcPr>
          <w:p w14:paraId="06423257">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电力线</w:t>
            </w:r>
          </w:p>
        </w:tc>
        <w:tc>
          <w:tcPr>
            <w:tcW w:w="1366" w:type="pct"/>
            <w:vAlign w:val="center"/>
          </w:tcPr>
          <w:p w14:paraId="3491F4C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10kV电力线</w:t>
            </w:r>
          </w:p>
        </w:tc>
        <w:tc>
          <w:tcPr>
            <w:tcW w:w="1133" w:type="pct"/>
            <w:vAlign w:val="center"/>
          </w:tcPr>
          <w:p w14:paraId="5E68EAA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回</w:t>
            </w:r>
          </w:p>
        </w:tc>
        <w:tc>
          <w:tcPr>
            <w:tcW w:w="1667" w:type="pct"/>
            <w:vAlign w:val="center"/>
          </w:tcPr>
          <w:p w14:paraId="79FE2F5A">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3</w:t>
            </w:r>
          </w:p>
        </w:tc>
      </w:tr>
      <w:tr w14:paraId="6B1C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Merge w:val="continue"/>
            <w:vAlign w:val="center"/>
          </w:tcPr>
          <w:p w14:paraId="61855E71">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1366" w:type="pct"/>
            <w:vAlign w:val="center"/>
          </w:tcPr>
          <w:p w14:paraId="54850332">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35kV电力线</w:t>
            </w:r>
          </w:p>
        </w:tc>
        <w:tc>
          <w:tcPr>
            <w:tcW w:w="1133" w:type="pct"/>
            <w:vAlign w:val="center"/>
          </w:tcPr>
          <w:p w14:paraId="0DD86F75">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回</w:t>
            </w:r>
          </w:p>
        </w:tc>
        <w:tc>
          <w:tcPr>
            <w:tcW w:w="1667" w:type="pct"/>
            <w:vAlign w:val="center"/>
          </w:tcPr>
          <w:p w14:paraId="43388A4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6</w:t>
            </w:r>
          </w:p>
        </w:tc>
      </w:tr>
      <w:tr w14:paraId="3969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Merge w:val="continue"/>
            <w:vAlign w:val="center"/>
          </w:tcPr>
          <w:p w14:paraId="4FBD0FD6">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1366" w:type="pct"/>
            <w:vAlign w:val="center"/>
          </w:tcPr>
          <w:p w14:paraId="231561E1">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110kV电力线</w:t>
            </w:r>
          </w:p>
        </w:tc>
        <w:tc>
          <w:tcPr>
            <w:tcW w:w="1133" w:type="pct"/>
            <w:vAlign w:val="center"/>
          </w:tcPr>
          <w:p w14:paraId="0658C61D">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回</w:t>
            </w:r>
          </w:p>
        </w:tc>
        <w:tc>
          <w:tcPr>
            <w:tcW w:w="1667" w:type="pct"/>
            <w:vAlign w:val="center"/>
          </w:tcPr>
          <w:p w14:paraId="16B5040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18</w:t>
            </w:r>
          </w:p>
        </w:tc>
      </w:tr>
      <w:tr w14:paraId="230D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Merge w:val="continue"/>
            <w:vAlign w:val="center"/>
          </w:tcPr>
          <w:p w14:paraId="16997D95">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1366" w:type="pct"/>
            <w:vAlign w:val="center"/>
          </w:tcPr>
          <w:p w14:paraId="197370D5">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220kV电力线</w:t>
            </w:r>
          </w:p>
        </w:tc>
        <w:tc>
          <w:tcPr>
            <w:tcW w:w="1133" w:type="pct"/>
            <w:vAlign w:val="center"/>
          </w:tcPr>
          <w:p w14:paraId="7CBC5B97">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回</w:t>
            </w:r>
          </w:p>
        </w:tc>
        <w:tc>
          <w:tcPr>
            <w:tcW w:w="1667" w:type="pct"/>
            <w:vAlign w:val="center"/>
          </w:tcPr>
          <w:p w14:paraId="6112A33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6</w:t>
            </w:r>
          </w:p>
        </w:tc>
      </w:tr>
      <w:tr w14:paraId="0AA1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Merge w:val="restart"/>
            <w:vAlign w:val="center"/>
          </w:tcPr>
          <w:p w14:paraId="56A42059">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弱电线路</w:t>
            </w:r>
          </w:p>
        </w:tc>
        <w:tc>
          <w:tcPr>
            <w:tcW w:w="1366" w:type="pct"/>
            <w:vAlign w:val="center"/>
          </w:tcPr>
          <w:p w14:paraId="7179D138">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架空通信线</w:t>
            </w:r>
          </w:p>
        </w:tc>
        <w:tc>
          <w:tcPr>
            <w:tcW w:w="1133" w:type="pct"/>
            <w:vAlign w:val="center"/>
          </w:tcPr>
          <w:p w14:paraId="695C37D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次</w:t>
            </w:r>
          </w:p>
        </w:tc>
        <w:tc>
          <w:tcPr>
            <w:tcW w:w="1667" w:type="pct"/>
            <w:vAlign w:val="center"/>
          </w:tcPr>
          <w:p w14:paraId="11D745E5">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6</w:t>
            </w:r>
          </w:p>
        </w:tc>
      </w:tr>
      <w:tr w14:paraId="1BAF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33" w:type="pct"/>
            <w:vMerge w:val="continue"/>
            <w:vAlign w:val="center"/>
          </w:tcPr>
          <w:p w14:paraId="5FD4BDC9">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1366" w:type="pct"/>
            <w:vAlign w:val="center"/>
          </w:tcPr>
          <w:p w14:paraId="7F81A66D">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地埋光缆</w:t>
            </w:r>
          </w:p>
        </w:tc>
        <w:tc>
          <w:tcPr>
            <w:tcW w:w="1133" w:type="pct"/>
            <w:vAlign w:val="center"/>
          </w:tcPr>
          <w:p w14:paraId="2BDA9EB5">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次</w:t>
            </w:r>
          </w:p>
        </w:tc>
        <w:tc>
          <w:tcPr>
            <w:tcW w:w="1667" w:type="pct"/>
            <w:vAlign w:val="center"/>
          </w:tcPr>
          <w:p w14:paraId="7D074A03">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21</w:t>
            </w:r>
          </w:p>
        </w:tc>
      </w:tr>
      <w:tr w14:paraId="116A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332" w:type="pct"/>
            <w:gridSpan w:val="3"/>
            <w:vAlign w:val="center"/>
          </w:tcPr>
          <w:p w14:paraId="2D62B2D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合计</w:t>
            </w:r>
          </w:p>
        </w:tc>
        <w:tc>
          <w:tcPr>
            <w:tcW w:w="1667" w:type="pct"/>
            <w:vAlign w:val="center"/>
          </w:tcPr>
          <w:p w14:paraId="3E745EEA">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72</w:t>
            </w:r>
          </w:p>
        </w:tc>
      </w:tr>
    </w:tbl>
    <w:p w14:paraId="2C407013">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3.1.2.</w:t>
      </w:r>
      <w:r>
        <w:rPr>
          <w:rFonts w:hint="eastAsia"/>
          <w:color w:val="000000" w:themeColor="text1"/>
          <w:sz w:val="28"/>
          <w:szCs w:val="28"/>
          <w:lang w:val="en-US" w:eastAsia="zh-CN"/>
          <w14:textFill>
            <w14:solidFill>
              <w14:schemeClr w14:val="tx1"/>
            </w14:solidFill>
          </w14:textFill>
        </w:rPr>
        <w:t>5</w:t>
      </w:r>
      <w:r>
        <w:rPr>
          <w:rFonts w:hint="eastAsia"/>
          <w:color w:val="000000" w:themeColor="text1"/>
          <w:sz w:val="28"/>
          <w:szCs w:val="28"/>
          <w14:textFill>
            <w14:solidFill>
              <w14:schemeClr w14:val="tx1"/>
            </w14:solidFill>
          </w14:textFill>
        </w:rPr>
        <w:t>导线及地线</w:t>
      </w:r>
    </w:p>
    <w:p w14:paraId="3F18605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（1）导线型号及参数</w:t>
      </w:r>
    </w:p>
    <w:p w14:paraId="2534E8D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本工程新建750kV线路导线采用6×JL3/G1A-400/50钢芯高导电率铝绞线，分裂间距400mm。导线主要参数见表3.1-3。本项目导线相序及地线布置示意图见图3.1-3。</w:t>
      </w:r>
    </w:p>
    <w:p w14:paraId="79D51D8D">
      <w:pPr>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表3.1-3  导线主要参数一览表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7DCE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vAlign w:val="center"/>
          </w:tcPr>
          <w:p w14:paraId="7FDB92D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导线形式</w:t>
            </w:r>
          </w:p>
        </w:tc>
        <w:tc>
          <w:tcPr>
            <w:tcW w:w="2841" w:type="dxa"/>
            <w:vAlign w:val="center"/>
          </w:tcPr>
          <w:p w14:paraId="259C720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钢芯高导电率铝绞线</w:t>
            </w:r>
          </w:p>
        </w:tc>
      </w:tr>
      <w:tr w14:paraId="7D74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vAlign w:val="center"/>
          </w:tcPr>
          <w:p w14:paraId="778FE7BA">
            <w:pPr>
              <w:pStyle w:val="41"/>
              <w:spacing w:line="240" w:lineRule="auto"/>
              <w:ind w:left="420" w:hanging="420"/>
              <w:rPr>
                <w:rFonts w:hint="eastAsia"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导线型号</w:t>
            </w:r>
          </w:p>
        </w:tc>
        <w:tc>
          <w:tcPr>
            <w:tcW w:w="2841" w:type="dxa"/>
            <w:vAlign w:val="center"/>
          </w:tcPr>
          <w:p w14:paraId="66B9B57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JL3/G1A-400/50</w:t>
            </w:r>
          </w:p>
        </w:tc>
      </w:tr>
      <w:tr w14:paraId="333B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vAlign w:val="center"/>
          </w:tcPr>
          <w:p w14:paraId="7A085741">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分裂根数</w:t>
            </w:r>
          </w:p>
        </w:tc>
        <w:tc>
          <w:tcPr>
            <w:tcW w:w="2841" w:type="dxa"/>
            <w:vAlign w:val="center"/>
          </w:tcPr>
          <w:p w14:paraId="2D0851E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6</w:t>
            </w:r>
          </w:p>
        </w:tc>
      </w:tr>
      <w:tr w14:paraId="49B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840" w:type="dxa"/>
            <w:vMerge w:val="restart"/>
            <w:vAlign w:val="center"/>
          </w:tcPr>
          <w:p w14:paraId="2A93EB8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截面积S（mm</w:t>
            </w:r>
            <w:r>
              <w:rPr>
                <w:rFonts w:ascii="Times New Roman" w:hAnsi="Times New Roman"/>
                <w:color w:val="000000" w:themeColor="text1"/>
                <w:kern w:val="2"/>
                <w:sz w:val="21"/>
                <w:vertAlign w:val="superscript"/>
                <w14:textFill>
                  <w14:solidFill>
                    <w14:schemeClr w14:val="tx1"/>
                  </w14:solidFill>
                </w14:textFill>
              </w:rPr>
              <w:t>2</w:t>
            </w:r>
            <w:r>
              <w:rPr>
                <w:rFonts w:ascii="Times New Roman" w:hAnsi="Times New Roman"/>
                <w:color w:val="000000" w:themeColor="text1"/>
                <w:kern w:val="2"/>
                <w:sz w:val="21"/>
                <w14:textFill>
                  <w14:solidFill>
                    <w14:schemeClr w14:val="tx1"/>
                  </w14:solidFill>
                </w14:textFill>
              </w:rPr>
              <w:t>）</w:t>
            </w:r>
          </w:p>
        </w:tc>
        <w:tc>
          <w:tcPr>
            <w:tcW w:w="2841" w:type="dxa"/>
            <w:vAlign w:val="center"/>
          </w:tcPr>
          <w:p w14:paraId="4BABED01">
            <w:pPr>
              <w:pStyle w:val="41"/>
              <w:spacing w:line="240" w:lineRule="auto"/>
              <w:ind w:left="420" w:hanging="420"/>
              <w:rPr>
                <w:rFonts w:hint="eastAsia"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钢</w:t>
            </w:r>
          </w:p>
        </w:tc>
        <w:tc>
          <w:tcPr>
            <w:tcW w:w="2841" w:type="dxa"/>
            <w:vAlign w:val="center"/>
          </w:tcPr>
          <w:p w14:paraId="59DE59E2">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51.9</w:t>
            </w:r>
          </w:p>
        </w:tc>
      </w:tr>
      <w:tr w14:paraId="0CAD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840" w:type="dxa"/>
            <w:vMerge w:val="continue"/>
            <w:vAlign w:val="center"/>
          </w:tcPr>
          <w:p w14:paraId="0A135033">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841" w:type="dxa"/>
            <w:vAlign w:val="center"/>
          </w:tcPr>
          <w:p w14:paraId="0BACEF8D">
            <w:pPr>
              <w:pStyle w:val="41"/>
              <w:spacing w:line="240" w:lineRule="auto"/>
              <w:ind w:left="420" w:hanging="420"/>
              <w:rPr>
                <w:rFonts w:hint="eastAsia"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铝</w:t>
            </w:r>
          </w:p>
        </w:tc>
        <w:tc>
          <w:tcPr>
            <w:tcW w:w="2841" w:type="dxa"/>
            <w:vAlign w:val="center"/>
          </w:tcPr>
          <w:p w14:paraId="75781BFC">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400</w:t>
            </w:r>
          </w:p>
        </w:tc>
      </w:tr>
      <w:tr w14:paraId="7346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840" w:type="dxa"/>
            <w:vMerge w:val="continue"/>
            <w:vAlign w:val="center"/>
          </w:tcPr>
          <w:p w14:paraId="525E4B78">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841" w:type="dxa"/>
            <w:vAlign w:val="center"/>
          </w:tcPr>
          <w:p w14:paraId="71458CDD">
            <w:pPr>
              <w:pStyle w:val="41"/>
              <w:spacing w:line="240" w:lineRule="auto"/>
              <w:ind w:left="420" w:hanging="420"/>
              <w:rPr>
                <w:rFonts w:hint="eastAsia"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总截面</w:t>
            </w:r>
          </w:p>
        </w:tc>
        <w:tc>
          <w:tcPr>
            <w:tcW w:w="2841" w:type="dxa"/>
            <w:vAlign w:val="center"/>
          </w:tcPr>
          <w:p w14:paraId="518C8D8C">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452</w:t>
            </w:r>
          </w:p>
        </w:tc>
      </w:tr>
      <w:tr w14:paraId="09B9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vAlign w:val="center"/>
          </w:tcPr>
          <w:p w14:paraId="1ED49DF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外径（mm）</w:t>
            </w:r>
          </w:p>
        </w:tc>
        <w:tc>
          <w:tcPr>
            <w:tcW w:w="2841" w:type="dxa"/>
            <w:vAlign w:val="center"/>
          </w:tcPr>
          <w:p w14:paraId="5DBBD3C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27.6</w:t>
            </w:r>
          </w:p>
        </w:tc>
      </w:tr>
      <w:tr w14:paraId="2EE6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vAlign w:val="center"/>
          </w:tcPr>
          <w:p w14:paraId="639005BD">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单位长度质量（kg/km）</w:t>
            </w:r>
          </w:p>
        </w:tc>
        <w:tc>
          <w:tcPr>
            <w:tcW w:w="2841" w:type="dxa"/>
            <w:vAlign w:val="center"/>
          </w:tcPr>
          <w:p w14:paraId="23520FAC">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1510.3</w:t>
            </w:r>
          </w:p>
        </w:tc>
      </w:tr>
      <w:tr w14:paraId="57EA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shd w:val="clear" w:color="auto" w:fill="auto"/>
            <w:vAlign w:val="center"/>
          </w:tcPr>
          <w:p w14:paraId="19283F22">
            <w:pPr>
              <w:pStyle w:val="41"/>
              <w:spacing w:line="240" w:lineRule="auto"/>
              <w:ind w:left="420" w:leftChars="0" w:hanging="420" w:hangingChars="20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20℃直流电阻</w:t>
            </w:r>
          </w:p>
        </w:tc>
        <w:tc>
          <w:tcPr>
            <w:tcW w:w="2841" w:type="dxa"/>
            <w:shd w:val="clear" w:color="auto" w:fill="auto"/>
            <w:vAlign w:val="center"/>
          </w:tcPr>
          <w:p w14:paraId="42E01DF2">
            <w:pPr>
              <w:pStyle w:val="41"/>
              <w:spacing w:line="240" w:lineRule="auto"/>
              <w:ind w:left="420" w:leftChars="0" w:hanging="420" w:hangingChars="20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w:t>
            </w:r>
            <w:r>
              <w:rPr>
                <w:rFonts w:ascii="Times New Roman" w:hAnsi="Times New Roman"/>
                <w:color w:val="000000" w:themeColor="text1"/>
                <w:kern w:val="2"/>
                <w:sz w:val="21"/>
                <w14:textFill>
                  <w14:solidFill>
                    <w14:schemeClr w14:val="tx1"/>
                  </w14:solidFill>
                </w14:textFill>
              </w:rPr>
              <w:t>0.07</w:t>
            </w:r>
            <w:r>
              <w:rPr>
                <w:rFonts w:hint="eastAsia" w:ascii="Times New Roman" w:hAnsi="Times New Roman"/>
                <w:color w:val="000000" w:themeColor="text1"/>
                <w:kern w:val="2"/>
                <w:sz w:val="21"/>
                <w:lang w:val="en-US" w:eastAsia="zh-CN"/>
                <w14:textFill>
                  <w14:solidFill>
                    <w14:schemeClr w14:val="tx1"/>
                  </w14:solidFill>
                </w14:textFill>
              </w:rPr>
              <w:t>23</w:t>
            </w:r>
          </w:p>
        </w:tc>
      </w:tr>
      <w:tr w14:paraId="02B4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shd w:val="clear" w:color="auto" w:fill="auto"/>
            <w:vAlign w:val="center"/>
          </w:tcPr>
          <w:p w14:paraId="459F523F">
            <w:pPr>
              <w:pStyle w:val="41"/>
              <w:spacing w:line="240" w:lineRule="auto"/>
              <w:ind w:left="420" w:leftChars="0" w:hanging="420" w:hangingChars="20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额定抗拉力（KN）</w:t>
            </w:r>
          </w:p>
        </w:tc>
        <w:tc>
          <w:tcPr>
            <w:tcW w:w="2841" w:type="dxa"/>
            <w:shd w:val="clear" w:color="auto" w:fill="auto"/>
            <w:vAlign w:val="center"/>
          </w:tcPr>
          <w:p w14:paraId="2DB26834">
            <w:pPr>
              <w:pStyle w:val="41"/>
              <w:spacing w:line="240" w:lineRule="auto"/>
              <w:ind w:left="420" w:leftChars="0" w:hanging="420" w:hangingChars="200"/>
              <w:rPr>
                <w:rFonts w:hint="default" w:ascii="Times New Roman" w:hAnsi="Times New Roman"/>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≥123.04</w:t>
            </w:r>
          </w:p>
        </w:tc>
      </w:tr>
      <w:tr w14:paraId="01A4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vAlign w:val="center"/>
          </w:tcPr>
          <w:p w14:paraId="2BAE927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弹性</w:t>
            </w:r>
            <w:r>
              <w:rPr>
                <w:rFonts w:hint="eastAsia" w:ascii="Times New Roman" w:hAnsi="Times New Roman"/>
                <w:color w:val="000000" w:themeColor="text1"/>
                <w:kern w:val="2"/>
                <w:sz w:val="21"/>
                <w:lang w:val="en-US" w:eastAsia="zh-CN"/>
                <w14:textFill>
                  <w14:solidFill>
                    <w14:schemeClr w14:val="tx1"/>
                  </w14:solidFill>
                </w14:textFill>
              </w:rPr>
              <w:t>模量</w:t>
            </w:r>
            <w:r>
              <w:rPr>
                <w:rFonts w:ascii="Times New Roman" w:hAnsi="Times New Roman"/>
                <w:color w:val="000000" w:themeColor="text1"/>
                <w:kern w:val="2"/>
                <w:sz w:val="21"/>
                <w14:textFill>
                  <w14:solidFill>
                    <w14:schemeClr w14:val="tx1"/>
                  </w14:solidFill>
                </w14:textFill>
              </w:rPr>
              <w:t>（</w:t>
            </w:r>
            <w:r>
              <w:rPr>
                <w:rFonts w:hint="eastAsia" w:ascii="Times New Roman" w:hAnsi="Times New Roman"/>
                <w:color w:val="000000" w:themeColor="text1"/>
                <w:kern w:val="2"/>
                <w:sz w:val="21"/>
                <w:lang w:val="en-US" w:eastAsia="zh-CN"/>
                <w14:textFill>
                  <w14:solidFill>
                    <w14:schemeClr w14:val="tx1"/>
                  </w14:solidFill>
                </w14:textFill>
              </w:rPr>
              <w:t>G</w:t>
            </w:r>
            <w:r>
              <w:rPr>
                <w:rFonts w:ascii="Times New Roman" w:hAnsi="Times New Roman"/>
                <w:color w:val="000000" w:themeColor="text1"/>
                <w:kern w:val="2"/>
                <w:sz w:val="21"/>
                <w14:textFill>
                  <w14:solidFill>
                    <w14:schemeClr w14:val="tx1"/>
                  </w14:solidFill>
                </w14:textFill>
              </w:rPr>
              <w:t>Pa）</w:t>
            </w:r>
          </w:p>
        </w:tc>
        <w:tc>
          <w:tcPr>
            <w:tcW w:w="2841" w:type="dxa"/>
            <w:vAlign w:val="center"/>
          </w:tcPr>
          <w:p w14:paraId="6334F4E8">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69</w:t>
            </w:r>
          </w:p>
        </w:tc>
      </w:tr>
      <w:tr w14:paraId="4F0C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681" w:type="dxa"/>
            <w:gridSpan w:val="2"/>
            <w:vAlign w:val="center"/>
          </w:tcPr>
          <w:p w14:paraId="16FC4041">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线膨胀系数（</w:t>
            </w:r>
            <w:r>
              <w:rPr>
                <w:rFonts w:hint="eastAsia" w:ascii="Times New Roman" w:hAnsi="Times New Roman"/>
                <w:color w:val="000000" w:themeColor="text1"/>
                <w:kern w:val="2"/>
                <w:sz w:val="21"/>
                <w:lang w:val="en-US" w:eastAsia="zh-CN"/>
                <w14:textFill>
                  <w14:solidFill>
                    <w14:schemeClr w14:val="tx1"/>
                  </w14:solidFill>
                </w14:textFill>
              </w:rPr>
              <w:t>1</w:t>
            </w:r>
            <w:r>
              <w:rPr>
                <w:rFonts w:ascii="Times New Roman" w:hAnsi="Times New Roman"/>
                <w:color w:val="000000" w:themeColor="text1"/>
                <w:kern w:val="2"/>
                <w:sz w:val="21"/>
                <w14:textFill>
                  <w14:solidFill>
                    <w14:schemeClr w14:val="tx1"/>
                  </w14:solidFill>
                </w14:textFill>
              </w:rPr>
              <w:t>/℃）</w:t>
            </w:r>
          </w:p>
        </w:tc>
        <w:tc>
          <w:tcPr>
            <w:tcW w:w="2841" w:type="dxa"/>
            <w:vAlign w:val="center"/>
          </w:tcPr>
          <w:p w14:paraId="6639B61C">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19.</w:t>
            </w:r>
            <w:r>
              <w:rPr>
                <w:rFonts w:hint="eastAsia" w:ascii="Times New Roman" w:hAnsi="Times New Roman"/>
                <w:color w:val="000000" w:themeColor="text1"/>
                <w:kern w:val="2"/>
                <w:sz w:val="21"/>
                <w:lang w:val="en-US" w:eastAsia="zh-CN"/>
                <w14:textFill>
                  <w14:solidFill>
                    <w14:schemeClr w14:val="tx1"/>
                  </w14:solidFill>
                </w14:textFill>
              </w:rPr>
              <w:t>3</w:t>
            </w:r>
            <w:r>
              <w:rPr>
                <w:rFonts w:hint="default" w:ascii="Arial" w:hAnsi="Arial" w:cs="Arial"/>
                <w:color w:val="000000" w:themeColor="text1"/>
                <w:kern w:val="2"/>
                <w:sz w:val="21"/>
                <w:lang w:val="en-US" w:eastAsia="zh-CN"/>
                <w14:textFill>
                  <w14:solidFill>
                    <w14:schemeClr w14:val="tx1"/>
                  </w14:solidFill>
                </w14:textFill>
              </w:rPr>
              <w:t>×</w:t>
            </w:r>
            <w:r>
              <w:rPr>
                <w:rFonts w:hint="eastAsia" w:ascii="Times New Roman" w:hAnsi="Times New Roman"/>
                <w:color w:val="000000" w:themeColor="text1"/>
                <w:kern w:val="2"/>
                <w:sz w:val="21"/>
                <w:lang w:val="en-US" w:eastAsia="zh-CN"/>
                <w14:textFill>
                  <w14:solidFill>
                    <w14:schemeClr w14:val="tx1"/>
                  </w14:solidFill>
                </w14:textFill>
              </w:rPr>
              <w:t>10</w:t>
            </w:r>
            <w:r>
              <w:rPr>
                <w:rFonts w:hint="eastAsia" w:ascii="Times New Roman" w:hAnsi="Times New Roman"/>
                <w:color w:val="000000" w:themeColor="text1"/>
                <w:kern w:val="2"/>
                <w:sz w:val="21"/>
                <w:vertAlign w:val="superscript"/>
                <w:lang w:val="en-US" w:eastAsia="zh-CN"/>
                <w14:textFill>
                  <w14:solidFill>
                    <w14:schemeClr w14:val="tx1"/>
                  </w14:solidFill>
                </w14:textFill>
              </w:rPr>
              <w:t>-6</w:t>
            </w:r>
          </w:p>
        </w:tc>
      </w:tr>
    </w:tbl>
    <w:p w14:paraId="598D4E1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（2）地线</w:t>
      </w:r>
    </w:p>
    <w:p w14:paraId="1CFAF1B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每回路均为一根采用24芯OPGW-150光缆，一根采用JLB40-150铝包钢绞线，“三跨”段采用2根72芯OPGW-150光缆。地线主要技术参数如表3.1-4。</w:t>
      </w:r>
    </w:p>
    <w:p w14:paraId="621826B7">
      <w:pPr>
        <w:ind w:firstLine="0" w:firstLineChars="0"/>
        <w:jc w:val="center"/>
        <w:rPr>
          <w:color w:val="000000" w:themeColor="text1"/>
          <w14:textFill>
            <w14:solidFill>
              <w14:schemeClr w14:val="tx1"/>
            </w14:solidFill>
          </w14:textFill>
        </w:rPr>
      </w:pPr>
      <w:r>
        <w:rPr>
          <w:rFonts w:hint="eastAsia"/>
          <w:b/>
          <w:bCs/>
          <w:color w:val="000000" w:themeColor="text1"/>
          <w:sz w:val="21"/>
          <w:szCs w:val="21"/>
          <w14:textFill>
            <w14:solidFill>
              <w14:schemeClr w14:val="tx1"/>
            </w14:solidFill>
          </w14:textFill>
        </w:rPr>
        <w:t>表3.1-4  地线主要特性表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2879"/>
        <w:gridCol w:w="2131"/>
        <w:gridCol w:w="2131"/>
      </w:tblGrid>
      <w:tr w14:paraId="391B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Merge w:val="restart"/>
            <w:vAlign w:val="center"/>
          </w:tcPr>
          <w:p w14:paraId="53921285">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ascii="Times New Roman" w:hAnsi="Times New Roman"/>
                <w:b/>
                <w:bCs/>
                <w:color w:val="000000" w:themeColor="text1"/>
                <w:kern w:val="2"/>
                <w:sz w:val="21"/>
                <w14:textFill>
                  <w14:solidFill>
                    <w14:schemeClr w14:val="tx1"/>
                  </w14:solidFill>
                </w14:textFill>
              </w:rPr>
              <w:t>导线型式</w:t>
            </w:r>
          </w:p>
        </w:tc>
        <w:tc>
          <w:tcPr>
            <w:tcW w:w="4262" w:type="dxa"/>
            <w:gridSpan w:val="2"/>
            <w:vAlign w:val="center"/>
          </w:tcPr>
          <w:p w14:paraId="25DD6291">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ascii="Times New Roman" w:hAnsi="Times New Roman"/>
                <w:b/>
                <w:bCs/>
                <w:color w:val="000000" w:themeColor="text1"/>
                <w:kern w:val="2"/>
                <w:sz w:val="21"/>
                <w14:textFill>
                  <w14:solidFill>
                    <w14:schemeClr w14:val="tx1"/>
                  </w14:solidFill>
                </w14:textFill>
              </w:rPr>
              <w:t>地线</w:t>
            </w:r>
          </w:p>
        </w:tc>
      </w:tr>
      <w:tr w14:paraId="6241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Merge w:val="continue"/>
            <w:vAlign w:val="center"/>
          </w:tcPr>
          <w:p w14:paraId="60562C55">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p>
        </w:tc>
        <w:tc>
          <w:tcPr>
            <w:tcW w:w="2131" w:type="dxa"/>
            <w:vAlign w:val="center"/>
          </w:tcPr>
          <w:p w14:paraId="64EFB2C9">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ascii="Times New Roman" w:hAnsi="Times New Roman"/>
                <w:b/>
                <w:bCs/>
                <w:color w:val="000000" w:themeColor="text1"/>
                <w:kern w:val="2"/>
                <w:sz w:val="21"/>
                <w14:textFill>
                  <w14:solidFill>
                    <w14:schemeClr w14:val="tx1"/>
                  </w14:solidFill>
                </w14:textFill>
              </w:rPr>
              <w:t>OPGW-17-150-4</w:t>
            </w:r>
          </w:p>
        </w:tc>
        <w:tc>
          <w:tcPr>
            <w:tcW w:w="2131" w:type="dxa"/>
            <w:vAlign w:val="center"/>
          </w:tcPr>
          <w:p w14:paraId="5AAAB72A">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ascii="Times New Roman" w:hAnsi="Times New Roman"/>
                <w:b/>
                <w:bCs/>
                <w:color w:val="000000" w:themeColor="text1"/>
                <w:kern w:val="2"/>
                <w:sz w:val="21"/>
                <w14:textFill>
                  <w14:solidFill>
                    <w14:schemeClr w14:val="tx1"/>
                  </w14:solidFill>
                </w14:textFill>
              </w:rPr>
              <w:t>JLB40-150</w:t>
            </w:r>
          </w:p>
        </w:tc>
      </w:tr>
      <w:tr w14:paraId="4EB7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0AB8EFF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分裂根数</w:t>
            </w:r>
          </w:p>
        </w:tc>
        <w:tc>
          <w:tcPr>
            <w:tcW w:w="2131" w:type="dxa"/>
            <w:vAlign w:val="center"/>
          </w:tcPr>
          <w:p w14:paraId="73DB30D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w:t>
            </w:r>
          </w:p>
        </w:tc>
        <w:tc>
          <w:tcPr>
            <w:tcW w:w="2131" w:type="dxa"/>
            <w:vAlign w:val="center"/>
          </w:tcPr>
          <w:p w14:paraId="3AEDC54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w:t>
            </w:r>
          </w:p>
        </w:tc>
      </w:tr>
      <w:tr w14:paraId="0BFE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1" w:type="dxa"/>
            <w:vMerge w:val="restart"/>
            <w:vAlign w:val="center"/>
          </w:tcPr>
          <w:p w14:paraId="6218D95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结构</w:t>
            </w:r>
          </w:p>
        </w:tc>
        <w:tc>
          <w:tcPr>
            <w:tcW w:w="2879" w:type="dxa"/>
            <w:vAlign w:val="center"/>
          </w:tcPr>
          <w:p w14:paraId="6E564F6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芯线（钢、铝包钢、铝合金）</w:t>
            </w:r>
          </w:p>
        </w:tc>
        <w:tc>
          <w:tcPr>
            <w:tcW w:w="2131" w:type="dxa"/>
            <w:vMerge w:val="restart"/>
            <w:vAlign w:val="center"/>
          </w:tcPr>
          <w:p w14:paraId="0030B468">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1/3.4/20AS＋4/3.3/20AS＋12/3.3/20AS</w:t>
            </w:r>
            <w:r>
              <w:rPr>
                <w:rFonts w:hint="eastAsia" w:ascii="Times New Roman" w:hAnsi="Times New Roman"/>
                <w:color w:val="000000" w:themeColor="text1"/>
                <w:kern w:val="2"/>
                <w:sz w:val="21"/>
                <w:lang w:eastAsia="zh-CN"/>
                <w14:textFill>
                  <w14:solidFill>
                    <w14:schemeClr w14:val="tx1"/>
                  </w14:solidFill>
                </w14:textFill>
              </w:rPr>
              <w:t>，</w:t>
            </w:r>
            <w:r>
              <w:rPr>
                <w:rFonts w:ascii="Times New Roman" w:hAnsi="Times New Roman"/>
                <w:color w:val="000000" w:themeColor="text1"/>
                <w:kern w:val="2"/>
                <w:sz w:val="21"/>
                <w14:textFill>
                  <w14:solidFill>
                    <w14:schemeClr w14:val="tx1"/>
                  </w14:solidFill>
                </w14:textFill>
              </w:rPr>
              <w:t>光单元2/3.2</w:t>
            </w:r>
          </w:p>
        </w:tc>
        <w:tc>
          <w:tcPr>
            <w:tcW w:w="2131" w:type="dxa"/>
            <w:vMerge w:val="restart"/>
            <w:vAlign w:val="center"/>
          </w:tcPr>
          <w:p w14:paraId="67859DA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根数19/单线直径3.15绞线直径15.8</w:t>
            </w:r>
          </w:p>
        </w:tc>
      </w:tr>
      <w:tr w14:paraId="77B5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1" w:type="dxa"/>
            <w:vMerge w:val="continue"/>
            <w:vAlign w:val="center"/>
          </w:tcPr>
          <w:p w14:paraId="43BB54D3">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879" w:type="dxa"/>
            <w:vAlign w:val="center"/>
          </w:tcPr>
          <w:p w14:paraId="04B1EAE3">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外绞线（铝、铝合金</w:t>
            </w:r>
            <w:r>
              <w:rPr>
                <w:rFonts w:hint="eastAsia" w:ascii="Times New Roman" w:hAnsi="Times New Roman"/>
                <w:color w:val="000000" w:themeColor="text1"/>
                <w:kern w:val="2"/>
                <w:sz w:val="21"/>
                <w:lang w:eastAsia="zh-CN"/>
                <w14:textFill>
                  <w14:solidFill>
                    <w14:schemeClr w14:val="tx1"/>
                  </w14:solidFill>
                </w14:textFill>
              </w:rPr>
              <w:t>）</w:t>
            </w:r>
          </w:p>
        </w:tc>
        <w:tc>
          <w:tcPr>
            <w:tcW w:w="2131" w:type="dxa"/>
            <w:vMerge w:val="continue"/>
            <w:vAlign w:val="center"/>
          </w:tcPr>
          <w:p w14:paraId="388CBDD6">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131" w:type="dxa"/>
            <w:vMerge w:val="continue"/>
            <w:vAlign w:val="center"/>
          </w:tcPr>
          <w:p w14:paraId="0A5B9D80">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r>
      <w:tr w14:paraId="3B8B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1" w:type="dxa"/>
            <w:vMerge w:val="restart"/>
            <w:vAlign w:val="center"/>
          </w:tcPr>
          <w:p w14:paraId="1B546FD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截面积S（mm</w:t>
            </w:r>
            <w:r>
              <w:rPr>
                <w:rFonts w:ascii="Times New Roman" w:hAnsi="Times New Roman"/>
                <w:color w:val="000000" w:themeColor="text1"/>
                <w:kern w:val="2"/>
                <w:sz w:val="21"/>
                <w:vertAlign w:val="superscript"/>
                <w14:textFill>
                  <w14:solidFill>
                    <w14:schemeClr w14:val="tx1"/>
                  </w14:solidFill>
                </w14:textFill>
              </w:rPr>
              <w:t>2</w:t>
            </w:r>
            <w:r>
              <w:rPr>
                <w:rFonts w:ascii="Times New Roman" w:hAnsi="Times New Roman"/>
                <w:color w:val="000000" w:themeColor="text1"/>
                <w:kern w:val="2"/>
                <w:sz w:val="21"/>
                <w14:textFill>
                  <w14:solidFill>
                    <w14:schemeClr w14:val="tx1"/>
                  </w14:solidFill>
                </w14:textFill>
              </w:rPr>
              <w:t>）</w:t>
            </w:r>
          </w:p>
        </w:tc>
        <w:tc>
          <w:tcPr>
            <w:tcW w:w="2879" w:type="dxa"/>
            <w:vAlign w:val="center"/>
          </w:tcPr>
          <w:p w14:paraId="1153D2A5">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芯线（钢、铝包钢、铝合金）</w:t>
            </w:r>
          </w:p>
        </w:tc>
        <w:tc>
          <w:tcPr>
            <w:tcW w:w="2131" w:type="dxa"/>
            <w:vAlign w:val="center"/>
          </w:tcPr>
          <w:p w14:paraId="57C4AC4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w:t>
            </w:r>
          </w:p>
        </w:tc>
        <w:tc>
          <w:tcPr>
            <w:tcW w:w="2131" w:type="dxa"/>
            <w:vAlign w:val="center"/>
          </w:tcPr>
          <w:p w14:paraId="2F1108D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56.27</w:t>
            </w:r>
          </w:p>
        </w:tc>
      </w:tr>
      <w:tr w14:paraId="6D80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1" w:type="dxa"/>
            <w:vMerge w:val="continue"/>
            <w:vAlign w:val="center"/>
          </w:tcPr>
          <w:p w14:paraId="0216BA7B">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879" w:type="dxa"/>
            <w:vAlign w:val="center"/>
          </w:tcPr>
          <w:p w14:paraId="3CFCC013">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外绞线（铝、铝合金</w:t>
            </w:r>
            <w:r>
              <w:rPr>
                <w:rFonts w:hint="eastAsia" w:ascii="Times New Roman" w:hAnsi="Times New Roman"/>
                <w:color w:val="000000" w:themeColor="text1"/>
                <w:kern w:val="2"/>
                <w:sz w:val="21"/>
                <w:lang w:eastAsia="zh-CN"/>
                <w14:textFill>
                  <w14:solidFill>
                    <w14:schemeClr w14:val="tx1"/>
                  </w14:solidFill>
                </w14:textFill>
              </w:rPr>
              <w:t>）</w:t>
            </w:r>
          </w:p>
        </w:tc>
        <w:tc>
          <w:tcPr>
            <w:tcW w:w="2131" w:type="dxa"/>
            <w:vAlign w:val="center"/>
          </w:tcPr>
          <w:p w14:paraId="47616601">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131" w:type="dxa"/>
            <w:vAlign w:val="center"/>
          </w:tcPr>
          <w:p w14:paraId="7E9321A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91.8</w:t>
            </w:r>
          </w:p>
        </w:tc>
      </w:tr>
      <w:tr w14:paraId="6201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6516A36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总截面（mm</w:t>
            </w:r>
            <w:r>
              <w:rPr>
                <w:rFonts w:ascii="Times New Roman" w:hAnsi="Times New Roman"/>
                <w:color w:val="000000" w:themeColor="text1"/>
                <w:kern w:val="2"/>
                <w:sz w:val="21"/>
                <w:vertAlign w:val="superscript"/>
                <w14:textFill>
                  <w14:solidFill>
                    <w14:schemeClr w14:val="tx1"/>
                  </w14:solidFill>
                </w14:textFill>
              </w:rPr>
              <w:t>2</w:t>
            </w:r>
            <w:r>
              <w:rPr>
                <w:rFonts w:ascii="Times New Roman" w:hAnsi="Times New Roman"/>
                <w:color w:val="000000" w:themeColor="text1"/>
                <w:kern w:val="2"/>
                <w:sz w:val="21"/>
                <w14:textFill>
                  <w14:solidFill>
                    <w14:schemeClr w14:val="tx1"/>
                  </w14:solidFill>
                </w14:textFill>
              </w:rPr>
              <w:t>）</w:t>
            </w:r>
          </w:p>
        </w:tc>
        <w:tc>
          <w:tcPr>
            <w:tcW w:w="2131" w:type="dxa"/>
            <w:vAlign w:val="center"/>
          </w:tcPr>
          <w:p w14:paraId="30885727">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≈150</w:t>
            </w:r>
          </w:p>
        </w:tc>
        <w:tc>
          <w:tcPr>
            <w:tcW w:w="2131" w:type="dxa"/>
            <w:vAlign w:val="center"/>
          </w:tcPr>
          <w:p w14:paraId="798442BD">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148.07</w:t>
            </w:r>
          </w:p>
        </w:tc>
      </w:tr>
      <w:tr w14:paraId="2353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665ED27F">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单重W（kg/km）</w:t>
            </w:r>
          </w:p>
        </w:tc>
        <w:tc>
          <w:tcPr>
            <w:tcW w:w="2131" w:type="dxa"/>
            <w:vAlign w:val="center"/>
          </w:tcPr>
          <w:p w14:paraId="5EBE40B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≤998</w:t>
            </w:r>
          </w:p>
        </w:tc>
        <w:tc>
          <w:tcPr>
            <w:tcW w:w="2131" w:type="dxa"/>
            <w:vAlign w:val="center"/>
          </w:tcPr>
          <w:p w14:paraId="43C623A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699.4</w:t>
            </w:r>
          </w:p>
        </w:tc>
      </w:tr>
      <w:tr w14:paraId="2E76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4AE02FA6">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外径D（mm）</w:t>
            </w:r>
          </w:p>
        </w:tc>
        <w:tc>
          <w:tcPr>
            <w:tcW w:w="2131" w:type="dxa"/>
            <w:vAlign w:val="center"/>
          </w:tcPr>
          <w:p w14:paraId="1590D50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16.6</w:t>
            </w:r>
          </w:p>
        </w:tc>
        <w:tc>
          <w:tcPr>
            <w:tcW w:w="2131" w:type="dxa"/>
            <w:vAlign w:val="center"/>
          </w:tcPr>
          <w:p w14:paraId="7048A88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15.8</w:t>
            </w:r>
          </w:p>
        </w:tc>
      </w:tr>
      <w:tr w14:paraId="7FF9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0E120AC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综合弹性系数（MPa）</w:t>
            </w:r>
          </w:p>
        </w:tc>
        <w:tc>
          <w:tcPr>
            <w:tcW w:w="2131" w:type="dxa"/>
            <w:vAlign w:val="center"/>
          </w:tcPr>
          <w:p w14:paraId="6533C26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w:t>
            </w:r>
          </w:p>
        </w:tc>
        <w:tc>
          <w:tcPr>
            <w:tcW w:w="2131" w:type="dxa"/>
            <w:vAlign w:val="center"/>
          </w:tcPr>
          <w:p w14:paraId="0DB5513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103600</w:t>
            </w:r>
          </w:p>
        </w:tc>
      </w:tr>
      <w:tr w14:paraId="012E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244F081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综合线膨胀系数（10-6/℃）</w:t>
            </w:r>
          </w:p>
        </w:tc>
        <w:tc>
          <w:tcPr>
            <w:tcW w:w="2131" w:type="dxa"/>
            <w:vAlign w:val="center"/>
          </w:tcPr>
          <w:p w14:paraId="06F6C75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w:t>
            </w:r>
          </w:p>
        </w:tc>
        <w:tc>
          <w:tcPr>
            <w:tcW w:w="2131" w:type="dxa"/>
            <w:vAlign w:val="center"/>
          </w:tcPr>
          <w:p w14:paraId="444AB5D7">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15.5</w:t>
            </w:r>
          </w:p>
        </w:tc>
      </w:tr>
      <w:tr w14:paraId="1F30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7C709EC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20℃直流电阻</w:t>
            </w:r>
          </w:p>
        </w:tc>
        <w:tc>
          <w:tcPr>
            <w:tcW w:w="2131" w:type="dxa"/>
            <w:vAlign w:val="center"/>
          </w:tcPr>
          <w:p w14:paraId="0789523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≤0.64</w:t>
            </w:r>
          </w:p>
        </w:tc>
        <w:tc>
          <w:tcPr>
            <w:tcW w:w="2131" w:type="dxa"/>
            <w:vAlign w:val="center"/>
          </w:tcPr>
          <w:p w14:paraId="3A24572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≤0.2963</w:t>
            </w:r>
          </w:p>
        </w:tc>
      </w:tr>
      <w:tr w14:paraId="3AB3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2222A58A">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计算拉断力T（N）</w:t>
            </w:r>
          </w:p>
        </w:tc>
        <w:tc>
          <w:tcPr>
            <w:tcW w:w="2131" w:type="dxa"/>
            <w:vAlign w:val="center"/>
          </w:tcPr>
          <w:p w14:paraId="2635523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≥172000</w:t>
            </w:r>
          </w:p>
        </w:tc>
        <w:tc>
          <w:tcPr>
            <w:tcW w:w="2131" w:type="dxa"/>
            <w:vAlign w:val="center"/>
          </w:tcPr>
          <w:p w14:paraId="66A09CFD">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100700</w:t>
            </w:r>
          </w:p>
        </w:tc>
      </w:tr>
      <w:tr w14:paraId="0DCB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13D827A3">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40-200℃允许短路电流容量（kA2.s）</w:t>
            </w:r>
          </w:p>
        </w:tc>
        <w:tc>
          <w:tcPr>
            <w:tcW w:w="2131" w:type="dxa"/>
            <w:vAlign w:val="center"/>
          </w:tcPr>
          <w:p w14:paraId="66754F36">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≥110</w:t>
            </w:r>
          </w:p>
        </w:tc>
        <w:tc>
          <w:tcPr>
            <w:tcW w:w="2131" w:type="dxa"/>
            <w:vAlign w:val="center"/>
          </w:tcPr>
          <w:p w14:paraId="3D6CB0E5">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ascii="Times New Roman" w:hAnsi="Times New Roman"/>
                <w:color w:val="000000" w:themeColor="text1"/>
                <w:kern w:val="2"/>
                <w:sz w:val="21"/>
                <w14:textFill>
                  <w14:solidFill>
                    <w14:schemeClr w14:val="tx1"/>
                  </w14:solidFill>
                </w14:textFill>
              </w:rPr>
              <w:t>/</w:t>
            </w:r>
          </w:p>
        </w:tc>
      </w:tr>
    </w:tbl>
    <w:p w14:paraId="437FB796">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3.1.2.</w:t>
      </w:r>
      <w:r>
        <w:rPr>
          <w:rFonts w:hint="eastAsia"/>
          <w:color w:val="000000" w:themeColor="text1"/>
          <w:sz w:val="28"/>
          <w:szCs w:val="28"/>
          <w:lang w:val="en-US" w:eastAsia="zh-CN"/>
          <w14:textFill>
            <w14:solidFill>
              <w14:schemeClr w14:val="tx1"/>
            </w14:solidFill>
          </w14:textFill>
        </w:rPr>
        <w:t>6</w:t>
      </w:r>
      <w:r>
        <w:rPr>
          <w:rFonts w:hint="eastAsia"/>
          <w:color w:val="000000" w:themeColor="text1"/>
          <w:sz w:val="28"/>
          <w:szCs w:val="28"/>
          <w14:textFill>
            <w14:solidFill>
              <w14:schemeClr w14:val="tx1"/>
            </w14:solidFill>
          </w14:textFill>
        </w:rPr>
        <w:t>杆塔及基础</w:t>
      </w:r>
    </w:p>
    <w:p w14:paraId="15B2DB8C">
      <w:pPr>
        <w:tabs>
          <w:tab w:val="left" w:pos="907"/>
          <w:tab w:val="left" w:pos="1034"/>
          <w:tab w:val="left" w:pos="3360"/>
        </w:tabs>
        <w:adjustRightInd w:val="0"/>
        <w:ind w:firstLine="480"/>
        <w:jc w:val="left"/>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（1）杆塔</w:t>
      </w:r>
    </w:p>
    <w:p w14:paraId="099D4C79">
      <w:pPr>
        <w:tabs>
          <w:tab w:val="left" w:pos="907"/>
          <w:tab w:val="left" w:pos="1034"/>
          <w:tab w:val="left" w:pos="3360"/>
        </w:tabs>
        <w:adjustRightInd w:val="0"/>
        <w:ind w:firstLine="480"/>
        <w:jc w:val="left"/>
        <w:rPr>
          <w:bCs/>
          <w:color w:val="000000" w:themeColor="text1"/>
          <w:highlight w:val="green"/>
          <w14:textFill>
            <w14:solidFill>
              <w14:schemeClr w14:val="tx1"/>
            </w14:solidFill>
          </w14:textFill>
        </w:rPr>
      </w:pPr>
      <w:r>
        <w:rPr>
          <w:bCs/>
          <w:color w:val="000000" w:themeColor="text1"/>
          <w14:textFill>
            <w14:solidFill>
              <w14:schemeClr w14:val="tx1"/>
            </w14:solidFill>
          </w14:textFill>
        </w:rPr>
        <w:t>本</w:t>
      </w:r>
      <w:r>
        <w:rPr>
          <w:rFonts w:hint="eastAsia"/>
          <w:bCs/>
          <w:color w:val="000000" w:themeColor="text1"/>
          <w14:textFill>
            <w14:solidFill>
              <w14:schemeClr w14:val="tx1"/>
            </w14:solidFill>
          </w14:textFill>
        </w:rPr>
        <w:t>项目</w:t>
      </w:r>
      <w:r>
        <w:rPr>
          <w:bCs/>
          <w:color w:val="000000" w:themeColor="text1"/>
          <w14:textFill>
            <w14:solidFill>
              <w14:schemeClr w14:val="tx1"/>
            </w14:solidFill>
          </w14:textFill>
        </w:rPr>
        <w:t>新建杆塔8</w:t>
      </w:r>
      <w:r>
        <w:rPr>
          <w:rFonts w:hint="eastAsia"/>
          <w:bCs/>
          <w:color w:val="000000" w:themeColor="text1"/>
          <w:lang w:val="en-US" w:eastAsia="zh-CN"/>
          <w14:textFill>
            <w14:solidFill>
              <w14:schemeClr w14:val="tx1"/>
            </w14:solidFill>
          </w14:textFill>
        </w:rPr>
        <w:t>4</w:t>
      </w:r>
      <w:r>
        <w:rPr>
          <w:bCs/>
          <w:color w:val="000000" w:themeColor="text1"/>
          <w14:textFill>
            <w14:solidFill>
              <w14:schemeClr w14:val="tx1"/>
            </w14:solidFill>
          </w14:textFill>
        </w:rPr>
        <w:t>基，单回直线塔5</w:t>
      </w:r>
      <w:r>
        <w:rPr>
          <w:rFonts w:hint="eastAsia"/>
          <w:bCs/>
          <w:color w:val="000000" w:themeColor="text1"/>
          <w:lang w:val="en-US" w:eastAsia="zh-CN"/>
          <w14:textFill>
            <w14:solidFill>
              <w14:schemeClr w14:val="tx1"/>
            </w14:solidFill>
          </w14:textFill>
        </w:rPr>
        <w:t>2</w:t>
      </w:r>
      <w:r>
        <w:rPr>
          <w:bCs/>
          <w:color w:val="000000" w:themeColor="text1"/>
          <w14:textFill>
            <w14:solidFill>
              <w14:schemeClr w14:val="tx1"/>
            </w14:solidFill>
          </w14:textFill>
        </w:rPr>
        <w:t>基，</w:t>
      </w:r>
      <w:r>
        <w:rPr>
          <w:bCs/>
          <w:color w:val="000000" w:themeColor="text1"/>
          <w:highlight w:val="none"/>
          <w14:textFill>
            <w14:solidFill>
              <w14:schemeClr w14:val="tx1"/>
            </w14:solidFill>
          </w14:textFill>
        </w:rPr>
        <w:t>单回耐张塔30基，双回耐张塔2基</w:t>
      </w:r>
      <w:r>
        <w:rPr>
          <w:rFonts w:hint="eastAsia"/>
          <w:bCs/>
          <w:color w:val="000000" w:themeColor="text1"/>
          <w:highlight w:val="none"/>
          <w14:textFill>
            <w14:solidFill>
              <w14:schemeClr w14:val="tx1"/>
            </w14:solidFill>
          </w14:textFill>
        </w:rPr>
        <w:t>。</w:t>
      </w:r>
      <w:r>
        <w:rPr>
          <w:bCs/>
          <w:color w:val="000000" w:themeColor="text1"/>
          <w14:textFill>
            <w14:solidFill>
              <w14:schemeClr w14:val="tx1"/>
            </w14:solidFill>
          </w14:textFill>
        </w:rPr>
        <w:t>铁塔</w:t>
      </w:r>
      <w:r>
        <w:rPr>
          <w:rFonts w:hint="eastAsia"/>
          <w:bCs/>
          <w:color w:val="000000" w:themeColor="text1"/>
          <w14:textFill>
            <w14:solidFill>
              <w14:schemeClr w14:val="tx1"/>
            </w14:solidFill>
          </w14:textFill>
        </w:rPr>
        <w:t>共有</w:t>
      </w:r>
      <w:r>
        <w:rPr>
          <w:bCs/>
          <w:color w:val="000000" w:themeColor="text1"/>
          <w14:textFill>
            <w14:solidFill>
              <w14:schemeClr w14:val="tx1"/>
            </w14:solidFill>
          </w14:textFill>
        </w:rPr>
        <w:t>9个塔型，</w:t>
      </w:r>
      <w:r>
        <w:rPr>
          <w:rFonts w:hint="eastAsia"/>
          <w:bCs/>
          <w:color w:val="000000" w:themeColor="text1"/>
          <w:lang w:val="en-US" w:eastAsia="zh-CN"/>
          <w14:textFill>
            <w14:solidFill>
              <w14:schemeClr w14:val="tx1"/>
            </w14:solidFill>
          </w14:textFill>
        </w:rPr>
        <w:t>直线塔、耐张塔塔型</w:t>
      </w:r>
      <w:r>
        <w:rPr>
          <w:bCs/>
          <w:color w:val="000000" w:themeColor="text1"/>
          <w14:textFill>
            <w14:solidFill>
              <w14:schemeClr w14:val="tx1"/>
            </w14:solidFill>
          </w14:textFill>
        </w:rPr>
        <w:t>型式及主要参数见表</w:t>
      </w:r>
      <w:r>
        <w:rPr>
          <w:rFonts w:hint="eastAsia"/>
          <w:bCs/>
          <w:color w:val="000000" w:themeColor="text1"/>
          <w14:textFill>
            <w14:solidFill>
              <w14:schemeClr w14:val="tx1"/>
            </w14:solidFill>
          </w14:textFill>
        </w:rPr>
        <w:t>3.1-5</w:t>
      </w:r>
      <w:r>
        <w:rPr>
          <w:rFonts w:hint="eastAsia"/>
          <w:bCs/>
          <w:color w:val="000000" w:themeColor="text1"/>
          <w:lang w:eastAsia="zh-CN"/>
          <w14:textFill>
            <w14:solidFill>
              <w14:schemeClr w14:val="tx1"/>
            </w14:solidFill>
          </w14:textFill>
        </w:rPr>
        <w:t>、</w:t>
      </w:r>
      <w:r>
        <w:rPr>
          <w:rFonts w:hint="eastAsia"/>
          <w:bCs/>
          <w:color w:val="000000" w:themeColor="text1"/>
          <w:lang w:val="en-US" w:eastAsia="zh-CN"/>
          <w14:textFill>
            <w14:solidFill>
              <w14:schemeClr w14:val="tx1"/>
            </w14:solidFill>
          </w14:textFill>
        </w:rPr>
        <w:t>表3.1-6</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使用数量见表</w:t>
      </w:r>
      <w:r>
        <w:rPr>
          <w:rFonts w:hint="eastAsia"/>
          <w:bCs/>
          <w:color w:val="000000" w:themeColor="text1"/>
          <w14:textFill>
            <w14:solidFill>
              <w14:schemeClr w14:val="tx1"/>
            </w14:solidFill>
          </w14:textFill>
        </w:rPr>
        <w:t>3.1-</w:t>
      </w:r>
      <w:r>
        <w:rPr>
          <w:rFonts w:hint="eastAsia"/>
          <w:bCs/>
          <w:color w:val="000000" w:themeColor="text1"/>
          <w:lang w:val="en-US" w:eastAsia="zh-CN"/>
          <w14:textFill>
            <w14:solidFill>
              <w14:schemeClr w14:val="tx1"/>
            </w14:solidFill>
          </w14:textFill>
        </w:rPr>
        <w:t>7</w:t>
      </w:r>
      <w:r>
        <w:rPr>
          <w:bCs/>
          <w:color w:val="000000" w:themeColor="text1"/>
          <w14:textFill>
            <w14:solidFill>
              <w14:schemeClr w14:val="tx1"/>
            </w14:solidFill>
          </w14:textFill>
        </w:rPr>
        <w:t>。杆塔型式示意图见图</w:t>
      </w:r>
      <w:r>
        <w:rPr>
          <w:rFonts w:hint="eastAsia"/>
          <w:bCs/>
          <w:color w:val="000000" w:themeColor="text1"/>
          <w14:textFill>
            <w14:solidFill>
              <w14:schemeClr w14:val="tx1"/>
            </w14:solidFill>
          </w14:textFill>
        </w:rPr>
        <w:t>3.1-4</w:t>
      </w:r>
      <w:r>
        <w:rPr>
          <w:bCs/>
          <w:color w:val="000000" w:themeColor="text1"/>
          <w14:textFill>
            <w14:solidFill>
              <w14:schemeClr w14:val="tx1"/>
            </w14:solidFill>
          </w14:textFill>
        </w:rPr>
        <w:t>。</w:t>
      </w:r>
    </w:p>
    <w:p w14:paraId="290B4127">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w:t>
      </w:r>
      <w:r>
        <w:rPr>
          <w:rFonts w:hint="eastAsia" w:cs="Times New Roman"/>
          <w:b/>
          <w:bCs/>
          <w:color w:val="000000" w:themeColor="text1"/>
          <w:kern w:val="2"/>
          <w:sz w:val="21"/>
          <w:szCs w:val="21"/>
          <w:lang w:val="en-US" w:eastAsia="zh-CN" w:bidi="ar-SA"/>
          <w14:textFill>
            <w14:solidFill>
              <w14:schemeClr w14:val="tx1"/>
            </w14:solidFill>
          </w14:textFill>
        </w:rPr>
        <w:t>3.1-5</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 xml:space="preserve">  直线塔规划使用条件一览表</w:t>
      </w:r>
    </w:p>
    <w:tbl>
      <w:tblPr>
        <w:tblStyle w:val="59"/>
        <w:tblW w:w="50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18"/>
        <w:gridCol w:w="1644"/>
        <w:gridCol w:w="971"/>
        <w:gridCol w:w="1063"/>
        <w:gridCol w:w="1159"/>
        <w:gridCol w:w="859"/>
        <w:gridCol w:w="1160"/>
        <w:gridCol w:w="984"/>
      </w:tblGrid>
      <w:tr w14:paraId="59AD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10" w:type="pct"/>
            <w:vMerge w:val="restart"/>
            <w:vAlign w:val="center"/>
          </w:tcPr>
          <w:p w14:paraId="78AA2E0E">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序号</w:t>
            </w:r>
          </w:p>
        </w:tc>
        <w:tc>
          <w:tcPr>
            <w:tcW w:w="983" w:type="pct"/>
            <w:vMerge w:val="restart"/>
            <w:vAlign w:val="center"/>
          </w:tcPr>
          <w:p w14:paraId="4922E4B4">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塔型</w:t>
            </w:r>
          </w:p>
        </w:tc>
        <w:tc>
          <w:tcPr>
            <w:tcW w:w="3118" w:type="pct"/>
            <w:gridSpan w:val="5"/>
            <w:vAlign w:val="center"/>
          </w:tcPr>
          <w:p w14:paraId="03719E2F">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z w:val="21"/>
                <w:szCs w:val="21"/>
                <w14:textFill>
                  <w14:solidFill>
                    <w14:schemeClr w14:val="tx1"/>
                  </w14:solidFill>
                </w14:textFill>
              </w:rPr>
            </w:pPr>
            <w:r>
              <w:rPr>
                <w:b/>
                <w:bCs/>
                <w:color w:val="000000" w:themeColor="text1"/>
                <w:spacing w:val="-1"/>
                <w:sz w:val="21"/>
                <w:szCs w:val="21"/>
                <w14:textFill>
                  <w14:solidFill>
                    <w14:schemeClr w14:val="tx1"/>
                  </w14:solidFill>
                </w14:textFill>
              </w:rPr>
              <w:t>杆塔使用条件</w:t>
            </w:r>
          </w:p>
        </w:tc>
        <w:tc>
          <w:tcPr>
            <w:tcW w:w="588" w:type="pct"/>
            <w:vMerge w:val="restart"/>
            <w:vAlign w:val="center"/>
          </w:tcPr>
          <w:p w14:paraId="3CF6A515">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5"/>
                <w:sz w:val="21"/>
                <w:szCs w:val="21"/>
                <w14:textFill>
                  <w14:solidFill>
                    <w14:schemeClr w14:val="tx1"/>
                  </w14:solidFill>
                </w14:textFill>
              </w:rPr>
              <w:t>呼高</w:t>
            </w:r>
            <w:r>
              <w:rPr>
                <w:b/>
                <w:bCs/>
                <w:color w:val="000000" w:themeColor="text1"/>
                <w:spacing w:val="-6"/>
                <w:sz w:val="21"/>
                <w:szCs w:val="21"/>
                <w14:textFill>
                  <w14:solidFill>
                    <w14:schemeClr w14:val="tx1"/>
                  </w14:solidFill>
                </w14:textFill>
              </w:rPr>
              <w:t>范围</w:t>
            </w:r>
            <w:r>
              <w:rPr>
                <w:rFonts w:hint="eastAsia"/>
                <w:b/>
                <w:bCs/>
                <w:color w:val="000000" w:themeColor="text1"/>
                <w:spacing w:val="-6"/>
                <w:sz w:val="21"/>
                <w:szCs w:val="21"/>
                <w:lang w:eastAsia="zh-CN"/>
                <w14:textFill>
                  <w14:solidFill>
                    <w14:schemeClr w14:val="tx1"/>
                  </w14:solidFill>
                </w14:textFill>
              </w:rPr>
              <w:t>（</w:t>
            </w:r>
            <w:r>
              <w:rPr>
                <w:rFonts w:ascii="Times New Roman" w:hAnsi="Times New Roman" w:eastAsia="Times New Roman" w:cs="Times New Roman"/>
                <w:b/>
                <w:bCs/>
                <w:color w:val="000000" w:themeColor="text1"/>
                <w:spacing w:val="-5"/>
                <w:sz w:val="21"/>
                <w:szCs w:val="21"/>
                <w14:textFill>
                  <w14:solidFill>
                    <w14:schemeClr w14:val="tx1"/>
                  </w14:solidFill>
                </w14:textFill>
              </w:rPr>
              <w:t>m</w:t>
            </w:r>
            <w:r>
              <w:rPr>
                <w:rFonts w:hint="eastAsia"/>
                <w:b/>
                <w:bCs/>
                <w:color w:val="000000" w:themeColor="text1"/>
                <w:spacing w:val="-6"/>
                <w:sz w:val="21"/>
                <w:szCs w:val="21"/>
                <w:lang w:eastAsia="zh-CN"/>
                <w14:textFill>
                  <w14:solidFill>
                    <w14:schemeClr w14:val="tx1"/>
                  </w14:solidFill>
                </w14:textFill>
              </w:rPr>
              <w:t>）</w:t>
            </w:r>
          </w:p>
        </w:tc>
      </w:tr>
      <w:tr w14:paraId="6C99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3" w:hRule="atLeast"/>
        </w:trPr>
        <w:tc>
          <w:tcPr>
            <w:tcW w:w="310" w:type="pct"/>
            <w:vMerge w:val="continue"/>
            <w:vAlign w:val="center"/>
          </w:tcPr>
          <w:p w14:paraId="64CEB68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83" w:type="pct"/>
            <w:vMerge w:val="continue"/>
            <w:vAlign w:val="center"/>
          </w:tcPr>
          <w:p w14:paraId="07604E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81" w:type="pct"/>
            <w:vAlign w:val="center"/>
          </w:tcPr>
          <w:p w14:paraId="01438DC5">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3"/>
                <w:sz w:val="21"/>
                <w:szCs w:val="21"/>
                <w14:textFill>
                  <w14:solidFill>
                    <w14:schemeClr w14:val="tx1"/>
                  </w14:solidFill>
                </w14:textFill>
              </w:rPr>
              <w:t>水平</w:t>
            </w:r>
            <w:r>
              <w:rPr>
                <w:b/>
                <w:bCs/>
                <w:color w:val="000000" w:themeColor="text1"/>
                <w:spacing w:val="-4"/>
                <w:sz w:val="21"/>
                <w:szCs w:val="21"/>
                <w14:textFill>
                  <w14:solidFill>
                    <w14:schemeClr w14:val="tx1"/>
                  </w14:solidFill>
                </w14:textFill>
              </w:rPr>
              <w:t>档距</w:t>
            </w:r>
            <w:r>
              <w:rPr>
                <w:rFonts w:hint="eastAsia"/>
                <w:b/>
                <w:bCs/>
                <w:color w:val="000000" w:themeColor="text1"/>
                <w:spacing w:val="-4"/>
                <w:sz w:val="21"/>
                <w:szCs w:val="21"/>
                <w:lang w:eastAsia="zh-CN"/>
                <w14:textFill>
                  <w14:solidFill>
                    <w14:schemeClr w14:val="tx1"/>
                  </w14:solidFill>
                </w14:textFill>
              </w:rPr>
              <w:t>（</w:t>
            </w:r>
            <w:r>
              <w:rPr>
                <w:rFonts w:ascii="Times New Roman" w:hAnsi="Times New Roman" w:eastAsia="Times New Roman" w:cs="Times New Roman"/>
                <w:b/>
                <w:bCs/>
                <w:color w:val="000000" w:themeColor="text1"/>
                <w:spacing w:val="-3"/>
                <w:sz w:val="21"/>
                <w:szCs w:val="21"/>
                <w14:textFill>
                  <w14:solidFill>
                    <w14:schemeClr w14:val="tx1"/>
                  </w14:solidFill>
                </w14:textFill>
              </w:rPr>
              <w:t>m</w:t>
            </w:r>
            <w:r>
              <w:rPr>
                <w:rFonts w:hint="eastAsia"/>
                <w:b/>
                <w:bCs/>
                <w:color w:val="000000" w:themeColor="text1"/>
                <w:spacing w:val="-4"/>
                <w:sz w:val="21"/>
                <w:szCs w:val="21"/>
                <w:lang w:eastAsia="zh-CN"/>
                <w14:textFill>
                  <w14:solidFill>
                    <w14:schemeClr w14:val="tx1"/>
                  </w14:solidFill>
                </w14:textFill>
              </w:rPr>
              <w:t>）</w:t>
            </w:r>
          </w:p>
        </w:tc>
        <w:tc>
          <w:tcPr>
            <w:tcW w:w="636" w:type="pct"/>
            <w:vAlign w:val="center"/>
          </w:tcPr>
          <w:p w14:paraId="73243658">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垂直</w:t>
            </w:r>
            <w:r>
              <w:rPr>
                <w:b/>
                <w:bCs/>
                <w:color w:val="000000" w:themeColor="text1"/>
                <w:spacing w:val="-4"/>
                <w:sz w:val="21"/>
                <w:szCs w:val="21"/>
                <w14:textFill>
                  <w14:solidFill>
                    <w14:schemeClr w14:val="tx1"/>
                  </w14:solidFill>
                </w14:textFill>
              </w:rPr>
              <w:t>档距</w:t>
            </w:r>
            <w:r>
              <w:rPr>
                <w:rFonts w:hint="eastAsia"/>
                <w:b/>
                <w:bCs/>
                <w:color w:val="000000" w:themeColor="text1"/>
                <w:spacing w:val="-4"/>
                <w:sz w:val="21"/>
                <w:szCs w:val="21"/>
                <w:lang w:eastAsia="zh-CN"/>
                <w14:textFill>
                  <w14:solidFill>
                    <w14:schemeClr w14:val="tx1"/>
                  </w14:solidFill>
                </w14:textFill>
              </w:rPr>
              <w:t>（</w:t>
            </w:r>
            <w:r>
              <w:rPr>
                <w:rFonts w:ascii="Times New Roman" w:hAnsi="Times New Roman" w:eastAsia="Times New Roman" w:cs="Times New Roman"/>
                <w:b/>
                <w:bCs/>
                <w:color w:val="000000" w:themeColor="text1"/>
                <w:spacing w:val="-3"/>
                <w:sz w:val="21"/>
                <w:szCs w:val="21"/>
                <w14:textFill>
                  <w14:solidFill>
                    <w14:schemeClr w14:val="tx1"/>
                  </w14:solidFill>
                </w14:textFill>
              </w:rPr>
              <w:t>m</w:t>
            </w:r>
            <w:r>
              <w:rPr>
                <w:rFonts w:hint="eastAsia"/>
                <w:b/>
                <w:bCs/>
                <w:color w:val="000000" w:themeColor="text1"/>
                <w:spacing w:val="-4"/>
                <w:sz w:val="21"/>
                <w:szCs w:val="21"/>
                <w:lang w:eastAsia="zh-CN"/>
                <w14:textFill>
                  <w14:solidFill>
                    <w14:schemeClr w14:val="tx1"/>
                  </w14:solidFill>
                </w14:textFill>
              </w:rPr>
              <w:t>）</w:t>
            </w:r>
          </w:p>
        </w:tc>
        <w:tc>
          <w:tcPr>
            <w:tcW w:w="693" w:type="pct"/>
            <w:vAlign w:val="center"/>
          </w:tcPr>
          <w:p w14:paraId="0EBF7A5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代表档距</w:t>
            </w:r>
            <w:r>
              <w:rPr>
                <w:rFonts w:hint="eastAsia"/>
                <w:b/>
                <w:bCs/>
                <w:color w:val="000000" w:themeColor="text1"/>
                <w:spacing w:val="-4"/>
                <w:sz w:val="21"/>
                <w:szCs w:val="21"/>
                <w:lang w:eastAsia="zh-CN"/>
                <w14:textFill>
                  <w14:solidFill>
                    <w14:schemeClr w14:val="tx1"/>
                  </w14:solidFill>
                </w14:textFill>
              </w:rPr>
              <w:t>（</w:t>
            </w:r>
            <w:r>
              <w:rPr>
                <w:rFonts w:ascii="Times New Roman" w:hAnsi="Times New Roman" w:eastAsia="Times New Roman" w:cs="Times New Roman"/>
                <w:b/>
                <w:bCs/>
                <w:color w:val="000000" w:themeColor="text1"/>
                <w:spacing w:val="-3"/>
                <w:sz w:val="21"/>
                <w:szCs w:val="21"/>
                <w14:textFill>
                  <w14:solidFill>
                    <w14:schemeClr w14:val="tx1"/>
                  </w14:solidFill>
                </w14:textFill>
              </w:rPr>
              <w:t>m</w:t>
            </w:r>
            <w:r>
              <w:rPr>
                <w:rFonts w:hint="eastAsia"/>
                <w:b/>
                <w:bCs/>
                <w:color w:val="000000" w:themeColor="text1"/>
                <w:spacing w:val="-4"/>
                <w:sz w:val="21"/>
                <w:szCs w:val="21"/>
                <w:lang w:eastAsia="zh-CN"/>
                <w14:textFill>
                  <w14:solidFill>
                    <w14:schemeClr w14:val="tx1"/>
                  </w14:solidFill>
                </w14:textFill>
              </w:rPr>
              <w:t>）</w:t>
            </w:r>
          </w:p>
        </w:tc>
        <w:tc>
          <w:tcPr>
            <w:tcW w:w="514" w:type="pct"/>
            <w:vAlign w:val="center"/>
          </w:tcPr>
          <w:p w14:paraId="5B0E6A0F">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1"/>
                <w:sz w:val="21"/>
                <w:szCs w:val="21"/>
                <w14:textFill>
                  <w14:solidFill>
                    <w14:schemeClr w14:val="tx1"/>
                  </w14:solidFill>
                </w14:textFill>
              </w:rPr>
              <w:t>Kv</w:t>
            </w:r>
            <w:r>
              <w:rPr>
                <w:b/>
                <w:bCs/>
                <w:color w:val="000000" w:themeColor="text1"/>
                <w:sz w:val="21"/>
                <w:szCs w:val="21"/>
                <w14:textFill>
                  <w14:solidFill>
                    <w14:schemeClr w14:val="tx1"/>
                  </w14:solidFill>
                </w14:textFill>
              </w:rPr>
              <w:t>值</w:t>
            </w:r>
          </w:p>
        </w:tc>
        <w:tc>
          <w:tcPr>
            <w:tcW w:w="692" w:type="pct"/>
            <w:vAlign w:val="center"/>
          </w:tcPr>
          <w:p w14:paraId="5558AA0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转角度</w:t>
            </w:r>
            <w:r>
              <w:rPr>
                <w:b/>
                <w:bCs/>
                <w:color w:val="000000" w:themeColor="text1"/>
                <w:spacing w:val="-3"/>
                <w:sz w:val="21"/>
                <w:szCs w:val="21"/>
                <w14:textFill>
                  <w14:solidFill>
                    <w14:schemeClr w14:val="tx1"/>
                  </w14:solidFill>
                </w14:textFill>
              </w:rPr>
              <w:t>数</w:t>
            </w:r>
            <w:r>
              <w:rPr>
                <w:rFonts w:hint="eastAsia"/>
                <w:b/>
                <w:bCs/>
                <w:color w:val="000000" w:themeColor="text1"/>
                <w:spacing w:val="-3"/>
                <w:sz w:val="21"/>
                <w:szCs w:val="21"/>
                <w:lang w:eastAsia="zh-CN"/>
                <w14:textFill>
                  <w14:solidFill>
                    <w14:schemeClr w14:val="tx1"/>
                  </w14:solidFill>
                </w14:textFill>
              </w:rPr>
              <w:t>（</w:t>
            </w:r>
            <w:r>
              <w:rPr>
                <w:rFonts w:hint="eastAsia"/>
                <w:b/>
                <w:bCs/>
                <w:color w:val="000000" w:themeColor="text1"/>
                <w:spacing w:val="-3"/>
                <w:sz w:val="21"/>
                <w:szCs w:val="21"/>
                <w:lang w:val="en-US" w:eastAsia="zh-CN"/>
                <w14:textFill>
                  <w14:solidFill>
                    <w14:schemeClr w14:val="tx1"/>
                  </w14:solidFill>
                </w14:textFill>
              </w:rPr>
              <w:t>°</w:t>
            </w:r>
            <w:r>
              <w:rPr>
                <w:rFonts w:hint="eastAsia"/>
                <w:b/>
                <w:bCs/>
                <w:color w:val="000000" w:themeColor="text1"/>
                <w:spacing w:val="-3"/>
                <w:sz w:val="21"/>
                <w:szCs w:val="21"/>
                <w:lang w:eastAsia="zh-CN"/>
                <w14:textFill>
                  <w14:solidFill>
                    <w14:schemeClr w14:val="tx1"/>
                  </w14:solidFill>
                </w14:textFill>
              </w:rPr>
              <w:t>）</w:t>
            </w:r>
          </w:p>
        </w:tc>
        <w:tc>
          <w:tcPr>
            <w:tcW w:w="588" w:type="pct"/>
            <w:vMerge w:val="continue"/>
            <w:vAlign w:val="center"/>
          </w:tcPr>
          <w:p w14:paraId="5C6BC72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r>
      <w:tr w14:paraId="16AE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trPr>
        <w:tc>
          <w:tcPr>
            <w:tcW w:w="310" w:type="pct"/>
            <w:vMerge w:val="restart"/>
            <w:vAlign w:val="center"/>
          </w:tcPr>
          <w:p w14:paraId="3BA6CF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7"/>
                <w:w w:val="126"/>
                <w:sz w:val="21"/>
                <w:szCs w:val="21"/>
                <w14:textFill>
                  <w14:solidFill>
                    <w14:schemeClr w14:val="tx1"/>
                  </w14:solidFill>
                </w14:textFill>
              </w:rPr>
              <w:t>l</w:t>
            </w:r>
          </w:p>
        </w:tc>
        <w:tc>
          <w:tcPr>
            <w:tcW w:w="983" w:type="pct"/>
            <w:vMerge w:val="restart"/>
            <w:vAlign w:val="center"/>
          </w:tcPr>
          <w:p w14:paraId="199A0AD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750-PD22D-ZB1</w:t>
            </w:r>
          </w:p>
        </w:tc>
        <w:tc>
          <w:tcPr>
            <w:tcW w:w="581" w:type="pct"/>
            <w:vAlign w:val="center"/>
          </w:tcPr>
          <w:p w14:paraId="6A0E69C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480</w:t>
            </w:r>
          </w:p>
        </w:tc>
        <w:tc>
          <w:tcPr>
            <w:tcW w:w="636" w:type="pct"/>
            <w:vMerge w:val="restart"/>
            <w:vAlign w:val="center"/>
          </w:tcPr>
          <w:p w14:paraId="12343DA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2"/>
                <w:sz w:val="22"/>
                <w:szCs w:val="22"/>
                <w14:textFill>
                  <w14:solidFill>
                    <w14:schemeClr w14:val="tx1"/>
                  </w14:solidFill>
                </w14:textFill>
              </w:rPr>
              <w:t>600</w:t>
            </w:r>
          </w:p>
        </w:tc>
        <w:tc>
          <w:tcPr>
            <w:tcW w:w="693" w:type="pct"/>
            <w:vMerge w:val="restart"/>
            <w:vAlign w:val="center"/>
          </w:tcPr>
          <w:p w14:paraId="0583596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514" w:type="pct"/>
            <w:vMerge w:val="restart"/>
            <w:vAlign w:val="center"/>
          </w:tcPr>
          <w:p w14:paraId="0CDB9DF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0.8</w:t>
            </w:r>
          </w:p>
        </w:tc>
        <w:tc>
          <w:tcPr>
            <w:tcW w:w="692" w:type="pct"/>
            <w:vMerge w:val="restart"/>
            <w:vAlign w:val="center"/>
          </w:tcPr>
          <w:p w14:paraId="39B424A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588" w:type="pct"/>
            <w:vAlign w:val="center"/>
          </w:tcPr>
          <w:p w14:paraId="372261F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36-46</w:t>
            </w:r>
          </w:p>
        </w:tc>
      </w:tr>
      <w:tr w14:paraId="3AC8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310" w:type="pct"/>
            <w:vMerge w:val="continue"/>
            <w:vAlign w:val="center"/>
          </w:tcPr>
          <w:p w14:paraId="60538EE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83" w:type="pct"/>
            <w:vMerge w:val="continue"/>
            <w:vAlign w:val="center"/>
          </w:tcPr>
          <w:p w14:paraId="50A5671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81" w:type="pct"/>
            <w:vAlign w:val="center"/>
          </w:tcPr>
          <w:p w14:paraId="238E74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450</w:t>
            </w:r>
          </w:p>
        </w:tc>
        <w:tc>
          <w:tcPr>
            <w:tcW w:w="636" w:type="pct"/>
            <w:vMerge w:val="continue"/>
            <w:vAlign w:val="center"/>
          </w:tcPr>
          <w:p w14:paraId="2E5655E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693" w:type="pct"/>
            <w:vMerge w:val="continue"/>
            <w:vAlign w:val="center"/>
          </w:tcPr>
          <w:p w14:paraId="7FE1D68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14" w:type="pct"/>
            <w:vMerge w:val="continue"/>
            <w:vAlign w:val="center"/>
          </w:tcPr>
          <w:p w14:paraId="22067E2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692" w:type="pct"/>
            <w:vMerge w:val="continue"/>
            <w:vAlign w:val="center"/>
          </w:tcPr>
          <w:p w14:paraId="3D65D76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88" w:type="pct"/>
            <w:vAlign w:val="center"/>
          </w:tcPr>
          <w:p w14:paraId="4356C55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50-54</w:t>
            </w:r>
          </w:p>
        </w:tc>
      </w:tr>
      <w:tr w14:paraId="6DD3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 w:hRule="atLeast"/>
        </w:trPr>
        <w:tc>
          <w:tcPr>
            <w:tcW w:w="310" w:type="pct"/>
            <w:vMerge w:val="restart"/>
            <w:vAlign w:val="center"/>
          </w:tcPr>
          <w:p w14:paraId="62FF863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983" w:type="pct"/>
            <w:vMerge w:val="restart"/>
            <w:vAlign w:val="center"/>
          </w:tcPr>
          <w:p w14:paraId="7B76466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750-PD22D-ZB2</w:t>
            </w:r>
          </w:p>
        </w:tc>
        <w:tc>
          <w:tcPr>
            <w:tcW w:w="581" w:type="pct"/>
            <w:vAlign w:val="center"/>
          </w:tcPr>
          <w:p w14:paraId="4AC0A1A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550</w:t>
            </w:r>
          </w:p>
        </w:tc>
        <w:tc>
          <w:tcPr>
            <w:tcW w:w="636" w:type="pct"/>
            <w:vMerge w:val="restart"/>
            <w:vAlign w:val="center"/>
          </w:tcPr>
          <w:p w14:paraId="7190263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750</w:t>
            </w:r>
          </w:p>
        </w:tc>
        <w:tc>
          <w:tcPr>
            <w:tcW w:w="693" w:type="pct"/>
            <w:vMerge w:val="restart"/>
            <w:vAlign w:val="center"/>
          </w:tcPr>
          <w:p w14:paraId="19E5D2C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514" w:type="pct"/>
            <w:vMerge w:val="restart"/>
            <w:vAlign w:val="center"/>
          </w:tcPr>
          <w:p w14:paraId="20FDF69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0.7</w:t>
            </w:r>
          </w:p>
        </w:tc>
        <w:tc>
          <w:tcPr>
            <w:tcW w:w="692" w:type="pct"/>
            <w:vMerge w:val="restart"/>
            <w:vAlign w:val="center"/>
          </w:tcPr>
          <w:p w14:paraId="343260C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588" w:type="pct"/>
            <w:vAlign w:val="center"/>
          </w:tcPr>
          <w:p w14:paraId="33C009B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36-52</w:t>
            </w:r>
          </w:p>
        </w:tc>
      </w:tr>
      <w:tr w14:paraId="5C0C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 w:hRule="atLeast"/>
        </w:trPr>
        <w:tc>
          <w:tcPr>
            <w:tcW w:w="310" w:type="pct"/>
            <w:vMerge w:val="continue"/>
            <w:vAlign w:val="center"/>
          </w:tcPr>
          <w:p w14:paraId="0221D74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83" w:type="pct"/>
            <w:vMerge w:val="continue"/>
            <w:vAlign w:val="center"/>
          </w:tcPr>
          <w:p w14:paraId="6B05800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81" w:type="pct"/>
            <w:vAlign w:val="center"/>
          </w:tcPr>
          <w:p w14:paraId="1570092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520</w:t>
            </w:r>
          </w:p>
        </w:tc>
        <w:tc>
          <w:tcPr>
            <w:tcW w:w="636" w:type="pct"/>
            <w:vMerge w:val="continue"/>
            <w:vAlign w:val="center"/>
          </w:tcPr>
          <w:p w14:paraId="27F1364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693" w:type="pct"/>
            <w:vMerge w:val="continue"/>
            <w:vAlign w:val="center"/>
          </w:tcPr>
          <w:p w14:paraId="4B1DDE4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14" w:type="pct"/>
            <w:vMerge w:val="continue"/>
            <w:vAlign w:val="center"/>
          </w:tcPr>
          <w:p w14:paraId="5A34AE2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692" w:type="pct"/>
            <w:vMerge w:val="continue"/>
            <w:vAlign w:val="center"/>
          </w:tcPr>
          <w:p w14:paraId="34D657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88" w:type="pct"/>
            <w:vAlign w:val="center"/>
          </w:tcPr>
          <w:p w14:paraId="5543BD0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56-60</w:t>
            </w:r>
          </w:p>
        </w:tc>
      </w:tr>
      <w:tr w14:paraId="08D05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10" w:type="pct"/>
            <w:vAlign w:val="center"/>
          </w:tcPr>
          <w:p w14:paraId="5D46004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c>
          <w:tcPr>
            <w:tcW w:w="983" w:type="pct"/>
            <w:vAlign w:val="center"/>
          </w:tcPr>
          <w:p w14:paraId="2813DCA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750-PD22D-</w:t>
            </w:r>
            <w:r>
              <w:rPr>
                <w:rFonts w:ascii="Times New Roman" w:hAnsi="Times New Roman" w:eastAsia="Times New Roman" w:cs="Times New Roman"/>
                <w:color w:val="000000" w:themeColor="text1"/>
                <w:spacing w:val="-1"/>
                <w:sz w:val="22"/>
                <w:szCs w:val="22"/>
                <w:highlight w:val="none"/>
                <w14:textFill>
                  <w14:solidFill>
                    <w14:schemeClr w14:val="tx1"/>
                  </w14:solidFill>
                </w14:textFill>
              </w:rPr>
              <w:t>ZB3</w:t>
            </w:r>
          </w:p>
        </w:tc>
        <w:tc>
          <w:tcPr>
            <w:tcW w:w="581" w:type="pct"/>
            <w:vAlign w:val="center"/>
          </w:tcPr>
          <w:p w14:paraId="14E0567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700</w:t>
            </w:r>
          </w:p>
        </w:tc>
        <w:tc>
          <w:tcPr>
            <w:tcW w:w="636" w:type="pct"/>
            <w:vAlign w:val="center"/>
          </w:tcPr>
          <w:p w14:paraId="443F6BF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900</w:t>
            </w:r>
          </w:p>
        </w:tc>
        <w:tc>
          <w:tcPr>
            <w:tcW w:w="693" w:type="pct"/>
            <w:vAlign w:val="center"/>
          </w:tcPr>
          <w:p w14:paraId="09D355E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514" w:type="pct"/>
            <w:vAlign w:val="center"/>
          </w:tcPr>
          <w:p w14:paraId="4F84728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0.6</w:t>
            </w:r>
          </w:p>
        </w:tc>
        <w:tc>
          <w:tcPr>
            <w:tcW w:w="692" w:type="pct"/>
            <w:vAlign w:val="center"/>
          </w:tcPr>
          <w:p w14:paraId="0C2BDC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588" w:type="pct"/>
            <w:vAlign w:val="center"/>
          </w:tcPr>
          <w:p w14:paraId="583ADFD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36-64</w:t>
            </w:r>
          </w:p>
        </w:tc>
      </w:tr>
    </w:tbl>
    <w:p w14:paraId="2D0A34E1">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表3.1-6  耐张塔规划使用条件一览表</w:t>
      </w:r>
    </w:p>
    <w:tbl>
      <w:tblPr>
        <w:tblStyle w:val="59"/>
        <w:tblW w:w="502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60"/>
        <w:gridCol w:w="1628"/>
        <w:gridCol w:w="929"/>
        <w:gridCol w:w="1076"/>
        <w:gridCol w:w="1158"/>
        <w:gridCol w:w="859"/>
        <w:gridCol w:w="1160"/>
        <w:gridCol w:w="984"/>
      </w:tblGrid>
      <w:tr w14:paraId="1191E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335" w:type="pct"/>
            <w:vMerge w:val="restart"/>
            <w:tcBorders>
              <w:bottom w:val="nil"/>
            </w:tcBorders>
            <w:vAlign w:val="center"/>
          </w:tcPr>
          <w:p w14:paraId="77BA8C28">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序号</w:t>
            </w:r>
          </w:p>
        </w:tc>
        <w:tc>
          <w:tcPr>
            <w:tcW w:w="974" w:type="pct"/>
            <w:vMerge w:val="restart"/>
            <w:tcBorders>
              <w:bottom w:val="nil"/>
            </w:tcBorders>
            <w:vAlign w:val="center"/>
          </w:tcPr>
          <w:p w14:paraId="098C558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塔型</w:t>
            </w:r>
          </w:p>
        </w:tc>
        <w:tc>
          <w:tcPr>
            <w:tcW w:w="3101" w:type="pct"/>
            <w:gridSpan w:val="5"/>
            <w:vAlign w:val="center"/>
          </w:tcPr>
          <w:p w14:paraId="30A04A63">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z w:val="21"/>
                <w:szCs w:val="21"/>
                <w14:textFill>
                  <w14:solidFill>
                    <w14:schemeClr w14:val="tx1"/>
                  </w14:solidFill>
                </w14:textFill>
              </w:rPr>
            </w:pPr>
            <w:r>
              <w:rPr>
                <w:b/>
                <w:bCs/>
                <w:color w:val="000000" w:themeColor="text1"/>
                <w:spacing w:val="-1"/>
                <w:sz w:val="21"/>
                <w:szCs w:val="21"/>
                <w14:textFill>
                  <w14:solidFill>
                    <w14:schemeClr w14:val="tx1"/>
                  </w14:solidFill>
                </w14:textFill>
              </w:rPr>
              <w:t>杆塔使用条件</w:t>
            </w:r>
          </w:p>
        </w:tc>
        <w:tc>
          <w:tcPr>
            <w:tcW w:w="588" w:type="pct"/>
            <w:vMerge w:val="restart"/>
            <w:tcBorders>
              <w:bottom w:val="nil"/>
            </w:tcBorders>
            <w:vAlign w:val="center"/>
          </w:tcPr>
          <w:p w14:paraId="2FBD06FA">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b/>
                <w:bCs/>
                <w:color w:val="000000" w:themeColor="text1"/>
                <w:sz w:val="21"/>
                <w:szCs w:val="21"/>
                <w:lang w:eastAsia="zh-CN"/>
                <w14:textFill>
                  <w14:solidFill>
                    <w14:schemeClr w14:val="tx1"/>
                  </w14:solidFill>
                </w14:textFill>
              </w:rPr>
            </w:pPr>
            <w:r>
              <w:rPr>
                <w:b/>
                <w:bCs/>
                <w:color w:val="000000" w:themeColor="text1"/>
                <w:spacing w:val="-5"/>
                <w:sz w:val="21"/>
                <w:szCs w:val="21"/>
                <w14:textFill>
                  <w14:solidFill>
                    <w14:schemeClr w14:val="tx1"/>
                  </w14:solidFill>
                </w14:textFill>
              </w:rPr>
              <w:t>呼高</w:t>
            </w:r>
            <w:r>
              <w:rPr>
                <w:b/>
                <w:bCs/>
                <w:color w:val="000000" w:themeColor="text1"/>
                <w:spacing w:val="-6"/>
                <w:sz w:val="21"/>
                <w:szCs w:val="21"/>
                <w14:textFill>
                  <w14:solidFill>
                    <w14:schemeClr w14:val="tx1"/>
                  </w14:solidFill>
                </w14:textFill>
              </w:rPr>
              <w:t>范围</w:t>
            </w:r>
            <w:r>
              <w:rPr>
                <w:b/>
                <w:bCs/>
                <w:color w:val="000000" w:themeColor="text1"/>
                <w:spacing w:val="-5"/>
                <w:sz w:val="21"/>
                <w:szCs w:val="21"/>
                <w14:textFill>
                  <w14:solidFill>
                    <w14:schemeClr w14:val="tx1"/>
                  </w14:solidFill>
                </w14:textFill>
              </w:rPr>
              <w:t>（</w:t>
            </w:r>
            <w:r>
              <w:rPr>
                <w:rFonts w:ascii="Times New Roman" w:hAnsi="Times New Roman" w:eastAsia="Times New Roman" w:cs="Times New Roman"/>
                <w:b/>
                <w:bCs/>
                <w:color w:val="000000" w:themeColor="text1"/>
                <w:spacing w:val="-5"/>
                <w:sz w:val="21"/>
                <w:szCs w:val="21"/>
                <w14:textFill>
                  <w14:solidFill>
                    <w14:schemeClr w14:val="tx1"/>
                  </w14:solidFill>
                </w14:textFill>
              </w:rPr>
              <w:t>m</w:t>
            </w:r>
            <w:r>
              <w:rPr>
                <w:rFonts w:hint="eastAsia" w:ascii="Times New Roman" w:hAnsi="Times New Roman" w:cs="Times New Roman"/>
                <w:b/>
                <w:bCs/>
                <w:color w:val="000000" w:themeColor="text1"/>
                <w:spacing w:val="-5"/>
                <w:sz w:val="21"/>
                <w:szCs w:val="21"/>
                <w:lang w:eastAsia="zh-CN"/>
                <w14:textFill>
                  <w14:solidFill>
                    <w14:schemeClr w14:val="tx1"/>
                  </w14:solidFill>
                </w14:textFill>
              </w:rPr>
              <w:t>）</w:t>
            </w:r>
          </w:p>
        </w:tc>
      </w:tr>
      <w:tr w14:paraId="61045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335" w:type="pct"/>
            <w:vMerge w:val="continue"/>
            <w:tcBorders>
              <w:top w:val="nil"/>
            </w:tcBorders>
            <w:vAlign w:val="center"/>
          </w:tcPr>
          <w:p w14:paraId="4EA983A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74" w:type="pct"/>
            <w:vMerge w:val="continue"/>
            <w:tcBorders>
              <w:top w:val="nil"/>
            </w:tcBorders>
            <w:vAlign w:val="center"/>
          </w:tcPr>
          <w:p w14:paraId="2C1669F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56" w:type="pct"/>
            <w:vAlign w:val="center"/>
          </w:tcPr>
          <w:p w14:paraId="2A3DEF2A">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3"/>
                <w:sz w:val="21"/>
                <w:szCs w:val="21"/>
                <w14:textFill>
                  <w14:solidFill>
                    <w14:schemeClr w14:val="tx1"/>
                  </w14:solidFill>
                </w14:textFill>
              </w:rPr>
              <w:t>水平</w:t>
            </w:r>
            <w:r>
              <w:rPr>
                <w:b/>
                <w:bCs/>
                <w:color w:val="000000" w:themeColor="text1"/>
                <w:spacing w:val="-4"/>
                <w:sz w:val="21"/>
                <w:szCs w:val="21"/>
                <w14:textFill>
                  <w14:solidFill>
                    <w14:schemeClr w14:val="tx1"/>
                  </w14:solidFill>
                </w14:textFill>
              </w:rPr>
              <w:t>档距</w:t>
            </w:r>
            <w:r>
              <w:rPr>
                <w:rFonts w:hint="eastAsia"/>
                <w:b/>
                <w:bCs/>
                <w:color w:val="000000" w:themeColor="text1"/>
                <w:spacing w:val="-4"/>
                <w:sz w:val="21"/>
                <w:szCs w:val="21"/>
                <w:lang w:eastAsia="zh-CN"/>
                <w14:textFill>
                  <w14:solidFill>
                    <w14:schemeClr w14:val="tx1"/>
                  </w14:solidFill>
                </w14:textFill>
              </w:rPr>
              <w:t>（</w:t>
            </w:r>
            <w:r>
              <w:rPr>
                <w:rFonts w:ascii="Times New Roman" w:hAnsi="Times New Roman" w:eastAsia="Times New Roman" w:cs="Times New Roman"/>
                <w:b/>
                <w:bCs/>
                <w:color w:val="000000" w:themeColor="text1"/>
                <w:spacing w:val="-3"/>
                <w:sz w:val="21"/>
                <w:szCs w:val="21"/>
                <w14:textFill>
                  <w14:solidFill>
                    <w14:schemeClr w14:val="tx1"/>
                  </w14:solidFill>
                </w14:textFill>
              </w:rPr>
              <w:t>m</w:t>
            </w:r>
            <w:r>
              <w:rPr>
                <w:rFonts w:hint="eastAsia"/>
                <w:b/>
                <w:bCs/>
                <w:color w:val="000000" w:themeColor="text1"/>
                <w:spacing w:val="-4"/>
                <w:sz w:val="21"/>
                <w:szCs w:val="21"/>
                <w:lang w:eastAsia="zh-CN"/>
                <w14:textFill>
                  <w14:solidFill>
                    <w14:schemeClr w14:val="tx1"/>
                  </w14:solidFill>
                </w14:textFill>
              </w:rPr>
              <w:t>）</w:t>
            </w:r>
          </w:p>
        </w:tc>
        <w:tc>
          <w:tcPr>
            <w:tcW w:w="644" w:type="pct"/>
            <w:vAlign w:val="center"/>
          </w:tcPr>
          <w:p w14:paraId="371D7360">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垂直</w:t>
            </w:r>
            <w:r>
              <w:rPr>
                <w:b/>
                <w:bCs/>
                <w:color w:val="000000" w:themeColor="text1"/>
                <w:spacing w:val="-4"/>
                <w:sz w:val="21"/>
                <w:szCs w:val="21"/>
                <w14:textFill>
                  <w14:solidFill>
                    <w14:schemeClr w14:val="tx1"/>
                  </w14:solidFill>
                </w14:textFill>
              </w:rPr>
              <w:t>档距</w:t>
            </w:r>
            <w:r>
              <w:rPr>
                <w:rFonts w:hint="eastAsia"/>
                <w:b/>
                <w:bCs/>
                <w:color w:val="000000" w:themeColor="text1"/>
                <w:spacing w:val="-4"/>
                <w:sz w:val="21"/>
                <w:szCs w:val="21"/>
                <w:lang w:eastAsia="zh-CN"/>
                <w14:textFill>
                  <w14:solidFill>
                    <w14:schemeClr w14:val="tx1"/>
                  </w14:solidFill>
                </w14:textFill>
              </w:rPr>
              <w:t>（</w:t>
            </w:r>
            <w:r>
              <w:rPr>
                <w:rFonts w:ascii="Times New Roman" w:hAnsi="Times New Roman" w:eastAsia="Times New Roman" w:cs="Times New Roman"/>
                <w:b/>
                <w:bCs/>
                <w:color w:val="000000" w:themeColor="text1"/>
                <w:spacing w:val="-3"/>
                <w:sz w:val="21"/>
                <w:szCs w:val="21"/>
                <w14:textFill>
                  <w14:solidFill>
                    <w14:schemeClr w14:val="tx1"/>
                  </w14:solidFill>
                </w14:textFill>
              </w:rPr>
              <w:t>m</w:t>
            </w:r>
            <w:r>
              <w:rPr>
                <w:rFonts w:hint="eastAsia"/>
                <w:b/>
                <w:bCs/>
                <w:color w:val="000000" w:themeColor="text1"/>
                <w:spacing w:val="-4"/>
                <w:sz w:val="21"/>
                <w:szCs w:val="21"/>
                <w:lang w:eastAsia="zh-CN"/>
                <w14:textFill>
                  <w14:solidFill>
                    <w14:schemeClr w14:val="tx1"/>
                  </w14:solidFill>
                </w14:textFill>
              </w:rPr>
              <w:t>）</w:t>
            </w:r>
          </w:p>
        </w:tc>
        <w:tc>
          <w:tcPr>
            <w:tcW w:w="693" w:type="pct"/>
            <w:vAlign w:val="center"/>
          </w:tcPr>
          <w:p w14:paraId="442C8165">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代表档距</w:t>
            </w:r>
            <w:r>
              <w:rPr>
                <w:rFonts w:hint="eastAsia"/>
                <w:b/>
                <w:bCs/>
                <w:color w:val="000000" w:themeColor="text1"/>
                <w:spacing w:val="-4"/>
                <w:sz w:val="21"/>
                <w:szCs w:val="21"/>
                <w:lang w:eastAsia="zh-CN"/>
                <w14:textFill>
                  <w14:solidFill>
                    <w14:schemeClr w14:val="tx1"/>
                  </w14:solidFill>
                </w14:textFill>
              </w:rPr>
              <w:t>（</w:t>
            </w:r>
            <w:r>
              <w:rPr>
                <w:rFonts w:ascii="Times New Roman" w:hAnsi="Times New Roman" w:eastAsia="Times New Roman" w:cs="Times New Roman"/>
                <w:b/>
                <w:bCs/>
                <w:color w:val="000000" w:themeColor="text1"/>
                <w:spacing w:val="-3"/>
                <w:sz w:val="21"/>
                <w:szCs w:val="21"/>
                <w14:textFill>
                  <w14:solidFill>
                    <w14:schemeClr w14:val="tx1"/>
                  </w14:solidFill>
                </w14:textFill>
              </w:rPr>
              <w:t>m</w:t>
            </w:r>
            <w:r>
              <w:rPr>
                <w:rFonts w:hint="eastAsia"/>
                <w:b/>
                <w:bCs/>
                <w:color w:val="000000" w:themeColor="text1"/>
                <w:spacing w:val="-4"/>
                <w:sz w:val="21"/>
                <w:szCs w:val="21"/>
                <w:lang w:eastAsia="zh-CN"/>
                <w14:textFill>
                  <w14:solidFill>
                    <w14:schemeClr w14:val="tx1"/>
                  </w14:solidFill>
                </w14:textFill>
              </w:rPr>
              <w:t>）</w:t>
            </w:r>
          </w:p>
        </w:tc>
        <w:tc>
          <w:tcPr>
            <w:tcW w:w="514" w:type="pct"/>
            <w:vAlign w:val="center"/>
          </w:tcPr>
          <w:p w14:paraId="22FB6DF5">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1"/>
                <w:sz w:val="21"/>
                <w:szCs w:val="21"/>
                <w14:textFill>
                  <w14:solidFill>
                    <w14:schemeClr w14:val="tx1"/>
                  </w14:solidFill>
                </w14:textFill>
              </w:rPr>
              <w:t>Kv</w:t>
            </w:r>
            <w:r>
              <w:rPr>
                <w:b/>
                <w:bCs/>
                <w:color w:val="000000" w:themeColor="text1"/>
                <w:sz w:val="21"/>
                <w:szCs w:val="21"/>
                <w14:textFill>
                  <w14:solidFill>
                    <w14:schemeClr w14:val="tx1"/>
                  </w14:solidFill>
                </w14:textFill>
              </w:rPr>
              <w:t>值</w:t>
            </w:r>
          </w:p>
        </w:tc>
        <w:tc>
          <w:tcPr>
            <w:tcW w:w="692" w:type="pct"/>
            <w:vAlign w:val="center"/>
          </w:tcPr>
          <w:p w14:paraId="4867A0EC">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转角度</w:t>
            </w:r>
            <w:r>
              <w:rPr>
                <w:b/>
                <w:bCs/>
                <w:color w:val="000000" w:themeColor="text1"/>
                <w:spacing w:val="-3"/>
                <w:sz w:val="21"/>
                <w:szCs w:val="21"/>
                <w14:textFill>
                  <w14:solidFill>
                    <w14:schemeClr w14:val="tx1"/>
                  </w14:solidFill>
                </w14:textFill>
              </w:rPr>
              <w:t>数</w:t>
            </w:r>
            <w:r>
              <w:rPr>
                <w:rFonts w:hint="eastAsia"/>
                <w:b/>
                <w:bCs/>
                <w:color w:val="000000" w:themeColor="text1"/>
                <w:spacing w:val="-3"/>
                <w:sz w:val="21"/>
                <w:szCs w:val="21"/>
                <w:lang w:eastAsia="zh-CN"/>
                <w14:textFill>
                  <w14:solidFill>
                    <w14:schemeClr w14:val="tx1"/>
                  </w14:solidFill>
                </w14:textFill>
              </w:rPr>
              <w:t>（</w:t>
            </w:r>
            <w:r>
              <w:rPr>
                <w:rFonts w:hint="eastAsia"/>
                <w:b/>
                <w:bCs/>
                <w:color w:val="000000" w:themeColor="text1"/>
                <w:spacing w:val="-3"/>
                <w:sz w:val="21"/>
                <w:szCs w:val="21"/>
                <w:lang w:val="en-US" w:eastAsia="zh-CN"/>
                <w14:textFill>
                  <w14:solidFill>
                    <w14:schemeClr w14:val="tx1"/>
                  </w14:solidFill>
                </w14:textFill>
              </w:rPr>
              <w:t>°</w:t>
            </w:r>
            <w:r>
              <w:rPr>
                <w:rFonts w:hint="eastAsia"/>
                <w:b/>
                <w:bCs/>
                <w:color w:val="000000" w:themeColor="text1"/>
                <w:spacing w:val="-3"/>
                <w:sz w:val="21"/>
                <w:szCs w:val="21"/>
                <w:lang w:eastAsia="zh-CN"/>
                <w14:textFill>
                  <w14:solidFill>
                    <w14:schemeClr w14:val="tx1"/>
                  </w14:solidFill>
                </w14:textFill>
              </w:rPr>
              <w:t>）</w:t>
            </w:r>
          </w:p>
        </w:tc>
        <w:tc>
          <w:tcPr>
            <w:tcW w:w="588" w:type="pct"/>
            <w:vMerge w:val="continue"/>
            <w:tcBorders>
              <w:top w:val="nil"/>
            </w:tcBorders>
            <w:vAlign w:val="center"/>
          </w:tcPr>
          <w:p w14:paraId="6C688FC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r>
      <w:tr w14:paraId="25BB9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335" w:type="pct"/>
            <w:vAlign w:val="center"/>
          </w:tcPr>
          <w:p w14:paraId="16A29AE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7"/>
                <w:w w:val="126"/>
                <w:sz w:val="21"/>
                <w:szCs w:val="21"/>
                <w14:textFill>
                  <w14:solidFill>
                    <w14:schemeClr w14:val="tx1"/>
                  </w14:solidFill>
                </w14:textFill>
              </w:rPr>
              <w:t>l</w:t>
            </w:r>
          </w:p>
        </w:tc>
        <w:tc>
          <w:tcPr>
            <w:tcW w:w="974" w:type="pct"/>
            <w:vAlign w:val="center"/>
          </w:tcPr>
          <w:p w14:paraId="502204B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750-PD22D-J1</w:t>
            </w:r>
          </w:p>
        </w:tc>
        <w:tc>
          <w:tcPr>
            <w:tcW w:w="556" w:type="pct"/>
            <w:vAlign w:val="center"/>
          </w:tcPr>
          <w:p w14:paraId="6AA1698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500</w:t>
            </w:r>
          </w:p>
        </w:tc>
        <w:tc>
          <w:tcPr>
            <w:tcW w:w="644" w:type="pct"/>
            <w:vAlign w:val="center"/>
          </w:tcPr>
          <w:p w14:paraId="0F29CFB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800</w:t>
            </w:r>
          </w:p>
        </w:tc>
        <w:tc>
          <w:tcPr>
            <w:tcW w:w="693" w:type="pct"/>
            <w:vAlign w:val="center"/>
          </w:tcPr>
          <w:p w14:paraId="561A70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300/600</w:t>
            </w:r>
          </w:p>
        </w:tc>
        <w:tc>
          <w:tcPr>
            <w:tcW w:w="514" w:type="pct"/>
            <w:vAlign w:val="center"/>
          </w:tcPr>
          <w:p w14:paraId="75175F0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692" w:type="pct"/>
            <w:vAlign w:val="center"/>
          </w:tcPr>
          <w:p w14:paraId="769D5F8B">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w:t>
            </w:r>
            <w:r>
              <w:rPr>
                <w:color w:val="000000" w:themeColor="text1"/>
                <w:spacing w:val="-2"/>
                <w:sz w:val="21"/>
                <w:szCs w:val="21"/>
                <w14:textFill>
                  <w14:solidFill>
                    <w14:schemeClr w14:val="tx1"/>
                  </w14:solidFill>
                </w14:textFill>
              </w:rPr>
              <w:t>～</w:t>
            </w:r>
            <w:r>
              <w:rPr>
                <w:rFonts w:ascii="Times New Roman" w:hAnsi="Times New Roman" w:eastAsia="Times New Roman" w:cs="Times New Roman"/>
                <w:color w:val="000000" w:themeColor="text1"/>
                <w:spacing w:val="-2"/>
                <w:sz w:val="21"/>
                <w:szCs w:val="21"/>
                <w14:textFill>
                  <w14:solidFill>
                    <w14:schemeClr w14:val="tx1"/>
                  </w14:solidFill>
                </w14:textFill>
              </w:rPr>
              <w:t>20</w:t>
            </w:r>
          </w:p>
        </w:tc>
        <w:tc>
          <w:tcPr>
            <w:tcW w:w="588" w:type="pct"/>
            <w:vAlign w:val="center"/>
          </w:tcPr>
          <w:p w14:paraId="65F388E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30-42</w:t>
            </w:r>
          </w:p>
        </w:tc>
      </w:tr>
      <w:tr w14:paraId="7F75A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335" w:type="pct"/>
            <w:vAlign w:val="center"/>
          </w:tcPr>
          <w:p w14:paraId="7C7DBB7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974" w:type="pct"/>
            <w:vAlign w:val="center"/>
          </w:tcPr>
          <w:p w14:paraId="79E2D98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750-PD22D-J2</w:t>
            </w:r>
          </w:p>
        </w:tc>
        <w:tc>
          <w:tcPr>
            <w:tcW w:w="556" w:type="pct"/>
            <w:vAlign w:val="center"/>
          </w:tcPr>
          <w:p w14:paraId="2E574EC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500</w:t>
            </w:r>
          </w:p>
        </w:tc>
        <w:tc>
          <w:tcPr>
            <w:tcW w:w="644" w:type="pct"/>
            <w:vAlign w:val="center"/>
          </w:tcPr>
          <w:p w14:paraId="178854B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800</w:t>
            </w:r>
          </w:p>
        </w:tc>
        <w:tc>
          <w:tcPr>
            <w:tcW w:w="693" w:type="pct"/>
            <w:vAlign w:val="center"/>
          </w:tcPr>
          <w:p w14:paraId="0C13D7E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300/600</w:t>
            </w:r>
          </w:p>
        </w:tc>
        <w:tc>
          <w:tcPr>
            <w:tcW w:w="514" w:type="pct"/>
            <w:vAlign w:val="center"/>
          </w:tcPr>
          <w:p w14:paraId="7DEDD15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692" w:type="pct"/>
            <w:vAlign w:val="center"/>
          </w:tcPr>
          <w:p w14:paraId="5D7E45A5">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20</w:t>
            </w:r>
            <w:r>
              <w:rPr>
                <w:color w:val="000000" w:themeColor="text1"/>
                <w:spacing w:val="-1"/>
                <w:sz w:val="21"/>
                <w:szCs w:val="21"/>
                <w14:textFill>
                  <w14:solidFill>
                    <w14:schemeClr w14:val="tx1"/>
                  </w14:solidFill>
                </w14:textFill>
              </w:rPr>
              <w:t>～</w:t>
            </w:r>
            <w:r>
              <w:rPr>
                <w:rFonts w:ascii="Times New Roman" w:hAnsi="Times New Roman" w:eastAsia="Times New Roman" w:cs="Times New Roman"/>
                <w:color w:val="000000" w:themeColor="text1"/>
                <w:spacing w:val="-1"/>
                <w:sz w:val="21"/>
                <w:szCs w:val="21"/>
                <w14:textFill>
                  <w14:solidFill>
                    <w14:schemeClr w14:val="tx1"/>
                  </w14:solidFill>
                </w14:textFill>
              </w:rPr>
              <w:t>40</w:t>
            </w:r>
          </w:p>
        </w:tc>
        <w:tc>
          <w:tcPr>
            <w:tcW w:w="588" w:type="pct"/>
            <w:vAlign w:val="center"/>
          </w:tcPr>
          <w:p w14:paraId="4EF42D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30-42</w:t>
            </w:r>
          </w:p>
        </w:tc>
      </w:tr>
      <w:tr w14:paraId="04F01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335" w:type="pct"/>
            <w:vAlign w:val="center"/>
          </w:tcPr>
          <w:p w14:paraId="2FC7334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c>
          <w:tcPr>
            <w:tcW w:w="974" w:type="pct"/>
            <w:vAlign w:val="center"/>
          </w:tcPr>
          <w:p w14:paraId="532E827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750-PD22D-J3</w:t>
            </w:r>
          </w:p>
        </w:tc>
        <w:tc>
          <w:tcPr>
            <w:tcW w:w="556" w:type="pct"/>
            <w:vAlign w:val="center"/>
          </w:tcPr>
          <w:p w14:paraId="27BE2C7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500</w:t>
            </w:r>
          </w:p>
        </w:tc>
        <w:tc>
          <w:tcPr>
            <w:tcW w:w="644" w:type="pct"/>
            <w:vAlign w:val="center"/>
          </w:tcPr>
          <w:p w14:paraId="0ADB1C6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800</w:t>
            </w:r>
          </w:p>
        </w:tc>
        <w:tc>
          <w:tcPr>
            <w:tcW w:w="693" w:type="pct"/>
            <w:vAlign w:val="center"/>
          </w:tcPr>
          <w:p w14:paraId="587FE5C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300/600</w:t>
            </w:r>
          </w:p>
        </w:tc>
        <w:tc>
          <w:tcPr>
            <w:tcW w:w="514" w:type="pct"/>
            <w:vAlign w:val="center"/>
          </w:tcPr>
          <w:p w14:paraId="0AD8E47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692" w:type="pct"/>
            <w:vAlign w:val="center"/>
          </w:tcPr>
          <w:p w14:paraId="463BC57E">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40</w:t>
            </w:r>
            <w:r>
              <w:rPr>
                <w:color w:val="000000" w:themeColor="text1"/>
                <w:sz w:val="21"/>
                <w:szCs w:val="21"/>
                <w14:textFill>
                  <w14:solidFill>
                    <w14:schemeClr w14:val="tx1"/>
                  </w14:solidFill>
                </w14:textFill>
              </w:rPr>
              <w:t>～</w:t>
            </w:r>
            <w:r>
              <w:rPr>
                <w:rFonts w:ascii="Times New Roman" w:hAnsi="Times New Roman" w:eastAsia="Times New Roman" w:cs="Times New Roman"/>
                <w:color w:val="000000" w:themeColor="text1"/>
                <w:sz w:val="21"/>
                <w:szCs w:val="21"/>
                <w14:textFill>
                  <w14:solidFill>
                    <w14:schemeClr w14:val="tx1"/>
                  </w14:solidFill>
                </w14:textFill>
              </w:rPr>
              <w:t>60</w:t>
            </w:r>
          </w:p>
        </w:tc>
        <w:tc>
          <w:tcPr>
            <w:tcW w:w="588" w:type="pct"/>
            <w:vAlign w:val="center"/>
          </w:tcPr>
          <w:p w14:paraId="39D928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30-42</w:t>
            </w:r>
          </w:p>
        </w:tc>
      </w:tr>
      <w:tr w14:paraId="75C0C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335" w:type="pct"/>
            <w:vAlign w:val="center"/>
          </w:tcPr>
          <w:p w14:paraId="77F0C94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4</w:t>
            </w:r>
          </w:p>
        </w:tc>
        <w:tc>
          <w:tcPr>
            <w:tcW w:w="974" w:type="pct"/>
            <w:vAlign w:val="center"/>
          </w:tcPr>
          <w:p w14:paraId="60C9A2F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750-PD22D-J4</w:t>
            </w:r>
          </w:p>
        </w:tc>
        <w:tc>
          <w:tcPr>
            <w:tcW w:w="556" w:type="pct"/>
            <w:vAlign w:val="center"/>
          </w:tcPr>
          <w:p w14:paraId="3E91140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500</w:t>
            </w:r>
          </w:p>
        </w:tc>
        <w:tc>
          <w:tcPr>
            <w:tcW w:w="644" w:type="pct"/>
            <w:vAlign w:val="center"/>
          </w:tcPr>
          <w:p w14:paraId="6D8A45F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800</w:t>
            </w:r>
          </w:p>
        </w:tc>
        <w:tc>
          <w:tcPr>
            <w:tcW w:w="693" w:type="pct"/>
            <w:vAlign w:val="center"/>
          </w:tcPr>
          <w:p w14:paraId="3E350A5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300/600</w:t>
            </w:r>
          </w:p>
        </w:tc>
        <w:tc>
          <w:tcPr>
            <w:tcW w:w="514" w:type="pct"/>
            <w:vAlign w:val="center"/>
          </w:tcPr>
          <w:p w14:paraId="10746D4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692" w:type="pct"/>
            <w:vAlign w:val="center"/>
          </w:tcPr>
          <w:p w14:paraId="5831E7C4">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60</w:t>
            </w:r>
            <w:r>
              <w:rPr>
                <w:color w:val="000000" w:themeColor="text1"/>
                <w:spacing w:val="-2"/>
                <w:sz w:val="21"/>
                <w:szCs w:val="21"/>
                <w14:textFill>
                  <w14:solidFill>
                    <w14:schemeClr w14:val="tx1"/>
                  </w14:solidFill>
                </w14:textFill>
              </w:rPr>
              <w:t>～</w:t>
            </w:r>
            <w:r>
              <w:rPr>
                <w:rFonts w:ascii="Times New Roman" w:hAnsi="Times New Roman" w:eastAsia="Times New Roman" w:cs="Times New Roman"/>
                <w:color w:val="000000" w:themeColor="text1"/>
                <w:spacing w:val="-2"/>
                <w:sz w:val="21"/>
                <w:szCs w:val="21"/>
                <w14:textFill>
                  <w14:solidFill>
                    <w14:schemeClr w14:val="tx1"/>
                  </w14:solidFill>
                </w14:textFill>
              </w:rPr>
              <w:t>90</w:t>
            </w:r>
          </w:p>
        </w:tc>
        <w:tc>
          <w:tcPr>
            <w:tcW w:w="588" w:type="pct"/>
            <w:vAlign w:val="center"/>
          </w:tcPr>
          <w:p w14:paraId="795A83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30-42</w:t>
            </w:r>
          </w:p>
        </w:tc>
      </w:tr>
      <w:tr w14:paraId="61A91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335" w:type="pct"/>
            <w:vAlign w:val="center"/>
          </w:tcPr>
          <w:p w14:paraId="7517CF2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5</w:t>
            </w:r>
          </w:p>
        </w:tc>
        <w:tc>
          <w:tcPr>
            <w:tcW w:w="974" w:type="pct"/>
            <w:vAlign w:val="center"/>
          </w:tcPr>
          <w:p w14:paraId="279D3D1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750-PD22D-DJ</w:t>
            </w:r>
          </w:p>
        </w:tc>
        <w:tc>
          <w:tcPr>
            <w:tcW w:w="556" w:type="pct"/>
            <w:vAlign w:val="center"/>
          </w:tcPr>
          <w:p w14:paraId="6820E86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500</w:t>
            </w:r>
          </w:p>
        </w:tc>
        <w:tc>
          <w:tcPr>
            <w:tcW w:w="644" w:type="pct"/>
            <w:vAlign w:val="center"/>
          </w:tcPr>
          <w:p w14:paraId="38BA5AE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800</w:t>
            </w:r>
          </w:p>
        </w:tc>
        <w:tc>
          <w:tcPr>
            <w:tcW w:w="693" w:type="pct"/>
            <w:vAlign w:val="center"/>
          </w:tcPr>
          <w:p w14:paraId="65096FF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300/600</w:t>
            </w:r>
          </w:p>
        </w:tc>
        <w:tc>
          <w:tcPr>
            <w:tcW w:w="514" w:type="pct"/>
            <w:vAlign w:val="center"/>
          </w:tcPr>
          <w:p w14:paraId="3159248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692" w:type="pct"/>
            <w:vAlign w:val="center"/>
          </w:tcPr>
          <w:p w14:paraId="01A16F8B">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w:t>
            </w:r>
            <w:r>
              <w:rPr>
                <w:color w:val="000000" w:themeColor="text1"/>
                <w:spacing w:val="-2"/>
                <w:sz w:val="21"/>
                <w:szCs w:val="21"/>
                <w14:textFill>
                  <w14:solidFill>
                    <w14:schemeClr w14:val="tx1"/>
                  </w14:solidFill>
                </w14:textFill>
              </w:rPr>
              <w:t>～</w:t>
            </w:r>
            <w:r>
              <w:rPr>
                <w:rFonts w:ascii="Times New Roman" w:hAnsi="Times New Roman" w:eastAsia="Times New Roman" w:cs="Times New Roman"/>
                <w:color w:val="000000" w:themeColor="text1"/>
                <w:spacing w:val="-2"/>
                <w:sz w:val="21"/>
                <w:szCs w:val="21"/>
                <w14:textFill>
                  <w14:solidFill>
                    <w14:schemeClr w14:val="tx1"/>
                  </w14:solidFill>
                </w14:textFill>
              </w:rPr>
              <w:t>90</w:t>
            </w:r>
          </w:p>
        </w:tc>
        <w:tc>
          <w:tcPr>
            <w:tcW w:w="588" w:type="pct"/>
            <w:vAlign w:val="center"/>
          </w:tcPr>
          <w:p w14:paraId="1AA9D7D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30-42</w:t>
            </w:r>
          </w:p>
        </w:tc>
      </w:tr>
      <w:tr w14:paraId="635D3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335" w:type="pct"/>
            <w:vAlign w:val="center"/>
          </w:tcPr>
          <w:p w14:paraId="1896CBB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6</w:t>
            </w:r>
          </w:p>
        </w:tc>
        <w:tc>
          <w:tcPr>
            <w:tcW w:w="974" w:type="pct"/>
            <w:vAlign w:val="center"/>
          </w:tcPr>
          <w:p w14:paraId="5300522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2"/>
                <w:szCs w:val="22"/>
                <w14:textFill>
                  <w14:solidFill>
                    <w14:schemeClr w14:val="tx1"/>
                  </w14:solidFill>
                </w14:textFill>
              </w:rPr>
            </w:pPr>
            <w:r>
              <w:rPr>
                <w:rFonts w:ascii="Times New Roman" w:hAnsi="Times New Roman" w:eastAsia="Times New Roman" w:cs="Times New Roman"/>
                <w:color w:val="000000" w:themeColor="text1"/>
                <w:spacing w:val="-1"/>
                <w:sz w:val="22"/>
                <w:szCs w:val="22"/>
                <w14:textFill>
                  <w14:solidFill>
                    <w14:schemeClr w14:val="tx1"/>
                  </w14:solidFill>
                </w14:textFill>
              </w:rPr>
              <w:t>750-SDJ</w:t>
            </w:r>
          </w:p>
        </w:tc>
        <w:tc>
          <w:tcPr>
            <w:tcW w:w="556" w:type="pct"/>
            <w:vAlign w:val="center"/>
          </w:tcPr>
          <w:p w14:paraId="4179275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400</w:t>
            </w:r>
          </w:p>
        </w:tc>
        <w:tc>
          <w:tcPr>
            <w:tcW w:w="644" w:type="pct"/>
            <w:vAlign w:val="center"/>
          </w:tcPr>
          <w:p w14:paraId="4F0856C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600</w:t>
            </w:r>
          </w:p>
        </w:tc>
        <w:tc>
          <w:tcPr>
            <w:tcW w:w="693" w:type="pct"/>
            <w:vAlign w:val="center"/>
          </w:tcPr>
          <w:p w14:paraId="4EAE8CF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300/600</w:t>
            </w:r>
          </w:p>
        </w:tc>
        <w:tc>
          <w:tcPr>
            <w:tcW w:w="514" w:type="pct"/>
            <w:vAlign w:val="center"/>
          </w:tcPr>
          <w:p w14:paraId="6254E77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w:t>
            </w:r>
          </w:p>
        </w:tc>
        <w:tc>
          <w:tcPr>
            <w:tcW w:w="692" w:type="pct"/>
            <w:vAlign w:val="center"/>
          </w:tcPr>
          <w:p w14:paraId="0A8DA58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0</w:t>
            </w:r>
            <w:r>
              <w:rPr>
                <w:color w:val="000000" w:themeColor="text1"/>
                <w:spacing w:val="-2"/>
                <w:sz w:val="21"/>
                <w:szCs w:val="21"/>
                <w14:textFill>
                  <w14:solidFill>
                    <w14:schemeClr w14:val="tx1"/>
                  </w14:solidFill>
                </w14:textFill>
              </w:rPr>
              <w:t>～</w:t>
            </w:r>
            <w:r>
              <w:rPr>
                <w:rFonts w:ascii="Times New Roman" w:hAnsi="Times New Roman" w:eastAsia="Times New Roman" w:cs="Times New Roman"/>
                <w:color w:val="000000" w:themeColor="text1"/>
                <w:spacing w:val="-2"/>
                <w:sz w:val="21"/>
                <w:szCs w:val="21"/>
                <w14:textFill>
                  <w14:solidFill>
                    <w14:schemeClr w14:val="tx1"/>
                  </w14:solidFill>
                </w14:textFill>
              </w:rPr>
              <w:t>90</w:t>
            </w:r>
          </w:p>
        </w:tc>
        <w:tc>
          <w:tcPr>
            <w:tcW w:w="588" w:type="pct"/>
            <w:vAlign w:val="center"/>
          </w:tcPr>
          <w:p w14:paraId="3BEB5B2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2"/>
                <w:sz w:val="21"/>
                <w:szCs w:val="21"/>
                <w14:textFill>
                  <w14:solidFill>
                    <w14:schemeClr w14:val="tx1"/>
                  </w14:solidFill>
                </w14:textFill>
              </w:rPr>
              <w:t>30-42</w:t>
            </w:r>
          </w:p>
        </w:tc>
      </w:tr>
    </w:tbl>
    <w:p w14:paraId="36439DE1">
      <w:pPr>
        <w:widowControl/>
        <w:ind w:firstLine="0" w:firstLineChars="0"/>
        <w:jc w:val="center"/>
        <w:rPr>
          <w:rFonts w:hint="eastAsia"/>
          <w:b/>
          <w:color w:val="000000" w:themeColor="text1"/>
          <w:kern w:val="0"/>
          <w:sz w:val="21"/>
          <w:szCs w:val="21"/>
          <w14:textFill>
            <w14:solidFill>
              <w14:schemeClr w14:val="tx1"/>
            </w14:solidFill>
          </w14:textFill>
        </w:rPr>
      </w:pPr>
      <w:r>
        <w:rPr>
          <w:rFonts w:hint="eastAsia"/>
          <w:b/>
          <w:color w:val="000000" w:themeColor="text1"/>
          <w:kern w:val="0"/>
          <w:sz w:val="21"/>
          <w:szCs w:val="21"/>
          <w14:textFill>
            <w14:solidFill>
              <w14:schemeClr w14:val="tx1"/>
            </w14:solidFill>
          </w14:textFill>
        </w:rPr>
        <w:t>表3.1-</w:t>
      </w:r>
      <w:r>
        <w:rPr>
          <w:rFonts w:hint="eastAsia"/>
          <w:b/>
          <w:color w:val="000000" w:themeColor="text1"/>
          <w:kern w:val="0"/>
          <w:sz w:val="21"/>
          <w:szCs w:val="21"/>
          <w:lang w:val="en-US" w:eastAsia="zh-CN"/>
          <w14:textFill>
            <w14:solidFill>
              <w14:schemeClr w14:val="tx1"/>
            </w14:solidFill>
          </w14:textFill>
        </w:rPr>
        <w:t>7</w:t>
      </w:r>
      <w:r>
        <w:rPr>
          <w:rFonts w:hint="eastAsia"/>
          <w:b/>
          <w:color w:val="000000" w:themeColor="text1"/>
          <w:kern w:val="0"/>
          <w:sz w:val="21"/>
          <w:szCs w:val="21"/>
          <w14:textFill>
            <w14:solidFill>
              <w14:schemeClr w14:val="tx1"/>
            </w14:solidFill>
          </w14:textFill>
        </w:rPr>
        <w:t xml:space="preserve">  本</w:t>
      </w:r>
      <w:r>
        <w:rPr>
          <w:rFonts w:hint="eastAsia"/>
          <w:b/>
          <w:bCs/>
          <w:color w:val="000000" w:themeColor="text1"/>
          <w:sz w:val="21"/>
          <w:szCs w:val="21"/>
          <w14:textFill>
            <w14:solidFill>
              <w14:schemeClr w14:val="tx1"/>
            </w14:solidFill>
          </w14:textFill>
        </w:rPr>
        <w:t>项目</w:t>
      </w:r>
      <w:r>
        <w:rPr>
          <w:rFonts w:hint="eastAsia"/>
          <w:b/>
          <w:color w:val="000000" w:themeColor="text1"/>
          <w:kern w:val="0"/>
          <w:sz w:val="21"/>
          <w:szCs w:val="21"/>
          <w14:textFill>
            <w14:solidFill>
              <w14:schemeClr w14:val="tx1"/>
            </w14:solidFill>
          </w14:textFill>
        </w:rPr>
        <w:t>线路铁塔型式及数量</w:t>
      </w:r>
    </w:p>
    <w:tbl>
      <w:tblPr>
        <w:tblStyle w:val="59"/>
        <w:tblW w:w="8300"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4"/>
        <w:gridCol w:w="509"/>
        <w:gridCol w:w="508"/>
        <w:gridCol w:w="508"/>
        <w:gridCol w:w="506"/>
        <w:gridCol w:w="509"/>
        <w:gridCol w:w="509"/>
        <w:gridCol w:w="506"/>
        <w:gridCol w:w="509"/>
        <w:gridCol w:w="509"/>
        <w:gridCol w:w="506"/>
        <w:gridCol w:w="571"/>
        <w:gridCol w:w="926"/>
      </w:tblGrid>
      <w:tr w14:paraId="23D13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1724" w:type="dxa"/>
            <w:tcBorders>
              <w:tl2br w:val="single" w:color="000000" w:sz="2" w:space="0"/>
            </w:tcBorders>
            <w:vAlign w:val="center"/>
          </w:tcPr>
          <w:p w14:paraId="726D5E72">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pacing w:val="-10"/>
                <w:sz w:val="21"/>
                <w:szCs w:val="21"/>
                <w14:textFill>
                  <w14:solidFill>
                    <w14:schemeClr w14:val="tx1"/>
                  </w14:solidFill>
                </w14:textFill>
              </w:rPr>
            </w:pPr>
            <w:r>
              <w:rPr>
                <w:b/>
                <w:bCs/>
                <w:color w:val="000000" w:themeColor="text1"/>
                <w:spacing w:val="-10"/>
                <w:sz w:val="21"/>
                <w:szCs w:val="21"/>
                <w14:textFill>
                  <w14:solidFill>
                    <w14:schemeClr w14:val="tx1"/>
                  </w14:solidFill>
                </w14:textFill>
              </w:rPr>
              <w:t>呼高</w:t>
            </w:r>
          </w:p>
          <w:p w14:paraId="605BE35C">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b/>
                <w:bCs/>
                <w:color w:val="000000" w:themeColor="text1"/>
                <w:sz w:val="21"/>
                <w:szCs w:val="21"/>
                <w14:textFill>
                  <w14:solidFill>
                    <w14:schemeClr w14:val="tx1"/>
                  </w14:solidFill>
                </w14:textFill>
              </w:rPr>
            </w:pPr>
            <w:r>
              <w:rPr>
                <w:b/>
                <w:bCs/>
                <w:color w:val="000000" w:themeColor="text1"/>
                <w:spacing w:val="-2"/>
                <w:sz w:val="21"/>
                <w:szCs w:val="21"/>
                <w14:textFill>
                  <w14:solidFill>
                    <w14:schemeClr w14:val="tx1"/>
                  </w14:solidFill>
                </w14:textFill>
              </w:rPr>
              <w:t>塔型</w:t>
            </w:r>
          </w:p>
        </w:tc>
        <w:tc>
          <w:tcPr>
            <w:tcW w:w="509" w:type="dxa"/>
            <w:vAlign w:val="center"/>
          </w:tcPr>
          <w:p w14:paraId="2F60996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2"/>
                <w:sz w:val="21"/>
                <w:szCs w:val="21"/>
                <w14:textFill>
                  <w14:solidFill>
                    <w14:schemeClr w14:val="tx1"/>
                  </w14:solidFill>
                </w14:textFill>
              </w:rPr>
              <w:t>30</w:t>
            </w:r>
          </w:p>
        </w:tc>
        <w:tc>
          <w:tcPr>
            <w:tcW w:w="508" w:type="dxa"/>
            <w:vAlign w:val="center"/>
          </w:tcPr>
          <w:p w14:paraId="3C0DFE9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2"/>
                <w:sz w:val="21"/>
                <w:szCs w:val="21"/>
                <w14:textFill>
                  <w14:solidFill>
                    <w14:schemeClr w14:val="tx1"/>
                  </w14:solidFill>
                </w14:textFill>
              </w:rPr>
              <w:t>33</w:t>
            </w:r>
          </w:p>
        </w:tc>
        <w:tc>
          <w:tcPr>
            <w:tcW w:w="508" w:type="dxa"/>
            <w:vAlign w:val="center"/>
          </w:tcPr>
          <w:p w14:paraId="64C5984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2"/>
                <w:sz w:val="21"/>
                <w:szCs w:val="21"/>
                <w14:textFill>
                  <w14:solidFill>
                    <w14:schemeClr w14:val="tx1"/>
                  </w14:solidFill>
                </w14:textFill>
              </w:rPr>
              <w:t>36</w:t>
            </w:r>
          </w:p>
        </w:tc>
        <w:tc>
          <w:tcPr>
            <w:tcW w:w="506" w:type="dxa"/>
            <w:vAlign w:val="center"/>
          </w:tcPr>
          <w:p w14:paraId="325345C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2"/>
                <w:sz w:val="21"/>
                <w:szCs w:val="21"/>
                <w14:textFill>
                  <w14:solidFill>
                    <w14:schemeClr w14:val="tx1"/>
                  </w14:solidFill>
                </w14:textFill>
              </w:rPr>
              <w:t>39</w:t>
            </w:r>
          </w:p>
        </w:tc>
        <w:tc>
          <w:tcPr>
            <w:tcW w:w="509" w:type="dxa"/>
            <w:vAlign w:val="center"/>
          </w:tcPr>
          <w:p w14:paraId="3402C6F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1"/>
                <w:sz w:val="21"/>
                <w:szCs w:val="21"/>
                <w14:textFill>
                  <w14:solidFill>
                    <w14:schemeClr w14:val="tx1"/>
                  </w14:solidFill>
                </w14:textFill>
              </w:rPr>
              <w:t>42</w:t>
            </w:r>
          </w:p>
        </w:tc>
        <w:tc>
          <w:tcPr>
            <w:tcW w:w="509" w:type="dxa"/>
            <w:vAlign w:val="center"/>
          </w:tcPr>
          <w:p w14:paraId="0478AB5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1"/>
                <w:sz w:val="21"/>
                <w:szCs w:val="21"/>
                <w14:textFill>
                  <w14:solidFill>
                    <w14:schemeClr w14:val="tx1"/>
                  </w14:solidFill>
                </w14:textFill>
              </w:rPr>
              <w:t>45</w:t>
            </w:r>
          </w:p>
        </w:tc>
        <w:tc>
          <w:tcPr>
            <w:tcW w:w="506" w:type="dxa"/>
            <w:vAlign w:val="center"/>
          </w:tcPr>
          <w:p w14:paraId="57DE789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1"/>
                <w:sz w:val="21"/>
                <w:szCs w:val="21"/>
                <w14:textFill>
                  <w14:solidFill>
                    <w14:schemeClr w14:val="tx1"/>
                  </w14:solidFill>
                </w14:textFill>
              </w:rPr>
              <w:t>48</w:t>
            </w:r>
          </w:p>
        </w:tc>
        <w:tc>
          <w:tcPr>
            <w:tcW w:w="509" w:type="dxa"/>
            <w:vAlign w:val="center"/>
          </w:tcPr>
          <w:p w14:paraId="1412CB6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3"/>
                <w:sz w:val="21"/>
                <w:szCs w:val="21"/>
                <w14:textFill>
                  <w14:solidFill>
                    <w14:schemeClr w14:val="tx1"/>
                  </w14:solidFill>
                </w14:textFill>
              </w:rPr>
              <w:t>51</w:t>
            </w:r>
          </w:p>
        </w:tc>
        <w:tc>
          <w:tcPr>
            <w:tcW w:w="509" w:type="dxa"/>
            <w:vAlign w:val="center"/>
          </w:tcPr>
          <w:p w14:paraId="06F550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3"/>
                <w:sz w:val="21"/>
                <w:szCs w:val="21"/>
                <w14:textFill>
                  <w14:solidFill>
                    <w14:schemeClr w14:val="tx1"/>
                  </w14:solidFill>
                </w14:textFill>
              </w:rPr>
              <w:t>57</w:t>
            </w:r>
          </w:p>
        </w:tc>
        <w:tc>
          <w:tcPr>
            <w:tcW w:w="506" w:type="dxa"/>
            <w:vAlign w:val="center"/>
          </w:tcPr>
          <w:p w14:paraId="3D9F336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2"/>
                <w:sz w:val="21"/>
                <w:szCs w:val="21"/>
                <w14:textFill>
                  <w14:solidFill>
                    <w14:schemeClr w14:val="tx1"/>
                  </w14:solidFill>
                </w14:textFill>
              </w:rPr>
              <w:t>60</w:t>
            </w:r>
          </w:p>
        </w:tc>
        <w:tc>
          <w:tcPr>
            <w:tcW w:w="571" w:type="dxa"/>
            <w:vAlign w:val="center"/>
          </w:tcPr>
          <w:p w14:paraId="1F8913B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b/>
                <w:bCs/>
                <w:color w:val="000000" w:themeColor="text1"/>
                <w:sz w:val="21"/>
                <w:szCs w:val="21"/>
                <w14:textFill>
                  <w14:solidFill>
                    <w14:schemeClr w14:val="tx1"/>
                  </w14:solidFill>
                </w14:textFill>
              </w:rPr>
            </w:pPr>
            <w:r>
              <w:rPr>
                <w:rFonts w:ascii="Times New Roman" w:hAnsi="Times New Roman" w:eastAsia="Times New Roman" w:cs="Times New Roman"/>
                <w:b/>
                <w:bCs/>
                <w:color w:val="000000" w:themeColor="text1"/>
                <w:spacing w:val="-2"/>
                <w:sz w:val="21"/>
                <w:szCs w:val="21"/>
                <w14:textFill>
                  <w14:solidFill>
                    <w14:schemeClr w14:val="tx1"/>
                  </w14:solidFill>
                </w14:textFill>
              </w:rPr>
              <w:t>64</w:t>
            </w:r>
          </w:p>
        </w:tc>
        <w:tc>
          <w:tcPr>
            <w:tcW w:w="926" w:type="dxa"/>
            <w:vAlign w:val="center"/>
          </w:tcPr>
          <w:p w14:paraId="59D7BD3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b/>
                <w:bCs/>
                <w:color w:val="000000" w:themeColor="text1"/>
                <w:sz w:val="21"/>
                <w:szCs w:val="21"/>
                <w14:textFill>
                  <w14:solidFill>
                    <w14:schemeClr w14:val="tx1"/>
                  </w14:solidFill>
                </w14:textFill>
              </w:rPr>
            </w:pPr>
            <w:r>
              <w:rPr>
                <w:b/>
                <w:bCs/>
                <w:color w:val="000000" w:themeColor="text1"/>
                <w:spacing w:val="-3"/>
                <w:sz w:val="21"/>
                <w:szCs w:val="21"/>
                <w14:textFill>
                  <w14:solidFill>
                    <w14:schemeClr w14:val="tx1"/>
                  </w14:solidFill>
                </w14:textFill>
              </w:rPr>
              <w:t>总计</w:t>
            </w:r>
          </w:p>
        </w:tc>
      </w:tr>
      <w:tr w14:paraId="18BB6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724" w:type="dxa"/>
            <w:vAlign w:val="center"/>
          </w:tcPr>
          <w:p w14:paraId="4C7FC39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750-PD22D-ZB1</w:t>
            </w:r>
          </w:p>
        </w:tc>
        <w:tc>
          <w:tcPr>
            <w:tcW w:w="509" w:type="dxa"/>
            <w:vAlign w:val="center"/>
          </w:tcPr>
          <w:p w14:paraId="2886AA5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718B191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209C980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1577DEA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73477E5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509" w:type="dxa"/>
            <w:vAlign w:val="center"/>
          </w:tcPr>
          <w:p w14:paraId="4C99427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7</w:t>
            </w:r>
          </w:p>
        </w:tc>
        <w:tc>
          <w:tcPr>
            <w:tcW w:w="506" w:type="dxa"/>
            <w:vAlign w:val="center"/>
          </w:tcPr>
          <w:p w14:paraId="5ACB9AE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22CE3F0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5EAA62C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45ABC1C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71" w:type="dxa"/>
            <w:vAlign w:val="center"/>
          </w:tcPr>
          <w:p w14:paraId="3741587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26" w:type="dxa"/>
            <w:vAlign w:val="center"/>
          </w:tcPr>
          <w:p w14:paraId="6EC8680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9</w:t>
            </w:r>
          </w:p>
        </w:tc>
      </w:tr>
      <w:tr w14:paraId="25C42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724" w:type="dxa"/>
            <w:vAlign w:val="center"/>
          </w:tcPr>
          <w:p w14:paraId="3C3DB1F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750-PD22D-ZB2</w:t>
            </w:r>
          </w:p>
        </w:tc>
        <w:tc>
          <w:tcPr>
            <w:tcW w:w="509" w:type="dxa"/>
            <w:vAlign w:val="center"/>
          </w:tcPr>
          <w:p w14:paraId="47BE32F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7F662F8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4DAE243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07F86E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15F798B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5BB05B8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5</w:t>
            </w:r>
          </w:p>
        </w:tc>
        <w:tc>
          <w:tcPr>
            <w:tcW w:w="506" w:type="dxa"/>
            <w:vAlign w:val="center"/>
          </w:tcPr>
          <w:p w14:paraId="7AE63DD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6"/>
                <w:sz w:val="21"/>
                <w:szCs w:val="21"/>
                <w14:textFill>
                  <w14:solidFill>
                    <w14:schemeClr w14:val="tx1"/>
                  </w14:solidFill>
                </w14:textFill>
              </w:rPr>
              <w:t>11</w:t>
            </w:r>
          </w:p>
        </w:tc>
        <w:tc>
          <w:tcPr>
            <w:tcW w:w="509" w:type="dxa"/>
            <w:vAlign w:val="center"/>
          </w:tcPr>
          <w:p w14:paraId="427FF5E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6"/>
                <w:sz w:val="21"/>
                <w:szCs w:val="21"/>
                <w14:textFill>
                  <w14:solidFill>
                    <w14:schemeClr w14:val="tx1"/>
                  </w14:solidFill>
                </w14:textFill>
              </w:rPr>
              <w:t>19</w:t>
            </w:r>
          </w:p>
        </w:tc>
        <w:tc>
          <w:tcPr>
            <w:tcW w:w="509" w:type="dxa"/>
            <w:vAlign w:val="center"/>
          </w:tcPr>
          <w:p w14:paraId="68EB4B4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506" w:type="dxa"/>
            <w:vAlign w:val="center"/>
          </w:tcPr>
          <w:p w14:paraId="1F553F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4</w:t>
            </w:r>
          </w:p>
        </w:tc>
        <w:tc>
          <w:tcPr>
            <w:tcW w:w="571" w:type="dxa"/>
            <w:vAlign w:val="center"/>
          </w:tcPr>
          <w:p w14:paraId="6006125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26" w:type="dxa"/>
            <w:vAlign w:val="center"/>
          </w:tcPr>
          <w:p w14:paraId="2ABB0BD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41</w:t>
            </w:r>
          </w:p>
        </w:tc>
      </w:tr>
      <w:tr w14:paraId="35454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724" w:type="dxa"/>
            <w:vAlign w:val="center"/>
          </w:tcPr>
          <w:p w14:paraId="67DF30F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750-PD22D-ZB3</w:t>
            </w:r>
          </w:p>
        </w:tc>
        <w:tc>
          <w:tcPr>
            <w:tcW w:w="509" w:type="dxa"/>
            <w:vAlign w:val="center"/>
          </w:tcPr>
          <w:p w14:paraId="3B268B6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03A2691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3FDD2A0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7772047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38FC07B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14B347D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3A393E2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38E465F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4413664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1C5C4AE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71" w:type="dxa"/>
            <w:vAlign w:val="center"/>
          </w:tcPr>
          <w:p w14:paraId="296E4B9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926" w:type="dxa"/>
            <w:vAlign w:val="center"/>
          </w:tcPr>
          <w:p w14:paraId="285D96C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r>
      <w:tr w14:paraId="66D62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724" w:type="dxa"/>
            <w:vAlign w:val="center"/>
          </w:tcPr>
          <w:p w14:paraId="3BE6018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750-PD22D-J1</w:t>
            </w:r>
          </w:p>
        </w:tc>
        <w:tc>
          <w:tcPr>
            <w:tcW w:w="509" w:type="dxa"/>
            <w:vAlign w:val="center"/>
          </w:tcPr>
          <w:p w14:paraId="1542D4C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1656A58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c>
          <w:tcPr>
            <w:tcW w:w="508" w:type="dxa"/>
            <w:vAlign w:val="center"/>
          </w:tcPr>
          <w:p w14:paraId="3B8F7BE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c>
          <w:tcPr>
            <w:tcW w:w="506" w:type="dxa"/>
            <w:vAlign w:val="center"/>
          </w:tcPr>
          <w:p w14:paraId="41AF1EB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c>
          <w:tcPr>
            <w:tcW w:w="509" w:type="dxa"/>
            <w:vAlign w:val="center"/>
          </w:tcPr>
          <w:p w14:paraId="10FC700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1</w:t>
            </w:r>
          </w:p>
        </w:tc>
        <w:tc>
          <w:tcPr>
            <w:tcW w:w="509" w:type="dxa"/>
            <w:vAlign w:val="center"/>
          </w:tcPr>
          <w:p w14:paraId="79A9B0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6FD0A8E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c>
          <w:tcPr>
            <w:tcW w:w="509" w:type="dxa"/>
            <w:vAlign w:val="center"/>
          </w:tcPr>
          <w:p w14:paraId="0937FBF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1F4B078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5F2196E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71" w:type="dxa"/>
            <w:vAlign w:val="center"/>
          </w:tcPr>
          <w:p w14:paraId="3BE0E86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26" w:type="dxa"/>
            <w:vAlign w:val="center"/>
          </w:tcPr>
          <w:p w14:paraId="124DE1B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6"/>
                <w:sz w:val="21"/>
                <w:szCs w:val="21"/>
                <w14:textFill>
                  <w14:solidFill>
                    <w14:schemeClr w14:val="tx1"/>
                  </w14:solidFill>
                </w14:textFill>
              </w:rPr>
              <w:t>13</w:t>
            </w:r>
          </w:p>
        </w:tc>
      </w:tr>
      <w:tr w14:paraId="77D24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724" w:type="dxa"/>
            <w:vAlign w:val="center"/>
          </w:tcPr>
          <w:p w14:paraId="422C83A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750-PD22D-J2</w:t>
            </w:r>
          </w:p>
        </w:tc>
        <w:tc>
          <w:tcPr>
            <w:tcW w:w="509" w:type="dxa"/>
            <w:vAlign w:val="center"/>
          </w:tcPr>
          <w:p w14:paraId="3B3D7BC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284A3D8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0F17524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4DADBBE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39F40F2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c>
          <w:tcPr>
            <w:tcW w:w="509" w:type="dxa"/>
            <w:vAlign w:val="center"/>
          </w:tcPr>
          <w:p w14:paraId="5339B5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0BFA0DE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34D0487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4B18F83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36E098B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71" w:type="dxa"/>
            <w:vAlign w:val="center"/>
          </w:tcPr>
          <w:p w14:paraId="182974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26" w:type="dxa"/>
            <w:vAlign w:val="center"/>
          </w:tcPr>
          <w:p w14:paraId="4A8B82C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r>
      <w:tr w14:paraId="224E6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724" w:type="dxa"/>
            <w:vAlign w:val="center"/>
          </w:tcPr>
          <w:p w14:paraId="4376101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750-PD22D-J3</w:t>
            </w:r>
          </w:p>
        </w:tc>
        <w:tc>
          <w:tcPr>
            <w:tcW w:w="509" w:type="dxa"/>
            <w:vAlign w:val="center"/>
          </w:tcPr>
          <w:p w14:paraId="6F44436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5F1EA7A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508" w:type="dxa"/>
            <w:vAlign w:val="center"/>
          </w:tcPr>
          <w:p w14:paraId="5FCC21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4CA53E5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1A5020F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4</w:t>
            </w:r>
          </w:p>
        </w:tc>
        <w:tc>
          <w:tcPr>
            <w:tcW w:w="509" w:type="dxa"/>
            <w:vAlign w:val="center"/>
          </w:tcPr>
          <w:p w14:paraId="70FDA4D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426377A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35C5272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0F5CAB9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2C83A2C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71" w:type="dxa"/>
            <w:vAlign w:val="center"/>
          </w:tcPr>
          <w:p w14:paraId="7B0871B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26" w:type="dxa"/>
            <w:vAlign w:val="center"/>
          </w:tcPr>
          <w:p w14:paraId="0B715F3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6</w:t>
            </w:r>
          </w:p>
        </w:tc>
      </w:tr>
      <w:tr w14:paraId="34661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1724" w:type="dxa"/>
            <w:vAlign w:val="center"/>
          </w:tcPr>
          <w:p w14:paraId="3290F41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750-PD22D-J4</w:t>
            </w:r>
          </w:p>
        </w:tc>
        <w:tc>
          <w:tcPr>
            <w:tcW w:w="509" w:type="dxa"/>
            <w:vAlign w:val="center"/>
          </w:tcPr>
          <w:p w14:paraId="3A27674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3EABF65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1EC07F2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506" w:type="dxa"/>
            <w:vAlign w:val="center"/>
          </w:tcPr>
          <w:p w14:paraId="535ACB4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1</w:t>
            </w:r>
          </w:p>
        </w:tc>
        <w:tc>
          <w:tcPr>
            <w:tcW w:w="509" w:type="dxa"/>
            <w:vAlign w:val="center"/>
          </w:tcPr>
          <w:p w14:paraId="00F3361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1</w:t>
            </w:r>
          </w:p>
        </w:tc>
        <w:tc>
          <w:tcPr>
            <w:tcW w:w="509" w:type="dxa"/>
            <w:vAlign w:val="center"/>
          </w:tcPr>
          <w:p w14:paraId="465CC1D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3F77B8D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1</w:t>
            </w:r>
          </w:p>
        </w:tc>
        <w:tc>
          <w:tcPr>
            <w:tcW w:w="509" w:type="dxa"/>
            <w:vAlign w:val="center"/>
          </w:tcPr>
          <w:p w14:paraId="7E1C15A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754CAA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2DBB7FA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71" w:type="dxa"/>
            <w:vAlign w:val="center"/>
          </w:tcPr>
          <w:p w14:paraId="7D38902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26" w:type="dxa"/>
            <w:vAlign w:val="center"/>
          </w:tcPr>
          <w:p w14:paraId="2C31D58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5</w:t>
            </w:r>
          </w:p>
        </w:tc>
      </w:tr>
      <w:tr w14:paraId="0420E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724" w:type="dxa"/>
            <w:vAlign w:val="center"/>
          </w:tcPr>
          <w:p w14:paraId="175FB8D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750-PD2</w:t>
            </w:r>
            <w:r>
              <w:rPr>
                <w:rFonts w:hint="eastAsia" w:eastAsia="宋体" w:cs="Times New Roman"/>
                <w:color w:val="000000" w:themeColor="text1"/>
                <w:spacing w:val="-1"/>
                <w:sz w:val="21"/>
                <w:szCs w:val="21"/>
                <w:highlight w:val="none"/>
                <w:lang w:val="en-US" w:eastAsia="zh-CN"/>
                <w14:textFill>
                  <w14:solidFill>
                    <w14:schemeClr w14:val="tx1"/>
                  </w14:solidFill>
                </w14:textFill>
              </w:rPr>
              <w:t>2</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D-DJ</w:t>
            </w:r>
          </w:p>
        </w:tc>
        <w:tc>
          <w:tcPr>
            <w:tcW w:w="509" w:type="dxa"/>
            <w:vAlign w:val="center"/>
          </w:tcPr>
          <w:p w14:paraId="405452D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7B7505D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24543EC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c>
          <w:tcPr>
            <w:tcW w:w="506" w:type="dxa"/>
            <w:vAlign w:val="center"/>
          </w:tcPr>
          <w:p w14:paraId="7AC6C79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2948DCC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234D0EB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287AFC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7ECC7C4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1AD1C5B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7B4C9BC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71" w:type="dxa"/>
            <w:vAlign w:val="center"/>
          </w:tcPr>
          <w:p w14:paraId="0B9DBA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26" w:type="dxa"/>
            <w:vAlign w:val="center"/>
          </w:tcPr>
          <w:p w14:paraId="2B1982F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3</w:t>
            </w:r>
          </w:p>
        </w:tc>
      </w:tr>
      <w:tr w14:paraId="50710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3" w:hRule="atLeast"/>
        </w:trPr>
        <w:tc>
          <w:tcPr>
            <w:tcW w:w="1724" w:type="dxa"/>
            <w:vAlign w:val="center"/>
          </w:tcPr>
          <w:p w14:paraId="5C47C31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1"/>
                <w:sz w:val="21"/>
                <w:szCs w:val="21"/>
                <w14:textFill>
                  <w14:solidFill>
                    <w14:schemeClr w14:val="tx1"/>
                  </w14:solidFill>
                </w14:textFill>
              </w:rPr>
              <w:t>750-SDJ</w:t>
            </w:r>
          </w:p>
        </w:tc>
        <w:tc>
          <w:tcPr>
            <w:tcW w:w="509" w:type="dxa"/>
            <w:vAlign w:val="center"/>
          </w:tcPr>
          <w:p w14:paraId="00B2CFC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508" w:type="dxa"/>
            <w:vAlign w:val="center"/>
          </w:tcPr>
          <w:p w14:paraId="52F6F4B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8" w:type="dxa"/>
            <w:vAlign w:val="center"/>
          </w:tcPr>
          <w:p w14:paraId="6D5065C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6C5EE58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334A7E9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5A6DB8E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185DB1F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315DA0C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9" w:type="dxa"/>
            <w:vAlign w:val="center"/>
          </w:tcPr>
          <w:p w14:paraId="1988BE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06" w:type="dxa"/>
            <w:vAlign w:val="center"/>
          </w:tcPr>
          <w:p w14:paraId="2578323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571" w:type="dxa"/>
            <w:vAlign w:val="center"/>
          </w:tcPr>
          <w:p w14:paraId="33445FF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Arial"/>
                <w:color w:val="000000" w:themeColor="text1"/>
                <w:sz w:val="21"/>
                <w14:textFill>
                  <w14:solidFill>
                    <w14:schemeClr w14:val="tx1"/>
                  </w14:solidFill>
                </w14:textFill>
              </w:rPr>
            </w:pPr>
          </w:p>
        </w:tc>
        <w:tc>
          <w:tcPr>
            <w:tcW w:w="926" w:type="dxa"/>
            <w:vAlign w:val="center"/>
          </w:tcPr>
          <w:p w14:paraId="3B13BAD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r>
      <w:tr w14:paraId="1EB7C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724" w:type="dxa"/>
            <w:vAlign w:val="center"/>
          </w:tcPr>
          <w:p w14:paraId="290F511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总计</w:t>
            </w:r>
          </w:p>
        </w:tc>
        <w:tc>
          <w:tcPr>
            <w:tcW w:w="509" w:type="dxa"/>
            <w:vAlign w:val="center"/>
          </w:tcPr>
          <w:p w14:paraId="62B9C62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508" w:type="dxa"/>
            <w:vAlign w:val="center"/>
          </w:tcPr>
          <w:p w14:paraId="5F165B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5</w:t>
            </w:r>
          </w:p>
        </w:tc>
        <w:tc>
          <w:tcPr>
            <w:tcW w:w="508" w:type="dxa"/>
            <w:vAlign w:val="center"/>
          </w:tcPr>
          <w:p w14:paraId="39B674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8</w:t>
            </w:r>
          </w:p>
        </w:tc>
        <w:tc>
          <w:tcPr>
            <w:tcW w:w="506" w:type="dxa"/>
            <w:vAlign w:val="center"/>
          </w:tcPr>
          <w:p w14:paraId="52CA7E0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4</w:t>
            </w:r>
          </w:p>
        </w:tc>
        <w:tc>
          <w:tcPr>
            <w:tcW w:w="509" w:type="dxa"/>
            <w:vAlign w:val="center"/>
          </w:tcPr>
          <w:p w14:paraId="62E0F5E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6"/>
                <w:sz w:val="21"/>
                <w:szCs w:val="21"/>
                <w14:textFill>
                  <w14:solidFill>
                    <w14:schemeClr w14:val="tx1"/>
                  </w14:solidFill>
                </w14:textFill>
              </w:rPr>
              <w:t>11</w:t>
            </w:r>
          </w:p>
        </w:tc>
        <w:tc>
          <w:tcPr>
            <w:tcW w:w="509" w:type="dxa"/>
            <w:vAlign w:val="center"/>
          </w:tcPr>
          <w:p w14:paraId="0F43FED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6"/>
                <w:sz w:val="21"/>
                <w:szCs w:val="21"/>
                <w14:textFill>
                  <w14:solidFill>
                    <w14:schemeClr w14:val="tx1"/>
                  </w14:solidFill>
                </w14:textFill>
              </w:rPr>
              <w:t>12</w:t>
            </w:r>
          </w:p>
        </w:tc>
        <w:tc>
          <w:tcPr>
            <w:tcW w:w="506" w:type="dxa"/>
            <w:vAlign w:val="center"/>
          </w:tcPr>
          <w:p w14:paraId="519141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6"/>
                <w:sz w:val="21"/>
                <w:szCs w:val="21"/>
                <w14:textFill>
                  <w14:solidFill>
                    <w14:schemeClr w14:val="tx1"/>
                  </w14:solidFill>
                </w14:textFill>
              </w:rPr>
              <w:t>15</w:t>
            </w:r>
          </w:p>
        </w:tc>
        <w:tc>
          <w:tcPr>
            <w:tcW w:w="509" w:type="dxa"/>
            <w:vAlign w:val="center"/>
          </w:tcPr>
          <w:p w14:paraId="0A95B31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6"/>
                <w:sz w:val="21"/>
                <w:szCs w:val="21"/>
                <w14:textFill>
                  <w14:solidFill>
                    <w14:schemeClr w14:val="tx1"/>
                  </w14:solidFill>
                </w14:textFill>
              </w:rPr>
              <w:t>19</w:t>
            </w:r>
          </w:p>
        </w:tc>
        <w:tc>
          <w:tcPr>
            <w:tcW w:w="509" w:type="dxa"/>
            <w:vAlign w:val="center"/>
          </w:tcPr>
          <w:p w14:paraId="02FBA5E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506" w:type="dxa"/>
            <w:vAlign w:val="center"/>
          </w:tcPr>
          <w:p w14:paraId="6ED8F3A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4</w:t>
            </w:r>
          </w:p>
        </w:tc>
        <w:tc>
          <w:tcPr>
            <w:tcW w:w="571" w:type="dxa"/>
            <w:vAlign w:val="center"/>
          </w:tcPr>
          <w:p w14:paraId="74F2E0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z w:val="21"/>
                <w:szCs w:val="21"/>
                <w14:textFill>
                  <w14:solidFill>
                    <w14:schemeClr w14:val="tx1"/>
                  </w14:solidFill>
                </w14:textFill>
              </w:rPr>
              <w:t>2</w:t>
            </w:r>
          </w:p>
        </w:tc>
        <w:tc>
          <w:tcPr>
            <w:tcW w:w="926" w:type="dxa"/>
            <w:vAlign w:val="center"/>
          </w:tcPr>
          <w:p w14:paraId="7FFCB65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ascii="Times New Roman" w:hAnsi="Times New Roman" w:eastAsia="Times New Roman" w:cs="Times New Roman"/>
                <w:color w:val="000000" w:themeColor="text1"/>
                <w:sz w:val="21"/>
                <w:szCs w:val="21"/>
                <w14:textFill>
                  <w14:solidFill>
                    <w14:schemeClr w14:val="tx1"/>
                  </w14:solidFill>
                </w14:textFill>
              </w:rPr>
            </w:pPr>
            <w:r>
              <w:rPr>
                <w:rFonts w:ascii="Times New Roman" w:hAnsi="Times New Roman" w:eastAsia="Times New Roman" w:cs="Times New Roman"/>
                <w:color w:val="000000" w:themeColor="text1"/>
                <w:spacing w:val="-3"/>
                <w:sz w:val="21"/>
                <w:szCs w:val="21"/>
                <w14:textFill>
                  <w14:solidFill>
                    <w14:schemeClr w14:val="tx1"/>
                  </w14:solidFill>
                </w14:textFill>
              </w:rPr>
              <w:t>84</w:t>
            </w:r>
          </w:p>
        </w:tc>
      </w:tr>
    </w:tbl>
    <w:p w14:paraId="3D7462CE">
      <w:pPr>
        <w:tabs>
          <w:tab w:val="left" w:pos="907"/>
          <w:tab w:val="left" w:pos="1034"/>
          <w:tab w:val="left" w:pos="3360"/>
        </w:tabs>
        <w:adjustRightIn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（2）基础形式</w:t>
      </w:r>
    </w:p>
    <w:p w14:paraId="34FF4138">
      <w:pPr>
        <w:tabs>
          <w:tab w:val="left" w:pos="907"/>
          <w:tab w:val="left" w:pos="1034"/>
          <w:tab w:val="left" w:pos="3360"/>
        </w:tabs>
        <w:adjustRightIn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根据沿线地质和水文状况，按照安全可靠、技术先进、经济适用、因地制宜的原则选定常采用的基础型式如下：</w:t>
      </w:r>
      <w:r>
        <w:rPr>
          <w:rFonts w:hint="eastAsia"/>
          <w:color w:val="000000" w:themeColor="text1"/>
          <w:lang w:val="en-US" w:eastAsia="zh-CN"/>
          <w14:textFill>
            <w14:solidFill>
              <w14:schemeClr w14:val="tx1"/>
            </w14:solidFill>
          </w14:textFill>
        </w:rPr>
        <w:t>钢筋混凝土</w:t>
      </w:r>
      <w:r>
        <w:rPr>
          <w:rFonts w:hint="eastAsia"/>
          <w:color w:val="000000" w:themeColor="text1"/>
          <w14:textFill>
            <w14:solidFill>
              <w14:schemeClr w14:val="tx1"/>
            </w14:solidFill>
          </w14:textFill>
        </w:rPr>
        <w:t>板式基础、灌注桩基础、</w:t>
      </w:r>
      <w:r>
        <w:rPr>
          <w:rFonts w:hint="eastAsia"/>
          <w:color w:val="000000" w:themeColor="text1"/>
          <w:lang w:val="en-US" w:eastAsia="zh-CN"/>
          <w14:textFill>
            <w14:solidFill>
              <w14:schemeClr w14:val="tx1"/>
            </w14:solidFill>
          </w14:textFill>
        </w:rPr>
        <w:t>挖孔基础</w:t>
      </w:r>
      <w:r>
        <w:rPr>
          <w:rFonts w:hint="eastAsia"/>
          <w:color w:val="000000" w:themeColor="text1"/>
          <w14:textFill>
            <w14:solidFill>
              <w14:schemeClr w14:val="tx1"/>
            </w14:solidFill>
          </w14:textFill>
        </w:rPr>
        <w:t>。基础数量统计见表3.1-</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。本项目基础形式见图3.1-5。</w:t>
      </w:r>
    </w:p>
    <w:p w14:paraId="3F75C6A7">
      <w:pPr>
        <w:tabs>
          <w:tab w:val="left" w:pos="907"/>
          <w:tab w:val="left" w:pos="1034"/>
          <w:tab w:val="left" w:pos="3360"/>
        </w:tabs>
        <w:adjustRightInd w:val="0"/>
        <w:ind w:firstLine="0" w:firstLineChars="0"/>
        <w:jc w:val="center"/>
        <w:rPr>
          <w:b/>
          <w:color w:val="000000" w:themeColor="text1"/>
          <w:kern w:val="0"/>
          <w:sz w:val="21"/>
          <w:szCs w:val="21"/>
          <w14:textFill>
            <w14:solidFill>
              <w14:schemeClr w14:val="tx1"/>
            </w14:solidFill>
          </w14:textFill>
        </w:rPr>
      </w:pPr>
      <w:r>
        <w:rPr>
          <w:rFonts w:hint="eastAsia"/>
          <w:b/>
          <w:color w:val="000000" w:themeColor="text1"/>
          <w:kern w:val="0"/>
          <w:sz w:val="21"/>
          <w:szCs w:val="21"/>
          <w14:textFill>
            <w14:solidFill>
              <w14:schemeClr w14:val="tx1"/>
            </w14:solidFill>
          </w14:textFill>
        </w:rPr>
        <w:t>表3.1</w:t>
      </w:r>
      <w:r>
        <w:rPr>
          <w:rFonts w:hint="eastAsia"/>
          <w:b/>
          <w:color w:val="000000" w:themeColor="text1"/>
          <w:kern w:val="0"/>
          <w:sz w:val="21"/>
          <w:szCs w:val="21"/>
          <w:lang w:val="en-US" w:eastAsia="zh-CN"/>
          <w14:textFill>
            <w14:solidFill>
              <w14:schemeClr w14:val="tx1"/>
            </w14:solidFill>
          </w14:textFill>
        </w:rPr>
        <w:t>-8</w:t>
      </w:r>
      <w:r>
        <w:rPr>
          <w:rFonts w:hint="eastAsia"/>
          <w:b/>
          <w:color w:val="000000" w:themeColor="text1"/>
          <w:kern w:val="0"/>
          <w:sz w:val="21"/>
          <w:szCs w:val="21"/>
          <w14:textFill>
            <w14:solidFill>
              <w14:schemeClr w14:val="tx1"/>
            </w14:solidFill>
          </w14:textFill>
        </w:rPr>
        <w:t xml:space="preserve">  基础数量统计</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7F5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452CF2F">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基础型式</w:t>
            </w:r>
          </w:p>
        </w:tc>
        <w:tc>
          <w:tcPr>
            <w:tcW w:w="2841" w:type="dxa"/>
          </w:tcPr>
          <w:p w14:paraId="17E301BD">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使用数量（基）</w:t>
            </w:r>
          </w:p>
        </w:tc>
        <w:tc>
          <w:tcPr>
            <w:tcW w:w="2841" w:type="dxa"/>
          </w:tcPr>
          <w:p w14:paraId="7AC663F5">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所占比例（%）</w:t>
            </w:r>
          </w:p>
        </w:tc>
      </w:tr>
      <w:tr w14:paraId="1C4E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5ECC73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钢筋混凝土</w:t>
            </w:r>
            <w:r>
              <w:rPr>
                <w:rFonts w:hint="eastAsia" w:ascii="Times New Roman" w:hAnsi="Times New Roman"/>
                <w:color w:val="000000" w:themeColor="text1"/>
                <w:kern w:val="2"/>
                <w:sz w:val="21"/>
                <w14:textFill>
                  <w14:solidFill>
                    <w14:schemeClr w14:val="tx1"/>
                  </w14:solidFill>
                </w14:textFill>
              </w:rPr>
              <w:t>板式基础</w:t>
            </w:r>
          </w:p>
        </w:tc>
        <w:tc>
          <w:tcPr>
            <w:tcW w:w="2841" w:type="dxa"/>
          </w:tcPr>
          <w:p w14:paraId="37A3D563">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33</w:t>
            </w:r>
          </w:p>
        </w:tc>
        <w:tc>
          <w:tcPr>
            <w:tcW w:w="2841" w:type="dxa"/>
          </w:tcPr>
          <w:p w14:paraId="233DFE39">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39.3</w:t>
            </w:r>
          </w:p>
        </w:tc>
      </w:tr>
      <w:tr w14:paraId="291B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F733FB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挖孔基础</w:t>
            </w:r>
          </w:p>
        </w:tc>
        <w:tc>
          <w:tcPr>
            <w:tcW w:w="2841" w:type="dxa"/>
            <w:shd w:val="clear" w:color="auto" w:fill="auto"/>
          </w:tcPr>
          <w:p w14:paraId="5360CD56">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40</w:t>
            </w:r>
          </w:p>
        </w:tc>
        <w:tc>
          <w:tcPr>
            <w:tcW w:w="2841" w:type="dxa"/>
          </w:tcPr>
          <w:p w14:paraId="43B2455E">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47.6</w:t>
            </w:r>
          </w:p>
        </w:tc>
      </w:tr>
      <w:tr w14:paraId="31D2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175E60F">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灌注桩基础</w:t>
            </w:r>
          </w:p>
        </w:tc>
        <w:tc>
          <w:tcPr>
            <w:tcW w:w="2841" w:type="dxa"/>
            <w:shd w:val="clear" w:color="auto" w:fill="auto"/>
          </w:tcPr>
          <w:p w14:paraId="13079B61">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11</w:t>
            </w:r>
          </w:p>
        </w:tc>
        <w:tc>
          <w:tcPr>
            <w:tcW w:w="2841" w:type="dxa"/>
            <w:shd w:val="clear" w:color="auto" w:fill="auto"/>
          </w:tcPr>
          <w:p w14:paraId="25E0881F">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13.1</w:t>
            </w:r>
          </w:p>
        </w:tc>
      </w:tr>
      <w:tr w14:paraId="4F9D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67455B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合计（基）</w:t>
            </w:r>
          </w:p>
        </w:tc>
        <w:tc>
          <w:tcPr>
            <w:tcW w:w="2841" w:type="dxa"/>
          </w:tcPr>
          <w:p w14:paraId="5808B01C">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84</w:t>
            </w:r>
          </w:p>
        </w:tc>
        <w:tc>
          <w:tcPr>
            <w:tcW w:w="2841" w:type="dxa"/>
            <w:shd w:val="clear" w:color="auto" w:fill="auto"/>
          </w:tcPr>
          <w:p w14:paraId="6058F437">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100</w:t>
            </w:r>
          </w:p>
        </w:tc>
      </w:tr>
    </w:tbl>
    <w:p w14:paraId="76629D99">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3.1.2.</w:t>
      </w:r>
      <w:r>
        <w:rPr>
          <w:rFonts w:hint="eastAsia"/>
          <w:color w:val="000000" w:themeColor="text1"/>
          <w:sz w:val="28"/>
          <w:szCs w:val="28"/>
          <w:lang w:val="en-US" w:eastAsia="zh-CN"/>
          <w14:textFill>
            <w14:solidFill>
              <w14:schemeClr w14:val="tx1"/>
            </w14:solidFill>
          </w14:textFill>
        </w:rPr>
        <w:t>7</w:t>
      </w:r>
      <w:r>
        <w:rPr>
          <w:rFonts w:hint="eastAsia"/>
          <w:color w:val="000000" w:themeColor="text1"/>
          <w:sz w:val="28"/>
          <w:szCs w:val="28"/>
          <w14:textFill>
            <w14:solidFill>
              <w14:schemeClr w14:val="tx1"/>
            </w14:solidFill>
          </w14:textFill>
        </w:rPr>
        <w:t>导线对地距离及交叉距离</w:t>
      </w:r>
    </w:p>
    <w:p w14:paraId="4044EA92">
      <w:pPr>
        <w:widowControl/>
        <w:ind w:firstLine="480"/>
        <w:jc w:val="left"/>
        <w:rPr>
          <w:color w:val="000000" w:themeColor="text1"/>
          <w:kern w:val="0"/>
          <w:lang w:bidi="ar"/>
          <w14:textFill>
            <w14:solidFill>
              <w14:schemeClr w14:val="tx1"/>
            </w14:solidFill>
          </w14:textFill>
        </w:rPr>
      </w:pPr>
      <w:r>
        <w:rPr>
          <w:color w:val="000000" w:themeColor="text1"/>
          <w:kern w:val="0"/>
          <w:lang w:bidi="ar"/>
          <w14:textFill>
            <w14:solidFill>
              <w14:schemeClr w14:val="tx1"/>
            </w14:solidFill>
          </w14:textFill>
        </w:rPr>
        <w:t>根据《110kV～750kV架空输电线路设计规范》（GB 50545－2010）的要求，本输电线路导线对地距离和主要交叉跨越距离如表</w:t>
      </w:r>
      <w:r>
        <w:rPr>
          <w:rFonts w:hint="eastAsia"/>
          <w:color w:val="000000" w:themeColor="text1"/>
          <w:kern w:val="0"/>
          <w:lang w:bidi="ar"/>
          <w14:textFill>
            <w14:solidFill>
              <w14:schemeClr w14:val="tx1"/>
            </w14:solidFill>
          </w14:textFill>
        </w:rPr>
        <w:t>3.1-</w:t>
      </w:r>
      <w:r>
        <w:rPr>
          <w:rFonts w:hint="eastAsia"/>
          <w:color w:val="000000" w:themeColor="text1"/>
          <w:kern w:val="0"/>
          <w:lang w:val="en-US" w:eastAsia="zh-CN" w:bidi="ar"/>
          <w14:textFill>
            <w14:solidFill>
              <w14:schemeClr w14:val="tx1"/>
            </w14:solidFill>
          </w14:textFill>
        </w:rPr>
        <w:t>9</w:t>
      </w:r>
      <w:r>
        <w:rPr>
          <w:color w:val="000000" w:themeColor="text1"/>
          <w:kern w:val="0"/>
          <w:lang w:bidi="ar"/>
          <w14:textFill>
            <w14:solidFill>
              <w14:schemeClr w14:val="tx1"/>
            </w14:solidFill>
          </w14:textFill>
        </w:rPr>
        <w:t>。</w:t>
      </w:r>
    </w:p>
    <w:p w14:paraId="773032D6">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kern w:val="0"/>
          <w:sz w:val="21"/>
          <w:szCs w:val="21"/>
          <w:lang w:val="en-US" w:eastAsia="zh-CN" w:bidi="ar-SA"/>
          <w14:textFill>
            <w14:solidFill>
              <w14:schemeClr w14:val="tx1"/>
            </w14:solidFill>
          </w14:textFill>
        </w:rPr>
        <w:t>表</w:t>
      </w:r>
      <w:r>
        <w:rPr>
          <w:rFonts w:hint="eastAsia" w:cs="Times New Roman"/>
          <w:b/>
          <w:color w:val="000000" w:themeColor="text1"/>
          <w:kern w:val="0"/>
          <w:sz w:val="21"/>
          <w:szCs w:val="21"/>
          <w:lang w:val="en-US" w:eastAsia="zh-CN" w:bidi="ar-SA"/>
          <w14:textFill>
            <w14:solidFill>
              <w14:schemeClr w14:val="tx1"/>
            </w14:solidFill>
          </w14:textFill>
        </w:rPr>
        <w:t>3.1-9</w:t>
      </w:r>
      <w:r>
        <w:rPr>
          <w:rFonts w:hint="eastAsia" w:ascii="Times New Roman" w:hAnsi="Times New Roman" w:eastAsia="宋体" w:cs="Times New Roman"/>
          <w:b/>
          <w:color w:val="000000" w:themeColor="text1"/>
          <w:kern w:val="0"/>
          <w:sz w:val="21"/>
          <w:szCs w:val="21"/>
          <w:lang w:val="en-US" w:eastAsia="zh-CN" w:bidi="ar-SA"/>
          <w14:textFill>
            <w14:solidFill>
              <w14:schemeClr w14:val="tx1"/>
            </w14:solidFill>
          </w14:textFill>
        </w:rPr>
        <w:t xml:space="preserve"> 导线对地距离和交叉跨越距离表</w:t>
      </w:r>
    </w:p>
    <w:tbl>
      <w:tblPr>
        <w:tblStyle w:val="59"/>
        <w:tblW w:w="8528" w:type="dxa"/>
        <w:tblInd w:w="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0"/>
        <w:gridCol w:w="789"/>
        <w:gridCol w:w="1628"/>
        <w:gridCol w:w="1668"/>
        <w:gridCol w:w="1492"/>
        <w:gridCol w:w="1951"/>
      </w:tblGrid>
      <w:tr w14:paraId="3925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6678A3E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pacing w:val="-2"/>
                <w:sz w:val="22"/>
                <w:szCs w:val="22"/>
                <w14:textFill>
                  <w14:solidFill>
                    <w14:schemeClr w14:val="tx1"/>
                  </w14:solidFill>
                </w14:textFill>
              </w:rPr>
              <w:t>序号</w:t>
            </w:r>
          </w:p>
        </w:tc>
        <w:tc>
          <w:tcPr>
            <w:tcW w:w="2417" w:type="dxa"/>
            <w:gridSpan w:val="2"/>
            <w:vAlign w:val="center"/>
          </w:tcPr>
          <w:p w14:paraId="11CC69A3">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pacing w:val="-4"/>
                <w:sz w:val="22"/>
                <w:szCs w:val="22"/>
                <w14:textFill>
                  <w14:solidFill>
                    <w14:schemeClr w14:val="tx1"/>
                  </w14:solidFill>
                </w14:textFill>
              </w:rPr>
              <w:t>场所</w:t>
            </w:r>
          </w:p>
        </w:tc>
        <w:tc>
          <w:tcPr>
            <w:tcW w:w="1668" w:type="dxa"/>
            <w:vAlign w:val="center"/>
          </w:tcPr>
          <w:p w14:paraId="622BA25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pacing w:val="-2"/>
                <w:sz w:val="22"/>
                <w:szCs w:val="22"/>
                <w14:textFill>
                  <w14:solidFill>
                    <w14:schemeClr w14:val="tx1"/>
                  </w14:solidFill>
                </w14:textFill>
              </w:rPr>
              <w:t>垂直距离</w:t>
            </w:r>
            <w:r>
              <w:rPr>
                <w:rFonts w:hint="default" w:ascii="Times New Roman" w:hAnsi="Times New Roman" w:cs="Times New Roman"/>
                <w:b/>
                <w:bCs/>
                <w:color w:val="000000" w:themeColor="text1"/>
                <w:spacing w:val="-5"/>
                <w:sz w:val="22"/>
                <w:szCs w:val="22"/>
                <w14:textFill>
                  <w14:solidFill>
                    <w14:schemeClr w14:val="tx1"/>
                  </w14:solidFill>
                </w14:textFill>
              </w:rPr>
              <w:t>（m）</w:t>
            </w:r>
          </w:p>
        </w:tc>
        <w:tc>
          <w:tcPr>
            <w:tcW w:w="1492" w:type="dxa"/>
            <w:vAlign w:val="center"/>
          </w:tcPr>
          <w:p w14:paraId="55679CD3">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pacing w:val="-3"/>
                <w:sz w:val="22"/>
                <w:szCs w:val="22"/>
                <w14:textFill>
                  <w14:solidFill>
                    <w14:schemeClr w14:val="tx1"/>
                  </w14:solidFill>
                </w14:textFill>
              </w:rPr>
              <w:t>净空距离</w:t>
            </w:r>
            <w:r>
              <w:rPr>
                <w:rFonts w:hint="default" w:ascii="Times New Roman" w:hAnsi="Times New Roman" w:cs="Times New Roman"/>
                <w:b/>
                <w:bCs/>
                <w:color w:val="000000" w:themeColor="text1"/>
                <w:spacing w:val="-5"/>
                <w:sz w:val="22"/>
                <w:szCs w:val="22"/>
                <w14:textFill>
                  <w14:solidFill>
                    <w14:schemeClr w14:val="tx1"/>
                  </w14:solidFill>
                </w14:textFill>
              </w:rPr>
              <w:t>（m）</w:t>
            </w:r>
          </w:p>
        </w:tc>
        <w:tc>
          <w:tcPr>
            <w:tcW w:w="1951" w:type="dxa"/>
            <w:vAlign w:val="center"/>
          </w:tcPr>
          <w:p w14:paraId="725EEEDC">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pacing w:val="-2"/>
                <w:sz w:val="22"/>
                <w:szCs w:val="22"/>
                <w14:textFill>
                  <w14:solidFill>
                    <w14:schemeClr w14:val="tx1"/>
                  </w14:solidFill>
                </w14:textFill>
              </w:rPr>
              <w:t>水平距离（m）</w:t>
            </w:r>
          </w:p>
        </w:tc>
      </w:tr>
      <w:tr w14:paraId="2290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294AB95E">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1</w:t>
            </w:r>
          </w:p>
        </w:tc>
        <w:tc>
          <w:tcPr>
            <w:tcW w:w="2417" w:type="dxa"/>
            <w:gridSpan w:val="2"/>
            <w:vAlign w:val="center"/>
          </w:tcPr>
          <w:p w14:paraId="7E829D9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居民区</w:t>
            </w:r>
          </w:p>
        </w:tc>
        <w:tc>
          <w:tcPr>
            <w:tcW w:w="1668" w:type="dxa"/>
            <w:vAlign w:val="center"/>
          </w:tcPr>
          <w:p w14:paraId="2B6983F3">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5"/>
                <w:sz w:val="22"/>
                <w:szCs w:val="22"/>
                <w14:textFill>
                  <w14:solidFill>
                    <w14:schemeClr w14:val="tx1"/>
                  </w14:solidFill>
                </w14:textFill>
              </w:rPr>
              <w:t>19.5</w:t>
            </w:r>
          </w:p>
        </w:tc>
        <w:tc>
          <w:tcPr>
            <w:tcW w:w="1492" w:type="dxa"/>
            <w:vAlign w:val="center"/>
          </w:tcPr>
          <w:p w14:paraId="498D03C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27C764C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r>
      <w:tr w14:paraId="1041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5575F61B">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2</w:t>
            </w:r>
          </w:p>
        </w:tc>
        <w:tc>
          <w:tcPr>
            <w:tcW w:w="2417" w:type="dxa"/>
            <w:gridSpan w:val="2"/>
            <w:vAlign w:val="center"/>
          </w:tcPr>
          <w:p w14:paraId="6E63C0B0">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非居民区</w:t>
            </w:r>
          </w:p>
        </w:tc>
        <w:tc>
          <w:tcPr>
            <w:tcW w:w="1668" w:type="dxa"/>
            <w:vAlign w:val="center"/>
          </w:tcPr>
          <w:p w14:paraId="0A8E4F5A">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5"/>
                <w:sz w:val="22"/>
                <w:szCs w:val="22"/>
                <w14:textFill>
                  <w14:solidFill>
                    <w14:schemeClr w14:val="tx1"/>
                  </w14:solidFill>
                </w14:textFill>
              </w:rPr>
              <w:t>15.5</w:t>
            </w:r>
            <w:r>
              <w:rPr>
                <w:rFonts w:hint="default" w:ascii="Times New Roman" w:hAnsi="Times New Roman" w:cs="Times New Roman"/>
                <w:color w:val="000000" w:themeColor="text1"/>
                <w:spacing w:val="-3"/>
                <w:sz w:val="22"/>
                <w:szCs w:val="22"/>
                <w14:textFill>
                  <w14:solidFill>
                    <w14:schemeClr w14:val="tx1"/>
                  </w14:solidFill>
                </w14:textFill>
              </w:rPr>
              <w:t>（13.7）</w:t>
            </w:r>
          </w:p>
        </w:tc>
        <w:tc>
          <w:tcPr>
            <w:tcW w:w="1492" w:type="dxa"/>
            <w:vAlign w:val="center"/>
          </w:tcPr>
          <w:p w14:paraId="6F3E4D0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007B3AB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r>
      <w:tr w14:paraId="5E95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0370CDD2">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3</w:t>
            </w:r>
          </w:p>
        </w:tc>
        <w:tc>
          <w:tcPr>
            <w:tcW w:w="2417" w:type="dxa"/>
            <w:gridSpan w:val="2"/>
            <w:vAlign w:val="center"/>
          </w:tcPr>
          <w:p w14:paraId="01F54B32">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交通困难地区</w:t>
            </w:r>
          </w:p>
        </w:tc>
        <w:tc>
          <w:tcPr>
            <w:tcW w:w="1668" w:type="dxa"/>
            <w:vAlign w:val="center"/>
          </w:tcPr>
          <w:p w14:paraId="00AD98EE">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11</w:t>
            </w:r>
          </w:p>
        </w:tc>
        <w:tc>
          <w:tcPr>
            <w:tcW w:w="1492" w:type="dxa"/>
            <w:vAlign w:val="center"/>
          </w:tcPr>
          <w:p w14:paraId="64AB56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18DE926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r>
      <w:tr w14:paraId="4CCA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3CFB11CD">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4</w:t>
            </w:r>
          </w:p>
        </w:tc>
        <w:tc>
          <w:tcPr>
            <w:tcW w:w="2417" w:type="dxa"/>
            <w:gridSpan w:val="2"/>
            <w:vAlign w:val="center"/>
          </w:tcPr>
          <w:p w14:paraId="70E41DB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步行可达山坡</w:t>
            </w:r>
          </w:p>
        </w:tc>
        <w:tc>
          <w:tcPr>
            <w:tcW w:w="1668" w:type="dxa"/>
            <w:vAlign w:val="center"/>
          </w:tcPr>
          <w:p w14:paraId="058AE82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492" w:type="dxa"/>
            <w:vAlign w:val="center"/>
          </w:tcPr>
          <w:p w14:paraId="4239208D">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11</w:t>
            </w:r>
          </w:p>
        </w:tc>
        <w:tc>
          <w:tcPr>
            <w:tcW w:w="1951" w:type="dxa"/>
            <w:vAlign w:val="center"/>
          </w:tcPr>
          <w:p w14:paraId="46CCF28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r>
      <w:tr w14:paraId="0690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7B518A4E">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5</w:t>
            </w:r>
          </w:p>
        </w:tc>
        <w:tc>
          <w:tcPr>
            <w:tcW w:w="2417" w:type="dxa"/>
            <w:gridSpan w:val="2"/>
            <w:vAlign w:val="center"/>
          </w:tcPr>
          <w:p w14:paraId="09EC8C17">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步行不可达山坡</w:t>
            </w:r>
          </w:p>
        </w:tc>
        <w:tc>
          <w:tcPr>
            <w:tcW w:w="1668" w:type="dxa"/>
            <w:vAlign w:val="center"/>
          </w:tcPr>
          <w:p w14:paraId="7EA97A7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492" w:type="dxa"/>
            <w:vAlign w:val="center"/>
          </w:tcPr>
          <w:p w14:paraId="73DCF6EC">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8.5</w:t>
            </w:r>
          </w:p>
        </w:tc>
        <w:tc>
          <w:tcPr>
            <w:tcW w:w="1951" w:type="dxa"/>
            <w:vAlign w:val="center"/>
          </w:tcPr>
          <w:p w14:paraId="1D2D7F9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r>
      <w:tr w14:paraId="2061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55DC2658">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6</w:t>
            </w:r>
          </w:p>
        </w:tc>
        <w:tc>
          <w:tcPr>
            <w:tcW w:w="2417" w:type="dxa"/>
            <w:gridSpan w:val="2"/>
            <w:vAlign w:val="center"/>
          </w:tcPr>
          <w:p w14:paraId="1FB08850">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建筑物</w:t>
            </w:r>
          </w:p>
        </w:tc>
        <w:tc>
          <w:tcPr>
            <w:tcW w:w="1668" w:type="dxa"/>
            <w:vAlign w:val="center"/>
          </w:tcPr>
          <w:p w14:paraId="0E09B92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5"/>
                <w:sz w:val="22"/>
                <w:szCs w:val="22"/>
                <w14:textFill>
                  <w14:solidFill>
                    <w14:schemeClr w14:val="tx1"/>
                  </w14:solidFill>
                </w14:textFill>
              </w:rPr>
              <w:t>11.5</w:t>
            </w:r>
          </w:p>
        </w:tc>
        <w:tc>
          <w:tcPr>
            <w:tcW w:w="1492" w:type="dxa"/>
            <w:vAlign w:val="center"/>
          </w:tcPr>
          <w:p w14:paraId="2C1DA77D">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11</w:t>
            </w:r>
          </w:p>
        </w:tc>
        <w:tc>
          <w:tcPr>
            <w:tcW w:w="1951" w:type="dxa"/>
            <w:vAlign w:val="center"/>
          </w:tcPr>
          <w:p w14:paraId="589E7234">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6</w:t>
            </w:r>
          </w:p>
        </w:tc>
      </w:tr>
      <w:tr w14:paraId="7DCB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3E17859B">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7</w:t>
            </w:r>
          </w:p>
        </w:tc>
        <w:tc>
          <w:tcPr>
            <w:tcW w:w="2417" w:type="dxa"/>
            <w:gridSpan w:val="2"/>
            <w:vAlign w:val="center"/>
          </w:tcPr>
          <w:p w14:paraId="1DCC96D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树木</w:t>
            </w:r>
          </w:p>
        </w:tc>
        <w:tc>
          <w:tcPr>
            <w:tcW w:w="1668" w:type="dxa"/>
            <w:vAlign w:val="center"/>
          </w:tcPr>
          <w:p w14:paraId="4EB21C1C">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8.5</w:t>
            </w:r>
          </w:p>
        </w:tc>
        <w:tc>
          <w:tcPr>
            <w:tcW w:w="1492" w:type="dxa"/>
            <w:vAlign w:val="center"/>
          </w:tcPr>
          <w:p w14:paraId="5FD0D4EF">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8.5</w:t>
            </w:r>
          </w:p>
        </w:tc>
        <w:tc>
          <w:tcPr>
            <w:tcW w:w="1951" w:type="dxa"/>
            <w:vAlign w:val="center"/>
          </w:tcPr>
          <w:p w14:paraId="4C260C8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r>
      <w:tr w14:paraId="143E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7F6AA17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8</w:t>
            </w:r>
          </w:p>
        </w:tc>
        <w:tc>
          <w:tcPr>
            <w:tcW w:w="2417" w:type="dxa"/>
            <w:gridSpan w:val="2"/>
            <w:vAlign w:val="center"/>
          </w:tcPr>
          <w:p w14:paraId="68C446F0">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标准铁路</w:t>
            </w:r>
          </w:p>
        </w:tc>
        <w:tc>
          <w:tcPr>
            <w:tcW w:w="1668" w:type="dxa"/>
            <w:vAlign w:val="center"/>
          </w:tcPr>
          <w:p w14:paraId="057322D8">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5"/>
                <w:sz w:val="22"/>
                <w:szCs w:val="22"/>
                <w14:textFill>
                  <w14:solidFill>
                    <w14:schemeClr w14:val="tx1"/>
                  </w14:solidFill>
                </w14:textFill>
              </w:rPr>
              <w:t>19.5</w:t>
            </w:r>
          </w:p>
        </w:tc>
        <w:tc>
          <w:tcPr>
            <w:tcW w:w="1492" w:type="dxa"/>
            <w:vAlign w:val="center"/>
          </w:tcPr>
          <w:p w14:paraId="74F9F54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2CCF5CD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1"/>
                <w:sz w:val="22"/>
                <w:szCs w:val="22"/>
                <w14:textFill>
                  <w14:solidFill>
                    <w14:schemeClr w14:val="tx1"/>
                  </w14:solidFill>
                </w14:textFill>
              </w:rPr>
              <w:t>交叉：30</w:t>
            </w:r>
          </w:p>
        </w:tc>
      </w:tr>
      <w:tr w14:paraId="2568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4A8B9DD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9</w:t>
            </w:r>
          </w:p>
        </w:tc>
        <w:tc>
          <w:tcPr>
            <w:tcW w:w="2417" w:type="dxa"/>
            <w:gridSpan w:val="2"/>
            <w:vAlign w:val="center"/>
          </w:tcPr>
          <w:p w14:paraId="3703745E">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电气化铁路</w:t>
            </w:r>
          </w:p>
        </w:tc>
        <w:tc>
          <w:tcPr>
            <w:tcW w:w="1668" w:type="dxa"/>
            <w:vAlign w:val="center"/>
          </w:tcPr>
          <w:p w14:paraId="286D827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21.5</w:t>
            </w:r>
          </w:p>
        </w:tc>
        <w:tc>
          <w:tcPr>
            <w:tcW w:w="1492" w:type="dxa"/>
            <w:vAlign w:val="center"/>
          </w:tcPr>
          <w:p w14:paraId="7644060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55C846F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r>
      <w:tr w14:paraId="6983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664EA11C">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10</w:t>
            </w:r>
          </w:p>
        </w:tc>
        <w:tc>
          <w:tcPr>
            <w:tcW w:w="2417" w:type="dxa"/>
            <w:gridSpan w:val="2"/>
            <w:vAlign w:val="center"/>
          </w:tcPr>
          <w:p w14:paraId="3AFB61A4">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4"/>
                <w:sz w:val="22"/>
                <w:szCs w:val="22"/>
                <w14:textFill>
                  <w14:solidFill>
                    <w14:schemeClr w14:val="tx1"/>
                  </w14:solidFill>
                </w14:textFill>
              </w:rPr>
              <w:t>公路</w:t>
            </w:r>
          </w:p>
        </w:tc>
        <w:tc>
          <w:tcPr>
            <w:tcW w:w="1668" w:type="dxa"/>
            <w:vAlign w:val="center"/>
          </w:tcPr>
          <w:p w14:paraId="77CC6036">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5"/>
                <w:sz w:val="22"/>
                <w:szCs w:val="22"/>
                <w14:textFill>
                  <w14:solidFill>
                    <w14:schemeClr w14:val="tx1"/>
                  </w14:solidFill>
                </w14:textFill>
              </w:rPr>
              <w:t>19.5</w:t>
            </w:r>
          </w:p>
        </w:tc>
        <w:tc>
          <w:tcPr>
            <w:tcW w:w="1492" w:type="dxa"/>
            <w:vAlign w:val="center"/>
          </w:tcPr>
          <w:p w14:paraId="354B5FE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4E600DBE">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交叉：10</w:t>
            </w:r>
          </w:p>
        </w:tc>
      </w:tr>
      <w:tr w14:paraId="7722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Align w:val="center"/>
          </w:tcPr>
          <w:p w14:paraId="461AC090">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11</w:t>
            </w:r>
          </w:p>
        </w:tc>
        <w:tc>
          <w:tcPr>
            <w:tcW w:w="2417" w:type="dxa"/>
            <w:gridSpan w:val="2"/>
            <w:vAlign w:val="center"/>
          </w:tcPr>
          <w:p w14:paraId="20737457">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3"/>
                <w:sz w:val="22"/>
                <w:szCs w:val="22"/>
                <w14:textFill>
                  <w14:solidFill>
                    <w14:schemeClr w14:val="tx1"/>
                  </w14:solidFill>
                </w14:textFill>
              </w:rPr>
              <w:t>弱电线</w:t>
            </w:r>
          </w:p>
        </w:tc>
        <w:tc>
          <w:tcPr>
            <w:tcW w:w="1668" w:type="dxa"/>
            <w:vAlign w:val="center"/>
          </w:tcPr>
          <w:p w14:paraId="6E934B67">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12</w:t>
            </w:r>
          </w:p>
        </w:tc>
        <w:tc>
          <w:tcPr>
            <w:tcW w:w="1492" w:type="dxa"/>
            <w:vAlign w:val="center"/>
          </w:tcPr>
          <w:p w14:paraId="6A9B2C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0B0BCAA0">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10</w:t>
            </w:r>
          </w:p>
        </w:tc>
      </w:tr>
      <w:tr w14:paraId="12A8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Merge w:val="restart"/>
            <w:vAlign w:val="center"/>
          </w:tcPr>
          <w:p w14:paraId="6DC47C0D">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12</w:t>
            </w:r>
          </w:p>
        </w:tc>
        <w:tc>
          <w:tcPr>
            <w:tcW w:w="2417" w:type="dxa"/>
            <w:gridSpan w:val="2"/>
            <w:vMerge w:val="restart"/>
            <w:vAlign w:val="center"/>
          </w:tcPr>
          <w:p w14:paraId="0F3CE502">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8"/>
                <w:sz w:val="22"/>
                <w:szCs w:val="22"/>
                <w14:textFill>
                  <w14:solidFill>
                    <w14:schemeClr w14:val="tx1"/>
                  </w14:solidFill>
                </w14:textFill>
              </w:rPr>
              <w:t>电力线</w:t>
            </w:r>
          </w:p>
        </w:tc>
        <w:tc>
          <w:tcPr>
            <w:tcW w:w="1668" w:type="dxa"/>
            <w:vMerge w:val="restart"/>
            <w:vAlign w:val="center"/>
          </w:tcPr>
          <w:p w14:paraId="1C192FCC">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3"/>
                <w:sz w:val="22"/>
                <w:szCs w:val="22"/>
                <w14:textFill>
                  <w14:solidFill>
                    <w14:schemeClr w14:val="tx1"/>
                  </w14:solidFill>
                </w14:textFill>
              </w:rPr>
              <w:t>7（12）</w:t>
            </w:r>
          </w:p>
        </w:tc>
        <w:tc>
          <w:tcPr>
            <w:tcW w:w="1492" w:type="dxa"/>
            <w:vMerge w:val="restart"/>
            <w:vAlign w:val="center"/>
          </w:tcPr>
          <w:p w14:paraId="3AB24EA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2E716784">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4"/>
                <w:sz w:val="22"/>
                <w:szCs w:val="22"/>
                <w14:textFill>
                  <w14:solidFill>
                    <w14:schemeClr w14:val="tx1"/>
                  </w14:solidFill>
                </w14:textFill>
              </w:rPr>
              <w:t>同步：16.0</w:t>
            </w:r>
          </w:p>
        </w:tc>
      </w:tr>
      <w:tr w14:paraId="4C15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Merge w:val="continue"/>
            <w:vAlign w:val="center"/>
          </w:tcPr>
          <w:p w14:paraId="4F014EA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2417" w:type="dxa"/>
            <w:gridSpan w:val="2"/>
            <w:vMerge w:val="continue"/>
            <w:vAlign w:val="center"/>
          </w:tcPr>
          <w:p w14:paraId="5A77788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668" w:type="dxa"/>
            <w:vMerge w:val="continue"/>
            <w:vAlign w:val="center"/>
          </w:tcPr>
          <w:p w14:paraId="3261BD1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492" w:type="dxa"/>
            <w:vMerge w:val="continue"/>
            <w:vAlign w:val="center"/>
          </w:tcPr>
          <w:p w14:paraId="576846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36BD7AE2">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6"/>
                <w:sz w:val="22"/>
                <w:szCs w:val="22"/>
                <w14:textFill>
                  <w14:solidFill>
                    <w14:schemeClr w14:val="tx1"/>
                  </w14:solidFill>
                </w14:textFill>
              </w:rPr>
              <w:t>交错（大风</w:t>
            </w:r>
            <w:r>
              <w:rPr>
                <w:rFonts w:hint="default" w:ascii="Times New Roman" w:hAnsi="Times New Roman" w:cs="Times New Roman"/>
                <w:color w:val="000000" w:themeColor="text1"/>
                <w:spacing w:val="-17"/>
                <w:sz w:val="22"/>
                <w:szCs w:val="22"/>
                <w14:textFill>
                  <w14:solidFill>
                    <w14:schemeClr w14:val="tx1"/>
                  </w14:solidFill>
                </w14:textFill>
              </w:rPr>
              <w:t>）：</w:t>
            </w:r>
            <w:r>
              <w:rPr>
                <w:rFonts w:hint="default" w:ascii="Times New Roman" w:hAnsi="Times New Roman" w:cs="Times New Roman"/>
                <w:color w:val="000000" w:themeColor="text1"/>
                <w:spacing w:val="-2"/>
                <w:sz w:val="22"/>
                <w:szCs w:val="22"/>
                <w14:textFill>
                  <w14:solidFill>
                    <w14:schemeClr w14:val="tx1"/>
                  </w14:solidFill>
                </w14:textFill>
              </w:rPr>
              <w:t>9.5</w:t>
            </w:r>
          </w:p>
        </w:tc>
      </w:tr>
      <w:tr w14:paraId="29B7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Merge w:val="restart"/>
            <w:vAlign w:val="center"/>
          </w:tcPr>
          <w:p w14:paraId="57DDC2A0">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7"/>
                <w:sz w:val="22"/>
                <w:szCs w:val="22"/>
                <w14:textFill>
                  <w14:solidFill>
                    <w14:schemeClr w14:val="tx1"/>
                  </w14:solidFill>
                </w14:textFill>
              </w:rPr>
              <w:t>13</w:t>
            </w:r>
          </w:p>
        </w:tc>
        <w:tc>
          <w:tcPr>
            <w:tcW w:w="789" w:type="dxa"/>
            <w:vMerge w:val="restart"/>
            <w:vAlign w:val="center"/>
          </w:tcPr>
          <w:p w14:paraId="7F1D359B">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4"/>
                <w:sz w:val="22"/>
                <w:szCs w:val="22"/>
                <w14:textFill>
                  <w14:solidFill>
                    <w14:schemeClr w14:val="tx1"/>
                  </w14:solidFill>
                </w14:textFill>
              </w:rPr>
              <w:t>不通航</w:t>
            </w:r>
            <w:r>
              <w:rPr>
                <w:rFonts w:hint="default" w:ascii="Times New Roman" w:hAnsi="Times New Roman" w:cs="Times New Roman"/>
                <w:color w:val="000000" w:themeColor="text1"/>
                <w:spacing w:val="-2"/>
                <w:sz w:val="22"/>
                <w:szCs w:val="22"/>
                <w14:textFill>
                  <w14:solidFill>
                    <w14:schemeClr w14:val="tx1"/>
                  </w14:solidFill>
                </w14:textFill>
              </w:rPr>
              <w:t>河流</w:t>
            </w:r>
          </w:p>
        </w:tc>
        <w:tc>
          <w:tcPr>
            <w:tcW w:w="1628" w:type="dxa"/>
            <w:vAlign w:val="center"/>
          </w:tcPr>
          <w:p w14:paraId="0016498B">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3"/>
                <w:sz w:val="22"/>
                <w:szCs w:val="22"/>
                <w14:textFill>
                  <w14:solidFill>
                    <w14:schemeClr w14:val="tx1"/>
                  </w14:solidFill>
                </w14:textFill>
              </w:rPr>
              <w:t>百年一遇洪水</w:t>
            </w:r>
            <w:r>
              <w:rPr>
                <w:rFonts w:hint="default" w:ascii="Times New Roman" w:hAnsi="Times New Roman" w:cs="Times New Roman"/>
                <w:color w:val="000000" w:themeColor="text1"/>
                <w:sz w:val="22"/>
                <w:szCs w:val="22"/>
                <w14:textFill>
                  <w14:solidFill>
                    <w14:schemeClr w14:val="tx1"/>
                  </w14:solidFill>
                </w14:textFill>
              </w:rPr>
              <w:t>位</w:t>
            </w:r>
          </w:p>
        </w:tc>
        <w:tc>
          <w:tcPr>
            <w:tcW w:w="1668" w:type="dxa"/>
            <w:vAlign w:val="center"/>
          </w:tcPr>
          <w:p w14:paraId="5BA3CFD4">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8</w:t>
            </w:r>
          </w:p>
        </w:tc>
        <w:tc>
          <w:tcPr>
            <w:tcW w:w="1492" w:type="dxa"/>
            <w:vAlign w:val="center"/>
          </w:tcPr>
          <w:p w14:paraId="1DD8A95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3F73BE48">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1"/>
                <w:sz w:val="22"/>
                <w:szCs w:val="22"/>
                <w14:textFill>
                  <w14:solidFill>
                    <w14:schemeClr w14:val="tx1"/>
                  </w14:solidFill>
                </w14:textFill>
              </w:rPr>
              <w:t>河堤保护范围之</w:t>
            </w:r>
            <w:r>
              <w:rPr>
                <w:rFonts w:hint="default" w:ascii="Times New Roman" w:hAnsi="Times New Roman" w:cs="Times New Roman"/>
                <w:color w:val="000000" w:themeColor="text1"/>
                <w:sz w:val="22"/>
                <w:szCs w:val="22"/>
                <w14:textFill>
                  <w14:solidFill>
                    <w14:schemeClr w14:val="tx1"/>
                  </w14:solidFill>
                </w14:textFill>
              </w:rPr>
              <w:t>外</w:t>
            </w:r>
          </w:p>
        </w:tc>
      </w:tr>
      <w:tr w14:paraId="10CE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000" w:type="dxa"/>
            <w:vMerge w:val="continue"/>
            <w:vAlign w:val="center"/>
          </w:tcPr>
          <w:p w14:paraId="46ACEF6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789" w:type="dxa"/>
            <w:vMerge w:val="continue"/>
            <w:vAlign w:val="center"/>
          </w:tcPr>
          <w:p w14:paraId="3FCB5AE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628" w:type="dxa"/>
            <w:vAlign w:val="center"/>
          </w:tcPr>
          <w:p w14:paraId="1BCEF219">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3"/>
                <w:sz w:val="22"/>
                <w:szCs w:val="22"/>
                <w14:textFill>
                  <w14:solidFill>
                    <w14:schemeClr w14:val="tx1"/>
                  </w14:solidFill>
                </w14:textFill>
              </w:rPr>
              <w:t>冬季至冰面</w:t>
            </w:r>
          </w:p>
        </w:tc>
        <w:tc>
          <w:tcPr>
            <w:tcW w:w="1668" w:type="dxa"/>
            <w:vAlign w:val="center"/>
          </w:tcPr>
          <w:p w14:paraId="0C917445">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5"/>
                <w:sz w:val="22"/>
                <w:szCs w:val="22"/>
                <w14:textFill>
                  <w14:solidFill>
                    <w14:schemeClr w14:val="tx1"/>
                  </w14:solidFill>
                </w14:textFill>
              </w:rPr>
              <w:t>15.5</w:t>
            </w:r>
          </w:p>
        </w:tc>
        <w:tc>
          <w:tcPr>
            <w:tcW w:w="1492" w:type="dxa"/>
            <w:vAlign w:val="center"/>
          </w:tcPr>
          <w:p w14:paraId="4F8F134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1"/>
                <w14:textFill>
                  <w14:solidFill>
                    <w14:schemeClr w14:val="tx1"/>
                  </w14:solidFill>
                </w14:textFill>
              </w:rPr>
            </w:pPr>
          </w:p>
        </w:tc>
        <w:tc>
          <w:tcPr>
            <w:tcW w:w="1951" w:type="dxa"/>
            <w:vAlign w:val="center"/>
          </w:tcPr>
          <w:p w14:paraId="609DB19D">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pacing w:val="-2"/>
                <w:sz w:val="22"/>
                <w:szCs w:val="22"/>
                <w14:textFill>
                  <w14:solidFill>
                    <w14:schemeClr w14:val="tx1"/>
                  </w14:solidFill>
                </w14:textFill>
              </w:rPr>
              <w:t>或按协议取值</w:t>
            </w:r>
          </w:p>
        </w:tc>
      </w:tr>
    </w:tbl>
    <w:p w14:paraId="63380705">
      <w:pPr>
        <w:ind w:firstLine="0" w:firstLineChars="0"/>
        <w:outlineLvl w:val="2"/>
        <w:rPr>
          <w:b/>
          <w:color w:val="000000" w:themeColor="text1"/>
          <w:kern w:val="0"/>
          <w:sz w:val="28"/>
          <w:szCs w:val="28"/>
          <w14:textFill>
            <w14:solidFill>
              <w14:schemeClr w14:val="tx1"/>
            </w14:solidFill>
          </w14:textFill>
        </w:rPr>
      </w:pPr>
      <w:r>
        <w:rPr>
          <w:rFonts w:hint="eastAsia"/>
          <w:b/>
          <w:color w:val="000000" w:themeColor="text1"/>
          <w:kern w:val="0"/>
          <w:sz w:val="28"/>
          <w:szCs w:val="28"/>
          <w14:textFill>
            <w14:solidFill>
              <w14:schemeClr w14:val="tx1"/>
            </w14:solidFill>
          </w14:textFill>
        </w:rPr>
        <w:t>3.1.3工程占地及施工土石方</w:t>
      </w:r>
    </w:p>
    <w:p w14:paraId="77723270">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3.1.3.1工程占地</w:t>
      </w:r>
    </w:p>
    <w:p w14:paraId="7305FAE8">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本项目占地包括永久占地和临时占地，永久占地为输电线路工程的塔基区；临时占地包括输电线路工程的塔基施工场地区、牵张场地区、跨越施工场地区、施工道路区等。</w:t>
      </w:r>
    </w:p>
    <w:p w14:paraId="477778D0">
      <w:pPr>
        <w:ind w:firstLine="480"/>
        <w:rPr>
          <w:color w:val="000000" w:themeColor="text1"/>
          <w14:textFill>
            <w14:solidFill>
              <w14:schemeClr w14:val="tx1"/>
            </w14:solidFill>
          </w14:textFill>
        </w:rPr>
      </w:pPr>
      <w:r>
        <w:rPr>
          <w:color w:val="000000" w:themeColor="text1"/>
          <w14:textFill>
            <w14:solidFill>
              <w14:schemeClr w14:val="tx1"/>
            </w14:solidFill>
          </w14:textFill>
        </w:rPr>
        <w:t>根据《土地利用现状分类》（GB/T21010-2017），本项目评价范围内土地利用类型为主要为</w:t>
      </w:r>
      <w:r>
        <w:rPr>
          <w:rFonts w:hint="eastAsia"/>
          <w:color w:val="000000" w:themeColor="text1"/>
          <w14:textFill>
            <w14:solidFill>
              <w14:schemeClr w14:val="tx1"/>
            </w14:solidFill>
          </w14:textFill>
        </w:rPr>
        <w:t>其他草地、</w:t>
      </w:r>
      <w:r>
        <w:rPr>
          <w:rFonts w:hint="eastAsia"/>
          <w:color w:val="000000" w:themeColor="text1"/>
          <w:lang w:val="en-US" w:eastAsia="zh-CN"/>
          <w14:textFill>
            <w14:solidFill>
              <w14:schemeClr w14:val="tx1"/>
            </w14:solidFill>
          </w14:textFill>
        </w:rPr>
        <w:t>裸地、</w:t>
      </w:r>
      <w:r>
        <w:rPr>
          <w:rFonts w:hint="eastAsia"/>
          <w:color w:val="000000" w:themeColor="text1"/>
          <w14:textFill>
            <w14:solidFill>
              <w14:schemeClr w14:val="tx1"/>
            </w14:solidFill>
          </w14:textFill>
        </w:rPr>
        <w:t>灌木林地、公路用地和铁路用地</w:t>
      </w:r>
      <w:r>
        <w:rPr>
          <w:color w:val="000000" w:themeColor="text1"/>
          <w14:textFill>
            <w14:solidFill>
              <w14:schemeClr w14:val="tx1"/>
            </w14:solidFill>
          </w14:textFill>
        </w:rPr>
        <w:t>，其中，塔基占用其他草地、</w:t>
      </w:r>
      <w:r>
        <w:rPr>
          <w:rFonts w:hint="eastAsia"/>
          <w:color w:val="000000" w:themeColor="text1"/>
          <w:lang w:val="en-US" w:eastAsia="zh-CN"/>
          <w14:textFill>
            <w14:solidFill>
              <w14:schemeClr w14:val="tx1"/>
            </w14:solidFill>
          </w14:textFill>
        </w:rPr>
        <w:t>裸地</w:t>
      </w:r>
      <w:r>
        <w:rPr>
          <w:color w:val="000000" w:themeColor="text1"/>
          <w14:textFill>
            <w14:solidFill>
              <w14:schemeClr w14:val="tx1"/>
            </w14:solidFill>
          </w14:textFill>
        </w:rPr>
        <w:t>，其余均为跨越。</w:t>
      </w:r>
    </w:p>
    <w:p w14:paraId="4D629802">
      <w:pPr>
        <w:ind w:firstLine="480"/>
        <w:rPr>
          <w:color w:val="000000" w:themeColor="text1"/>
          <w:highlight w:val="green"/>
          <w14:textFill>
            <w14:solidFill>
              <w14:schemeClr w14:val="tx1"/>
            </w14:solidFill>
          </w14:textFill>
        </w:rPr>
      </w:pPr>
      <w:r>
        <w:rPr>
          <w:color w:val="000000" w:themeColor="text1"/>
          <w14:textFill>
            <w14:solidFill>
              <w14:schemeClr w14:val="tx1"/>
            </w14:solidFill>
          </w14:textFill>
        </w:rPr>
        <w:t>本项目总占地面积</w:t>
      </w:r>
      <w:r>
        <w:rPr>
          <w:rFonts w:hint="eastAsia"/>
          <w:color w:val="000000" w:themeColor="text1"/>
          <w:lang w:eastAsia="zh-CN"/>
          <w14:textFill>
            <w14:solidFill>
              <w14:schemeClr w14:val="tx1"/>
            </w14:solidFill>
          </w14:textFill>
        </w:rPr>
        <w:t>361000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，其中永久占地</w:t>
      </w:r>
      <w:r>
        <w:rPr>
          <w:rFonts w:hint="eastAsia"/>
          <w:color w:val="000000" w:themeColor="text1"/>
          <w:lang w:eastAsia="zh-CN"/>
          <w14:textFill>
            <w14:solidFill>
              <w14:schemeClr w14:val="tx1"/>
            </w14:solidFill>
          </w14:textFill>
        </w:rPr>
        <w:t>26040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，临时占地</w:t>
      </w:r>
      <w:r>
        <w:rPr>
          <w:rFonts w:hint="eastAsia"/>
          <w:color w:val="000000" w:themeColor="text1"/>
          <w:lang w:eastAsia="zh-CN"/>
          <w14:textFill>
            <w14:solidFill>
              <w14:schemeClr w14:val="tx1"/>
            </w14:solidFill>
          </w14:textFill>
        </w:rPr>
        <w:t>334960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。地貌类型为平原区。</w:t>
      </w:r>
    </w:p>
    <w:p w14:paraId="5A6E5366">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本项目占地面积汇总见表3.1-</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0</w:t>
      </w:r>
      <w:r>
        <w:rPr>
          <w:color w:val="000000" w:themeColor="text1"/>
          <w14:textFill>
            <w14:solidFill>
              <w14:schemeClr w14:val="tx1"/>
            </w14:solidFill>
          </w14:textFill>
        </w:rPr>
        <w:t>。</w:t>
      </w:r>
    </w:p>
    <w:p w14:paraId="5582659E">
      <w:pPr>
        <w:pStyle w:val="38"/>
        <w:spacing w:before="156"/>
        <w:ind w:firstLine="422"/>
        <w:rPr>
          <w:color w:val="000000" w:themeColor="text1"/>
          <w:highlight w:val="green"/>
          <w14:textFill>
            <w14:solidFill>
              <w14:schemeClr w14:val="tx1"/>
            </w14:solidFill>
          </w14:textFill>
        </w:rPr>
      </w:pPr>
      <w:r>
        <w:rPr>
          <w:bCs/>
          <w:color w:val="000000" w:themeColor="text1"/>
          <w14:textFill>
            <w14:solidFill>
              <w14:schemeClr w14:val="tx1"/>
            </w14:solidFill>
          </w14:textFill>
        </w:rPr>
        <w:t>表3.1-</w:t>
      </w:r>
      <w:r>
        <w:rPr>
          <w:rFonts w:hint="eastAsia"/>
          <w:bCs/>
          <w:color w:val="000000" w:themeColor="text1"/>
          <w14:textFill>
            <w14:solidFill>
              <w14:schemeClr w14:val="tx1"/>
            </w14:solidFill>
          </w14:textFill>
        </w:rPr>
        <w:t>1</w:t>
      </w:r>
      <w:r>
        <w:rPr>
          <w:rFonts w:hint="eastAsia"/>
          <w:bCs/>
          <w:color w:val="000000" w:themeColor="text1"/>
          <w:lang w:val="en-US" w:eastAsia="zh-CN"/>
          <w14:textFill>
            <w14:solidFill>
              <w14:schemeClr w14:val="tx1"/>
            </w14:solidFill>
          </w14:textFill>
        </w:rPr>
        <w:t>0</w:t>
      </w:r>
      <w:r>
        <w:rPr>
          <w:bCs/>
          <w:color w:val="000000" w:themeColor="text1"/>
          <w14:textFill>
            <w14:solidFill>
              <w14:schemeClr w14:val="tx1"/>
            </w14:solidFill>
          </w14:textFill>
        </w:rPr>
        <w:t xml:space="preserve">  占地面积一览表</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3"/>
        <w:gridCol w:w="1207"/>
        <w:gridCol w:w="1108"/>
        <w:gridCol w:w="917"/>
        <w:gridCol w:w="1024"/>
        <w:gridCol w:w="2730"/>
      </w:tblGrid>
      <w:tr w14:paraId="37B1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Merge w:val="restart"/>
            <w:vAlign w:val="center"/>
          </w:tcPr>
          <w:p w14:paraId="06813804">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占地内容</w:t>
            </w:r>
          </w:p>
        </w:tc>
        <w:tc>
          <w:tcPr>
            <w:tcW w:w="707" w:type="pct"/>
            <w:vMerge w:val="restart"/>
            <w:vAlign w:val="center"/>
          </w:tcPr>
          <w:p w14:paraId="264EAE39">
            <w:pPr>
              <w:pStyle w:val="41"/>
              <w:spacing w:line="240" w:lineRule="auto"/>
              <w:ind w:firstLineChars="0"/>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占地性质</w:t>
            </w:r>
          </w:p>
        </w:tc>
        <w:tc>
          <w:tcPr>
            <w:tcW w:w="1789" w:type="pct"/>
            <w:gridSpan w:val="3"/>
            <w:vAlign w:val="center"/>
          </w:tcPr>
          <w:p w14:paraId="337E8019">
            <w:pPr>
              <w:pStyle w:val="41"/>
              <w:spacing w:line="240" w:lineRule="auto"/>
              <w:ind w:firstLineChars="0"/>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占地类型</w:t>
            </w:r>
          </w:p>
        </w:tc>
        <w:tc>
          <w:tcPr>
            <w:tcW w:w="1602" w:type="pct"/>
            <w:vMerge w:val="restart"/>
            <w:vAlign w:val="center"/>
          </w:tcPr>
          <w:p w14:paraId="17050C30">
            <w:pPr>
              <w:pStyle w:val="41"/>
              <w:spacing w:line="240" w:lineRule="auto"/>
              <w:ind w:left="422" w:hanging="422"/>
              <w:rPr>
                <w:rFonts w:ascii="Times New Roman" w:hAnsi="Times New Roman"/>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备注</w:t>
            </w:r>
          </w:p>
        </w:tc>
      </w:tr>
      <w:tr w14:paraId="45A1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Merge w:val="continue"/>
            <w:shd w:val="clear" w:color="auto" w:fill="auto"/>
            <w:vAlign w:val="center"/>
          </w:tcPr>
          <w:p w14:paraId="258D08C3">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p>
        </w:tc>
        <w:tc>
          <w:tcPr>
            <w:tcW w:w="707" w:type="pct"/>
            <w:vMerge w:val="continue"/>
            <w:shd w:val="clear" w:color="auto" w:fill="auto"/>
            <w:vAlign w:val="center"/>
          </w:tcPr>
          <w:p w14:paraId="2E95D5BE">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p>
        </w:tc>
        <w:tc>
          <w:tcPr>
            <w:tcW w:w="650" w:type="pct"/>
            <w:shd w:val="clear" w:color="auto" w:fill="auto"/>
            <w:vAlign w:val="center"/>
          </w:tcPr>
          <w:p w14:paraId="453596A4">
            <w:pPr>
              <w:pStyle w:val="41"/>
              <w:spacing w:line="240" w:lineRule="auto"/>
              <w:ind w:firstLineChars="0"/>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其他草地</w:t>
            </w:r>
          </w:p>
        </w:tc>
        <w:tc>
          <w:tcPr>
            <w:tcW w:w="538" w:type="pct"/>
            <w:shd w:val="clear" w:color="auto" w:fill="auto"/>
            <w:vAlign w:val="center"/>
          </w:tcPr>
          <w:p w14:paraId="33E0E965">
            <w:pPr>
              <w:pStyle w:val="41"/>
              <w:spacing w:line="240" w:lineRule="auto"/>
              <w:ind w:firstLineChars="0"/>
              <w:rPr>
                <w:rFonts w:hint="eastAsia" w:ascii="Times New Roman" w:hAnsi="Times New Roman" w:eastAsia="宋体"/>
                <w:b/>
                <w:bCs/>
                <w:color w:val="000000" w:themeColor="text1"/>
                <w:kern w:val="2"/>
                <w:sz w:val="21"/>
                <w:lang w:eastAsia="zh-CN"/>
                <w14:textFill>
                  <w14:solidFill>
                    <w14:schemeClr w14:val="tx1"/>
                  </w14:solidFill>
                </w14:textFill>
              </w:rPr>
            </w:pPr>
            <w:r>
              <w:rPr>
                <w:rFonts w:hint="eastAsia" w:ascii="Times New Roman" w:hAnsi="Times New Roman"/>
                <w:b/>
                <w:bCs/>
                <w:color w:val="000000" w:themeColor="text1"/>
                <w:kern w:val="2"/>
                <w:sz w:val="21"/>
                <w:lang w:val="en-US" w:eastAsia="zh-CN"/>
                <w14:textFill>
                  <w14:solidFill>
                    <w14:schemeClr w14:val="tx1"/>
                  </w14:solidFill>
                </w14:textFill>
              </w:rPr>
              <w:t>裸地</w:t>
            </w:r>
          </w:p>
        </w:tc>
        <w:tc>
          <w:tcPr>
            <w:tcW w:w="601" w:type="pct"/>
            <w:shd w:val="clear" w:color="auto" w:fill="auto"/>
            <w:vAlign w:val="center"/>
          </w:tcPr>
          <w:p w14:paraId="56669D09">
            <w:pPr>
              <w:pStyle w:val="41"/>
              <w:spacing w:line="240" w:lineRule="auto"/>
              <w:ind w:firstLineChars="0"/>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合计</w:t>
            </w:r>
          </w:p>
        </w:tc>
        <w:tc>
          <w:tcPr>
            <w:tcW w:w="1602" w:type="pct"/>
            <w:vMerge w:val="continue"/>
            <w:shd w:val="clear" w:color="auto" w:fill="auto"/>
            <w:vAlign w:val="center"/>
          </w:tcPr>
          <w:p w14:paraId="39A337D7">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r>
      <w:tr w14:paraId="4C1B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7195D716">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塔基</w:t>
            </w:r>
          </w:p>
        </w:tc>
        <w:tc>
          <w:tcPr>
            <w:tcW w:w="707" w:type="pct"/>
            <w:vAlign w:val="center"/>
          </w:tcPr>
          <w:p w14:paraId="1C696C98">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永久占地</w:t>
            </w:r>
          </w:p>
        </w:tc>
        <w:tc>
          <w:tcPr>
            <w:tcW w:w="650" w:type="pct"/>
            <w:shd w:val="clear" w:color="auto" w:fill="auto"/>
            <w:vAlign w:val="center"/>
          </w:tcPr>
          <w:p w14:paraId="1377B19A">
            <w:pPr>
              <w:pStyle w:val="41"/>
              <w:spacing w:line="240" w:lineRule="auto"/>
              <w:ind w:firstLineChars="0"/>
              <w:rPr>
                <w:rFonts w:hint="default" w:ascii="Times New Roman" w:hAnsi="Times New Roman" w:eastAsia="宋体"/>
                <w:color w:val="000000" w:themeColor="text1"/>
                <w:kern w:val="2"/>
                <w:sz w:val="21"/>
                <w:highlight w:val="none"/>
                <w:lang w:val="en-US" w:eastAsia="zh-CN"/>
                <w14:textFill>
                  <w14:solidFill>
                    <w14:schemeClr w14:val="tx1"/>
                  </w14:solidFill>
                </w14:textFill>
              </w:rPr>
            </w:pPr>
            <w:r>
              <w:rPr>
                <w:rFonts w:hint="eastAsia" w:ascii="Times New Roman" w:hAnsi="Times New Roman"/>
                <w:color w:val="000000" w:themeColor="text1"/>
                <w:kern w:val="2"/>
                <w:sz w:val="21"/>
                <w:highlight w:val="none"/>
                <w:lang w:val="en-US" w:eastAsia="zh-CN"/>
                <w14:textFill>
                  <w14:solidFill>
                    <w14:schemeClr w14:val="tx1"/>
                  </w14:solidFill>
                </w14:textFill>
              </w:rPr>
              <w:t>16430</w:t>
            </w:r>
          </w:p>
        </w:tc>
        <w:tc>
          <w:tcPr>
            <w:tcW w:w="538" w:type="pct"/>
            <w:shd w:val="clear" w:color="auto" w:fill="auto"/>
            <w:vAlign w:val="center"/>
          </w:tcPr>
          <w:p w14:paraId="71E52521">
            <w:pPr>
              <w:pStyle w:val="41"/>
              <w:spacing w:line="240" w:lineRule="auto"/>
              <w:ind w:firstLineChars="0"/>
              <w:rPr>
                <w:rFonts w:hint="default" w:ascii="Times New Roman" w:hAnsi="Times New Roman" w:eastAsia="宋体"/>
                <w:color w:val="000000" w:themeColor="text1"/>
                <w:kern w:val="2"/>
                <w:sz w:val="21"/>
                <w:highlight w:val="none"/>
                <w:lang w:val="en-US" w:eastAsia="zh-CN"/>
                <w14:textFill>
                  <w14:solidFill>
                    <w14:schemeClr w14:val="tx1"/>
                  </w14:solidFill>
                </w14:textFill>
              </w:rPr>
            </w:pPr>
            <w:r>
              <w:rPr>
                <w:rFonts w:hint="eastAsia" w:ascii="Times New Roman" w:hAnsi="Times New Roman"/>
                <w:color w:val="000000" w:themeColor="text1"/>
                <w:kern w:val="2"/>
                <w:sz w:val="21"/>
                <w:highlight w:val="none"/>
                <w:lang w:val="en-US" w:eastAsia="zh-CN"/>
                <w14:textFill>
                  <w14:solidFill>
                    <w14:schemeClr w14:val="tx1"/>
                  </w14:solidFill>
                </w14:textFill>
              </w:rPr>
              <w:t>9610</w:t>
            </w:r>
          </w:p>
        </w:tc>
        <w:tc>
          <w:tcPr>
            <w:tcW w:w="601" w:type="pct"/>
            <w:shd w:val="clear" w:color="auto" w:fill="auto"/>
            <w:vAlign w:val="center"/>
          </w:tcPr>
          <w:p w14:paraId="7ECE481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26</w:t>
            </w:r>
            <w:r>
              <w:rPr>
                <w:rFonts w:hint="eastAsia" w:ascii="Times New Roman" w:hAnsi="Times New Roman"/>
                <w:color w:val="000000" w:themeColor="text1"/>
                <w:kern w:val="2"/>
                <w:sz w:val="21"/>
                <w:lang w:val="en-US" w:eastAsia="zh-CN"/>
                <w14:textFill>
                  <w14:solidFill>
                    <w14:schemeClr w14:val="tx1"/>
                  </w14:solidFill>
                </w14:textFill>
              </w:rPr>
              <w:t>04</w:t>
            </w:r>
            <w:r>
              <w:rPr>
                <w:rFonts w:hint="eastAsia" w:ascii="Times New Roman" w:hAnsi="Times New Roman"/>
                <w:color w:val="000000" w:themeColor="text1"/>
                <w:kern w:val="2"/>
                <w:sz w:val="21"/>
                <w14:textFill>
                  <w14:solidFill>
                    <w14:schemeClr w14:val="tx1"/>
                  </w14:solidFill>
                </w14:textFill>
              </w:rPr>
              <w:t>0</w:t>
            </w:r>
          </w:p>
        </w:tc>
        <w:tc>
          <w:tcPr>
            <w:tcW w:w="1602" w:type="pct"/>
            <w:vAlign w:val="center"/>
          </w:tcPr>
          <w:p w14:paraId="4AAF8F5D">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根据设计提供，单座塔基永久占地平均约310m</w:t>
            </w:r>
            <w:r>
              <w:rPr>
                <w:rFonts w:hint="eastAsia" w:ascii="Times New Roman" w:hAnsi="Times New Roman"/>
                <w:color w:val="000000" w:themeColor="text1"/>
                <w:kern w:val="2"/>
                <w:sz w:val="21"/>
                <w:vertAlign w:val="superscript"/>
                <w14:textFill>
                  <w14:solidFill>
                    <w14:schemeClr w14:val="tx1"/>
                  </w14:solidFill>
                </w14:textFill>
              </w:rPr>
              <w:t>2</w:t>
            </w:r>
            <w:r>
              <w:rPr>
                <w:rFonts w:hint="eastAsia" w:ascii="Times New Roman" w:hAnsi="Times New Roman"/>
                <w:color w:val="000000" w:themeColor="text1"/>
                <w:kern w:val="2"/>
                <w:sz w:val="21"/>
                <w14:textFill>
                  <w14:solidFill>
                    <w14:schemeClr w14:val="tx1"/>
                  </w14:solidFill>
                </w14:textFill>
              </w:rPr>
              <w:t>，本项目共</w:t>
            </w:r>
            <w:r>
              <w:rPr>
                <w:rFonts w:hint="eastAsia" w:ascii="Times New Roman" w:hAnsi="Times New Roman"/>
                <w:color w:val="000000" w:themeColor="text1"/>
                <w:kern w:val="2"/>
                <w:sz w:val="21"/>
                <w:highlight w:val="none"/>
                <w14:textFill>
                  <w14:solidFill>
                    <w14:schemeClr w14:val="tx1"/>
                  </w14:solidFill>
                </w14:textFill>
              </w:rPr>
              <w:t>8</w:t>
            </w:r>
            <w:r>
              <w:rPr>
                <w:rFonts w:hint="eastAsia" w:ascii="Times New Roman" w:hAnsi="Times New Roman"/>
                <w:color w:val="000000" w:themeColor="text1"/>
                <w:kern w:val="2"/>
                <w:sz w:val="21"/>
                <w:highlight w:val="none"/>
                <w:lang w:val="en-US" w:eastAsia="zh-CN"/>
                <w14:textFill>
                  <w14:solidFill>
                    <w14:schemeClr w14:val="tx1"/>
                  </w14:solidFill>
                </w14:textFill>
              </w:rPr>
              <w:t>4</w:t>
            </w:r>
            <w:r>
              <w:rPr>
                <w:rFonts w:hint="eastAsia" w:ascii="Times New Roman" w:hAnsi="Times New Roman"/>
                <w:color w:val="000000" w:themeColor="text1"/>
                <w:kern w:val="2"/>
                <w:sz w:val="21"/>
                <w:highlight w:val="none"/>
                <w14:textFill>
                  <w14:solidFill>
                    <w14:schemeClr w14:val="tx1"/>
                  </w14:solidFill>
                </w14:textFill>
              </w:rPr>
              <w:t>基塔</w:t>
            </w:r>
            <w:r>
              <w:rPr>
                <w:rFonts w:hint="eastAsia" w:ascii="Times New Roman" w:hAnsi="Times New Roman"/>
                <w:color w:val="000000" w:themeColor="text1"/>
                <w:kern w:val="2"/>
                <w:sz w:val="21"/>
                <w14:textFill>
                  <w14:solidFill>
                    <w14:schemeClr w14:val="tx1"/>
                  </w14:solidFill>
                </w14:textFill>
              </w:rPr>
              <w:t>。</w:t>
            </w:r>
          </w:p>
        </w:tc>
      </w:tr>
      <w:tr w14:paraId="6342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5F7653EA">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塔基施工场地</w:t>
            </w:r>
          </w:p>
        </w:tc>
        <w:tc>
          <w:tcPr>
            <w:tcW w:w="707" w:type="pct"/>
            <w:vMerge w:val="restart"/>
            <w:vAlign w:val="center"/>
          </w:tcPr>
          <w:p w14:paraId="597E2F38">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临时占地</w:t>
            </w:r>
          </w:p>
        </w:tc>
        <w:tc>
          <w:tcPr>
            <w:tcW w:w="650" w:type="pct"/>
            <w:shd w:val="clear" w:color="auto" w:fill="auto"/>
            <w:vAlign w:val="center"/>
          </w:tcPr>
          <w:p w14:paraId="58E650CF">
            <w:pPr>
              <w:pStyle w:val="41"/>
              <w:spacing w:line="240" w:lineRule="auto"/>
              <w:ind w:left="420" w:hanging="420"/>
              <w:rPr>
                <w:rFonts w:hint="default" w:ascii="Times New Roman" w:hAnsi="Times New Roman" w:eastAsia="宋体"/>
                <w:color w:val="000000" w:themeColor="text1"/>
                <w:kern w:val="2"/>
                <w:sz w:val="21"/>
                <w:highlight w:val="none"/>
                <w:lang w:val="en-US" w:eastAsia="zh-CN"/>
                <w14:textFill>
                  <w14:solidFill>
                    <w14:schemeClr w14:val="tx1"/>
                  </w14:solidFill>
                </w14:textFill>
              </w:rPr>
            </w:pPr>
            <w:r>
              <w:rPr>
                <w:rFonts w:hint="eastAsia" w:ascii="Times New Roman" w:hAnsi="Times New Roman"/>
                <w:color w:val="000000" w:themeColor="text1"/>
                <w:kern w:val="2"/>
                <w:sz w:val="21"/>
                <w:highlight w:val="none"/>
                <w:lang w:val="en-US" w:eastAsia="zh-CN"/>
                <w14:textFill>
                  <w14:solidFill>
                    <w14:schemeClr w14:val="tx1"/>
                  </w14:solidFill>
                </w14:textFill>
              </w:rPr>
              <w:t>68370</w:t>
            </w:r>
          </w:p>
        </w:tc>
        <w:tc>
          <w:tcPr>
            <w:tcW w:w="538" w:type="pct"/>
            <w:shd w:val="clear" w:color="auto" w:fill="auto"/>
            <w:vAlign w:val="center"/>
          </w:tcPr>
          <w:p w14:paraId="16B6EA65">
            <w:pPr>
              <w:pStyle w:val="41"/>
              <w:spacing w:line="240" w:lineRule="auto"/>
              <w:ind w:left="420" w:hanging="420"/>
              <w:rPr>
                <w:rFonts w:hint="default" w:ascii="Times New Roman" w:hAnsi="Times New Roman" w:eastAsia="宋体"/>
                <w:color w:val="000000" w:themeColor="text1"/>
                <w:kern w:val="2"/>
                <w:sz w:val="21"/>
                <w:highlight w:val="none"/>
                <w:lang w:val="en-US" w:eastAsia="zh-CN"/>
                <w14:textFill>
                  <w14:solidFill>
                    <w14:schemeClr w14:val="tx1"/>
                  </w14:solidFill>
                </w14:textFill>
              </w:rPr>
            </w:pPr>
            <w:r>
              <w:rPr>
                <w:rFonts w:hint="eastAsia" w:ascii="Times New Roman" w:hAnsi="Times New Roman"/>
                <w:color w:val="000000" w:themeColor="text1"/>
                <w:kern w:val="2"/>
                <w:sz w:val="21"/>
                <w:highlight w:val="none"/>
                <w:lang w:val="en-US" w:eastAsia="zh-CN"/>
                <w14:textFill>
                  <w14:solidFill>
                    <w14:schemeClr w14:val="tx1"/>
                  </w14:solidFill>
                </w14:textFill>
              </w:rPr>
              <w:t>39990</w:t>
            </w:r>
          </w:p>
        </w:tc>
        <w:tc>
          <w:tcPr>
            <w:tcW w:w="601" w:type="pct"/>
            <w:shd w:val="clear" w:color="auto" w:fill="auto"/>
            <w:vAlign w:val="center"/>
          </w:tcPr>
          <w:p w14:paraId="024AEC5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w:t>
            </w:r>
            <w:r>
              <w:rPr>
                <w:rFonts w:hint="eastAsia" w:ascii="Times New Roman" w:hAnsi="Times New Roman"/>
                <w:color w:val="000000" w:themeColor="text1"/>
                <w:kern w:val="2"/>
                <w:sz w:val="21"/>
                <w:lang w:val="en-US" w:eastAsia="zh-CN"/>
                <w14:textFill>
                  <w14:solidFill>
                    <w14:schemeClr w14:val="tx1"/>
                  </w14:solidFill>
                </w14:textFill>
              </w:rPr>
              <w:t>0836</w:t>
            </w:r>
            <w:r>
              <w:rPr>
                <w:rFonts w:hint="eastAsia" w:ascii="Times New Roman" w:hAnsi="Times New Roman"/>
                <w:color w:val="000000" w:themeColor="text1"/>
                <w:kern w:val="2"/>
                <w:sz w:val="21"/>
                <w14:textFill>
                  <w14:solidFill>
                    <w14:schemeClr w14:val="tx1"/>
                  </w14:solidFill>
                </w14:textFill>
              </w:rPr>
              <w:t>0</w:t>
            </w:r>
          </w:p>
        </w:tc>
        <w:tc>
          <w:tcPr>
            <w:tcW w:w="1602" w:type="pct"/>
            <w:vAlign w:val="center"/>
          </w:tcPr>
          <w:p w14:paraId="0F58F882">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根据设计提供，单座塔基临时占地平均约1290m</w:t>
            </w:r>
            <w:r>
              <w:rPr>
                <w:rFonts w:hint="eastAsia" w:ascii="Times New Roman" w:hAnsi="Times New Roman"/>
                <w:color w:val="000000" w:themeColor="text1"/>
                <w:kern w:val="2"/>
                <w:sz w:val="21"/>
                <w:vertAlign w:val="superscript"/>
                <w14:textFill>
                  <w14:solidFill>
                    <w14:schemeClr w14:val="tx1"/>
                  </w14:solidFill>
                </w14:textFill>
              </w:rPr>
              <w:t>2</w:t>
            </w:r>
            <w:r>
              <w:rPr>
                <w:rFonts w:hint="eastAsia" w:ascii="Times New Roman" w:hAnsi="Times New Roman"/>
                <w:color w:val="000000" w:themeColor="text1"/>
                <w:kern w:val="2"/>
                <w:sz w:val="21"/>
                <w14:textFill>
                  <w14:solidFill>
                    <w14:schemeClr w14:val="tx1"/>
                  </w14:solidFill>
                </w14:textFill>
              </w:rPr>
              <w:t>（扣除塔基永久占地），本项目共</w:t>
            </w:r>
            <w:r>
              <w:rPr>
                <w:rFonts w:hint="eastAsia" w:ascii="Times New Roman" w:hAnsi="Times New Roman"/>
                <w:color w:val="000000" w:themeColor="text1"/>
                <w:kern w:val="2"/>
                <w:sz w:val="21"/>
                <w:highlight w:val="none"/>
                <w14:textFill>
                  <w14:solidFill>
                    <w14:schemeClr w14:val="tx1"/>
                  </w14:solidFill>
                </w14:textFill>
              </w:rPr>
              <w:t>8</w:t>
            </w:r>
            <w:r>
              <w:rPr>
                <w:rFonts w:hint="eastAsia" w:ascii="Times New Roman" w:hAnsi="Times New Roman"/>
                <w:color w:val="000000" w:themeColor="text1"/>
                <w:kern w:val="2"/>
                <w:sz w:val="21"/>
                <w:highlight w:val="none"/>
                <w:lang w:val="en-US" w:eastAsia="zh-CN"/>
                <w14:textFill>
                  <w14:solidFill>
                    <w14:schemeClr w14:val="tx1"/>
                  </w14:solidFill>
                </w14:textFill>
              </w:rPr>
              <w:t>4</w:t>
            </w:r>
            <w:r>
              <w:rPr>
                <w:rFonts w:hint="eastAsia" w:ascii="Times New Roman" w:hAnsi="Times New Roman"/>
                <w:color w:val="000000" w:themeColor="text1"/>
                <w:kern w:val="2"/>
                <w:sz w:val="21"/>
                <w:highlight w:val="none"/>
                <w14:textFill>
                  <w14:solidFill>
                    <w14:schemeClr w14:val="tx1"/>
                  </w14:solidFill>
                </w14:textFill>
              </w:rPr>
              <w:t>基塔</w:t>
            </w:r>
            <w:r>
              <w:rPr>
                <w:rFonts w:hint="eastAsia" w:ascii="Times New Roman" w:hAnsi="Times New Roman"/>
                <w:color w:val="000000" w:themeColor="text1"/>
                <w:kern w:val="2"/>
                <w:sz w:val="21"/>
                <w14:textFill>
                  <w14:solidFill>
                    <w14:schemeClr w14:val="tx1"/>
                  </w14:solidFill>
                </w14:textFill>
              </w:rPr>
              <w:t>。</w:t>
            </w:r>
          </w:p>
        </w:tc>
      </w:tr>
      <w:tr w14:paraId="7A90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012669FE">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牵引场</w:t>
            </w:r>
          </w:p>
        </w:tc>
        <w:tc>
          <w:tcPr>
            <w:tcW w:w="707" w:type="pct"/>
            <w:vMerge w:val="continue"/>
            <w:vAlign w:val="center"/>
          </w:tcPr>
          <w:p w14:paraId="39BCDD5C">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650" w:type="pct"/>
            <w:shd w:val="clear" w:color="auto" w:fill="auto"/>
            <w:vAlign w:val="center"/>
          </w:tcPr>
          <w:p w14:paraId="1D84F315">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32000</w:t>
            </w:r>
          </w:p>
        </w:tc>
        <w:tc>
          <w:tcPr>
            <w:tcW w:w="538" w:type="pct"/>
            <w:shd w:val="clear" w:color="auto" w:fill="auto"/>
            <w:vAlign w:val="center"/>
          </w:tcPr>
          <w:p w14:paraId="106E37B6">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4800</w:t>
            </w:r>
          </w:p>
        </w:tc>
        <w:tc>
          <w:tcPr>
            <w:tcW w:w="601" w:type="pct"/>
            <w:shd w:val="clear" w:color="auto" w:fill="auto"/>
            <w:vAlign w:val="center"/>
          </w:tcPr>
          <w:p w14:paraId="6F5BF4BD">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36800</w:t>
            </w:r>
          </w:p>
        </w:tc>
        <w:tc>
          <w:tcPr>
            <w:tcW w:w="1602" w:type="pct"/>
            <w:vAlign w:val="center"/>
          </w:tcPr>
          <w:p w14:paraId="35C8FCA2">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共</w:t>
            </w:r>
            <w:r>
              <w:rPr>
                <w:rFonts w:hint="eastAsia" w:ascii="Times New Roman" w:hAnsi="Times New Roman"/>
                <w:color w:val="000000" w:themeColor="text1"/>
                <w:kern w:val="2"/>
                <w:sz w:val="21"/>
                <w:lang w:val="en-US" w:eastAsia="zh-CN"/>
                <w14:textFill>
                  <w14:solidFill>
                    <w14:schemeClr w14:val="tx1"/>
                  </w14:solidFill>
                </w14:textFill>
              </w:rPr>
              <w:t>23</w:t>
            </w:r>
            <w:r>
              <w:rPr>
                <w:rFonts w:hint="eastAsia" w:ascii="Times New Roman" w:hAnsi="Times New Roman"/>
                <w:color w:val="000000" w:themeColor="text1"/>
                <w:kern w:val="2"/>
                <w:sz w:val="21"/>
                <w14:textFill>
                  <w14:solidFill>
                    <w14:schemeClr w14:val="tx1"/>
                  </w14:solidFill>
                </w14:textFill>
              </w:rPr>
              <w:t>处，单场尺寸：40m×</w:t>
            </w:r>
            <w:r>
              <w:rPr>
                <w:rFonts w:hint="eastAsia" w:ascii="Times New Roman" w:hAnsi="Times New Roman"/>
                <w:color w:val="000000" w:themeColor="text1"/>
                <w:kern w:val="2"/>
                <w:sz w:val="21"/>
                <w:lang w:val="en-US" w:eastAsia="zh-CN"/>
                <w14:textFill>
                  <w14:solidFill>
                    <w14:schemeClr w14:val="tx1"/>
                  </w14:solidFill>
                </w14:textFill>
              </w:rPr>
              <w:t>40</w:t>
            </w:r>
            <w:r>
              <w:rPr>
                <w:rFonts w:hint="eastAsia" w:ascii="Times New Roman" w:hAnsi="Times New Roman"/>
                <w:color w:val="000000" w:themeColor="text1"/>
                <w:kern w:val="2"/>
                <w:sz w:val="21"/>
                <w14:textFill>
                  <w14:solidFill>
                    <w14:schemeClr w14:val="tx1"/>
                  </w14:solidFill>
                </w14:textFill>
              </w:rPr>
              <w:t>m=</w:t>
            </w:r>
            <w:r>
              <w:rPr>
                <w:rFonts w:hint="eastAsia" w:ascii="Times New Roman" w:hAnsi="Times New Roman"/>
                <w:color w:val="000000" w:themeColor="text1"/>
                <w:kern w:val="2"/>
                <w:sz w:val="21"/>
                <w:lang w:val="en-US" w:eastAsia="zh-CN"/>
                <w14:textFill>
                  <w14:solidFill>
                    <w14:schemeClr w14:val="tx1"/>
                  </w14:solidFill>
                </w14:textFill>
              </w:rPr>
              <w:t>16</w:t>
            </w:r>
            <w:r>
              <w:rPr>
                <w:rFonts w:hint="eastAsia" w:ascii="Times New Roman" w:hAnsi="Times New Roman"/>
                <w:color w:val="000000" w:themeColor="text1"/>
                <w:kern w:val="2"/>
                <w:sz w:val="21"/>
                <w14:textFill>
                  <w14:solidFill>
                    <w14:schemeClr w14:val="tx1"/>
                  </w14:solidFill>
                </w14:textFill>
              </w:rPr>
              <w:t>00m</w:t>
            </w:r>
            <w:r>
              <w:rPr>
                <w:rFonts w:hint="eastAsia" w:ascii="Times New Roman" w:hAnsi="Times New Roman"/>
                <w:color w:val="000000" w:themeColor="text1"/>
                <w:kern w:val="2"/>
                <w:sz w:val="21"/>
                <w:vertAlign w:val="superscript"/>
                <w14:textFill>
                  <w14:solidFill>
                    <w14:schemeClr w14:val="tx1"/>
                  </w14:solidFill>
                </w14:textFill>
              </w:rPr>
              <w:t>2</w:t>
            </w:r>
          </w:p>
        </w:tc>
      </w:tr>
      <w:tr w14:paraId="4C4B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19F062FA">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张力场</w:t>
            </w:r>
          </w:p>
        </w:tc>
        <w:tc>
          <w:tcPr>
            <w:tcW w:w="707" w:type="pct"/>
            <w:vMerge w:val="continue"/>
            <w:vAlign w:val="center"/>
          </w:tcPr>
          <w:p w14:paraId="3611D5AE">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650" w:type="pct"/>
            <w:shd w:val="clear" w:color="auto" w:fill="auto"/>
            <w:vAlign w:val="center"/>
          </w:tcPr>
          <w:p w14:paraId="653F4B47">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0</w:t>
            </w:r>
          </w:p>
        </w:tc>
        <w:tc>
          <w:tcPr>
            <w:tcW w:w="538" w:type="pct"/>
            <w:shd w:val="clear" w:color="auto" w:fill="auto"/>
            <w:vAlign w:val="center"/>
          </w:tcPr>
          <w:p w14:paraId="4837BF2E">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75600</w:t>
            </w:r>
          </w:p>
        </w:tc>
        <w:tc>
          <w:tcPr>
            <w:tcW w:w="601" w:type="pct"/>
            <w:shd w:val="clear" w:color="auto" w:fill="auto"/>
            <w:vAlign w:val="center"/>
          </w:tcPr>
          <w:p w14:paraId="1DAE2021">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75600</w:t>
            </w:r>
          </w:p>
        </w:tc>
        <w:tc>
          <w:tcPr>
            <w:tcW w:w="1602" w:type="pct"/>
            <w:vAlign w:val="center"/>
          </w:tcPr>
          <w:p w14:paraId="3C13525A">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共</w:t>
            </w:r>
            <w:r>
              <w:rPr>
                <w:rFonts w:hint="eastAsia" w:ascii="Times New Roman" w:hAnsi="Times New Roman"/>
                <w:color w:val="000000" w:themeColor="text1"/>
                <w:kern w:val="2"/>
                <w:sz w:val="21"/>
                <w:lang w:val="en-US" w:eastAsia="zh-CN"/>
                <w14:textFill>
                  <w14:solidFill>
                    <w14:schemeClr w14:val="tx1"/>
                  </w14:solidFill>
                </w14:textFill>
              </w:rPr>
              <w:t>21</w:t>
            </w:r>
            <w:r>
              <w:rPr>
                <w:rFonts w:hint="eastAsia" w:ascii="Times New Roman" w:hAnsi="Times New Roman"/>
                <w:color w:val="000000" w:themeColor="text1"/>
                <w:kern w:val="2"/>
                <w:sz w:val="21"/>
                <w14:textFill>
                  <w14:solidFill>
                    <w14:schemeClr w14:val="tx1"/>
                  </w14:solidFill>
                </w14:textFill>
              </w:rPr>
              <w:t>处，单场尺寸：</w:t>
            </w:r>
            <w:r>
              <w:rPr>
                <w:rFonts w:hint="eastAsia" w:ascii="Times New Roman" w:hAnsi="Times New Roman"/>
                <w:color w:val="000000" w:themeColor="text1"/>
                <w:kern w:val="2"/>
                <w:sz w:val="21"/>
                <w:lang w:val="en-US" w:eastAsia="zh-CN"/>
                <w14:textFill>
                  <w14:solidFill>
                    <w14:schemeClr w14:val="tx1"/>
                  </w14:solidFill>
                </w14:textFill>
              </w:rPr>
              <w:t>6</w:t>
            </w:r>
            <w:r>
              <w:rPr>
                <w:rFonts w:hint="eastAsia" w:ascii="Times New Roman" w:hAnsi="Times New Roman"/>
                <w:color w:val="000000" w:themeColor="text1"/>
                <w:kern w:val="2"/>
                <w:sz w:val="21"/>
                <w14:textFill>
                  <w14:solidFill>
                    <w14:schemeClr w14:val="tx1"/>
                  </w14:solidFill>
                </w14:textFill>
              </w:rPr>
              <w:t>0m×60m=</w:t>
            </w:r>
            <w:r>
              <w:rPr>
                <w:rFonts w:hint="eastAsia" w:ascii="Times New Roman" w:hAnsi="Times New Roman"/>
                <w:color w:val="000000" w:themeColor="text1"/>
                <w:kern w:val="2"/>
                <w:sz w:val="21"/>
                <w:lang w:val="en-US" w:eastAsia="zh-CN"/>
                <w14:textFill>
                  <w14:solidFill>
                    <w14:schemeClr w14:val="tx1"/>
                  </w14:solidFill>
                </w14:textFill>
              </w:rPr>
              <w:t>36</w:t>
            </w:r>
            <w:r>
              <w:rPr>
                <w:rFonts w:hint="eastAsia" w:ascii="Times New Roman" w:hAnsi="Times New Roman"/>
                <w:color w:val="000000" w:themeColor="text1"/>
                <w:kern w:val="2"/>
                <w:sz w:val="21"/>
                <w14:textFill>
                  <w14:solidFill>
                    <w14:schemeClr w14:val="tx1"/>
                  </w14:solidFill>
                </w14:textFill>
              </w:rPr>
              <w:t>00m</w:t>
            </w:r>
            <w:r>
              <w:rPr>
                <w:rFonts w:hint="eastAsia" w:ascii="Times New Roman" w:hAnsi="Times New Roman"/>
                <w:color w:val="000000" w:themeColor="text1"/>
                <w:kern w:val="2"/>
                <w:sz w:val="21"/>
                <w:vertAlign w:val="superscript"/>
                <w14:textFill>
                  <w14:solidFill>
                    <w14:schemeClr w14:val="tx1"/>
                  </w14:solidFill>
                </w14:textFill>
              </w:rPr>
              <w:t>2</w:t>
            </w:r>
          </w:p>
        </w:tc>
      </w:tr>
      <w:tr w14:paraId="431C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7957178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施工道路</w:t>
            </w:r>
          </w:p>
        </w:tc>
        <w:tc>
          <w:tcPr>
            <w:tcW w:w="707" w:type="pct"/>
            <w:vMerge w:val="continue"/>
            <w:vAlign w:val="center"/>
          </w:tcPr>
          <w:p w14:paraId="1D2D71CD">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650" w:type="pct"/>
            <w:shd w:val="clear" w:color="auto" w:fill="auto"/>
            <w:vAlign w:val="center"/>
          </w:tcPr>
          <w:p w14:paraId="73739951">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69430</w:t>
            </w:r>
          </w:p>
        </w:tc>
        <w:tc>
          <w:tcPr>
            <w:tcW w:w="538" w:type="pct"/>
            <w:shd w:val="clear" w:color="auto" w:fill="auto"/>
            <w:vAlign w:val="center"/>
          </w:tcPr>
          <w:p w14:paraId="34CD9C15">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25970</w:t>
            </w:r>
          </w:p>
        </w:tc>
        <w:tc>
          <w:tcPr>
            <w:tcW w:w="601" w:type="pct"/>
            <w:shd w:val="clear" w:color="auto" w:fill="auto"/>
            <w:vAlign w:val="center"/>
          </w:tcPr>
          <w:p w14:paraId="4EE99B95">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95400</w:t>
            </w:r>
          </w:p>
        </w:tc>
        <w:tc>
          <w:tcPr>
            <w:tcW w:w="1602" w:type="pct"/>
            <w:vAlign w:val="center"/>
          </w:tcPr>
          <w:p w14:paraId="730287AE">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长</w:t>
            </w:r>
            <w:r>
              <w:rPr>
                <w:rFonts w:hint="eastAsia" w:ascii="Times New Roman" w:hAnsi="Times New Roman"/>
                <w:color w:val="000000" w:themeColor="text1"/>
                <w:kern w:val="2"/>
                <w:sz w:val="21"/>
                <w:lang w:val="en-US" w:eastAsia="zh-CN"/>
                <w14:textFill>
                  <w14:solidFill>
                    <w14:schemeClr w14:val="tx1"/>
                  </w14:solidFill>
                </w14:textFill>
              </w:rPr>
              <w:t>21.2</w:t>
            </w:r>
            <w:r>
              <w:rPr>
                <w:rFonts w:hint="eastAsia" w:ascii="Times New Roman" w:hAnsi="Times New Roman"/>
                <w:color w:val="000000" w:themeColor="text1"/>
                <w:kern w:val="2"/>
                <w:sz w:val="21"/>
                <w14:textFill>
                  <w14:solidFill>
                    <w14:schemeClr w14:val="tx1"/>
                  </w14:solidFill>
                </w14:textFill>
              </w:rPr>
              <w:t>km，路宽</w:t>
            </w:r>
            <w:r>
              <w:rPr>
                <w:rFonts w:hint="eastAsia" w:ascii="Times New Roman" w:hAnsi="Times New Roman"/>
                <w:color w:val="000000" w:themeColor="text1"/>
                <w:kern w:val="2"/>
                <w:sz w:val="21"/>
                <w:lang w:val="en-US" w:eastAsia="zh-CN"/>
                <w14:textFill>
                  <w14:solidFill>
                    <w14:schemeClr w14:val="tx1"/>
                  </w14:solidFill>
                </w14:textFill>
              </w:rPr>
              <w:t>4</w:t>
            </w:r>
            <w:r>
              <w:rPr>
                <w:rFonts w:hint="eastAsia" w:ascii="Times New Roman" w:hAnsi="Times New Roman"/>
                <w:color w:val="000000" w:themeColor="text1"/>
                <w:kern w:val="2"/>
                <w:sz w:val="21"/>
                <w14:textFill>
                  <w14:solidFill>
                    <w14:schemeClr w14:val="tx1"/>
                  </w14:solidFill>
                </w14:textFill>
              </w:rPr>
              <w:t>.5m</w:t>
            </w:r>
          </w:p>
        </w:tc>
      </w:tr>
      <w:tr w14:paraId="73FC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2768EA09">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施工营地及材料站</w:t>
            </w:r>
          </w:p>
        </w:tc>
        <w:tc>
          <w:tcPr>
            <w:tcW w:w="707" w:type="pct"/>
            <w:vMerge w:val="continue"/>
            <w:vAlign w:val="center"/>
          </w:tcPr>
          <w:p w14:paraId="7EE7194F">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650" w:type="pct"/>
            <w:shd w:val="clear" w:color="auto" w:fill="auto"/>
            <w:vAlign w:val="center"/>
          </w:tcPr>
          <w:p w14:paraId="02C2D4D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0</w:t>
            </w:r>
          </w:p>
        </w:tc>
        <w:tc>
          <w:tcPr>
            <w:tcW w:w="538" w:type="pct"/>
            <w:shd w:val="clear" w:color="auto" w:fill="auto"/>
            <w:vAlign w:val="center"/>
          </w:tcPr>
          <w:p w14:paraId="076B768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2000</w:t>
            </w:r>
          </w:p>
        </w:tc>
        <w:tc>
          <w:tcPr>
            <w:tcW w:w="601" w:type="pct"/>
            <w:shd w:val="clear" w:color="auto" w:fill="auto"/>
            <w:vAlign w:val="center"/>
          </w:tcPr>
          <w:p w14:paraId="40ADC9C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2000</w:t>
            </w:r>
          </w:p>
        </w:tc>
        <w:tc>
          <w:tcPr>
            <w:tcW w:w="1602" w:type="pct"/>
            <w:vAlign w:val="center"/>
          </w:tcPr>
          <w:p w14:paraId="6623518B">
            <w:pPr>
              <w:pStyle w:val="41"/>
              <w:spacing w:line="240" w:lineRule="auto"/>
              <w:ind w:firstLineChars="0"/>
              <w:jc w:val="both"/>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线路沿线设置施工营地1处，单处占地面积2000m</w:t>
            </w:r>
            <w:r>
              <w:rPr>
                <w:rFonts w:hint="eastAsia" w:ascii="Times New Roman" w:hAnsi="Times New Roman"/>
                <w:color w:val="000000" w:themeColor="text1"/>
                <w:kern w:val="2"/>
                <w:sz w:val="21"/>
                <w:vertAlign w:val="superscript"/>
                <w14:textFill>
                  <w14:solidFill>
                    <w14:schemeClr w14:val="tx1"/>
                  </w14:solidFill>
                </w14:textFill>
              </w:rPr>
              <w:t>2</w:t>
            </w:r>
          </w:p>
        </w:tc>
      </w:tr>
      <w:tr w14:paraId="52F5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pct"/>
            <w:vAlign w:val="center"/>
          </w:tcPr>
          <w:p w14:paraId="2B4F714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跨越点施工场地</w:t>
            </w:r>
          </w:p>
        </w:tc>
        <w:tc>
          <w:tcPr>
            <w:tcW w:w="707" w:type="pct"/>
            <w:vMerge w:val="continue"/>
            <w:vAlign w:val="center"/>
          </w:tcPr>
          <w:p w14:paraId="21BA11CE">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650" w:type="pct"/>
            <w:shd w:val="clear" w:color="auto" w:fill="auto"/>
            <w:vAlign w:val="center"/>
          </w:tcPr>
          <w:p w14:paraId="7A49D137">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16</w:t>
            </w:r>
            <w:r>
              <w:rPr>
                <w:rFonts w:hint="eastAsia" w:ascii="Times New Roman" w:hAnsi="Times New Roman"/>
                <w:color w:val="000000" w:themeColor="text1"/>
                <w:kern w:val="2"/>
                <w:sz w:val="21"/>
                <w:lang w:val="en-US" w:eastAsia="zh-CN"/>
                <w14:textFill>
                  <w14:solidFill>
                    <w14:schemeClr w14:val="tx1"/>
                  </w14:solidFill>
                </w14:textFill>
              </w:rPr>
              <w:t>4</w:t>
            </w:r>
            <w:r>
              <w:rPr>
                <w:rFonts w:hint="eastAsia" w:ascii="Times New Roman" w:hAnsi="Times New Roman"/>
                <w:color w:val="000000" w:themeColor="text1"/>
                <w:kern w:val="2"/>
                <w:sz w:val="21"/>
                <w14:textFill>
                  <w14:solidFill>
                    <w14:schemeClr w14:val="tx1"/>
                  </w14:solidFill>
                </w14:textFill>
              </w:rPr>
              <w:t>00</w:t>
            </w:r>
          </w:p>
        </w:tc>
        <w:tc>
          <w:tcPr>
            <w:tcW w:w="538" w:type="pct"/>
            <w:shd w:val="clear" w:color="auto" w:fill="auto"/>
            <w:vAlign w:val="center"/>
          </w:tcPr>
          <w:p w14:paraId="7CEC32D2">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400</w:t>
            </w:r>
          </w:p>
        </w:tc>
        <w:tc>
          <w:tcPr>
            <w:tcW w:w="601" w:type="pct"/>
            <w:shd w:val="clear" w:color="auto" w:fill="auto"/>
            <w:vAlign w:val="center"/>
          </w:tcPr>
          <w:p w14:paraId="0C66AEA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16800</w:t>
            </w:r>
          </w:p>
        </w:tc>
        <w:tc>
          <w:tcPr>
            <w:tcW w:w="1602" w:type="pct"/>
            <w:vAlign w:val="center"/>
          </w:tcPr>
          <w:p w14:paraId="5A463891">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跨越点72处，预计设42处施工场地，每处面积400m</w:t>
            </w:r>
            <w:r>
              <w:rPr>
                <w:rFonts w:hint="eastAsia" w:ascii="Times New Roman" w:hAnsi="Times New Roman"/>
                <w:color w:val="000000" w:themeColor="text1"/>
                <w:kern w:val="2"/>
                <w:sz w:val="21"/>
                <w:vertAlign w:val="superscript"/>
                <w14:textFill>
                  <w14:solidFill>
                    <w14:schemeClr w14:val="tx1"/>
                  </w14:solidFill>
                </w14:textFill>
              </w:rPr>
              <w:t>2</w:t>
            </w:r>
          </w:p>
        </w:tc>
      </w:tr>
      <w:tr w14:paraId="4958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8" w:type="pct"/>
            <w:gridSpan w:val="2"/>
            <w:vAlign w:val="center"/>
          </w:tcPr>
          <w:p w14:paraId="1D8C02CD">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工程永久占地</w:t>
            </w:r>
          </w:p>
        </w:tc>
        <w:tc>
          <w:tcPr>
            <w:tcW w:w="650" w:type="pct"/>
            <w:shd w:val="clear" w:color="auto" w:fill="auto"/>
            <w:vAlign w:val="center"/>
          </w:tcPr>
          <w:p w14:paraId="1F54438C">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16430</w:t>
            </w:r>
          </w:p>
        </w:tc>
        <w:tc>
          <w:tcPr>
            <w:tcW w:w="538" w:type="pct"/>
            <w:shd w:val="clear" w:color="auto" w:fill="auto"/>
            <w:vAlign w:val="center"/>
          </w:tcPr>
          <w:p w14:paraId="7EB019DD">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9610</w:t>
            </w:r>
          </w:p>
        </w:tc>
        <w:tc>
          <w:tcPr>
            <w:tcW w:w="601" w:type="pct"/>
            <w:shd w:val="clear" w:color="auto" w:fill="auto"/>
            <w:vAlign w:val="center"/>
          </w:tcPr>
          <w:p w14:paraId="44DD227B">
            <w:pPr>
              <w:pStyle w:val="41"/>
              <w:spacing w:line="240" w:lineRule="auto"/>
              <w:ind w:left="420" w:hanging="420"/>
              <w:rPr>
                <w:rFonts w:hint="default" w:ascii="Times New Roman" w:hAnsi="Times New Roman" w:eastAsia="宋体"/>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26040</w:t>
            </w:r>
          </w:p>
        </w:tc>
        <w:tc>
          <w:tcPr>
            <w:tcW w:w="1602" w:type="pct"/>
            <w:vAlign w:val="center"/>
          </w:tcPr>
          <w:p w14:paraId="7280917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w:t>
            </w:r>
          </w:p>
        </w:tc>
      </w:tr>
      <w:tr w14:paraId="607B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8" w:type="pct"/>
            <w:gridSpan w:val="2"/>
            <w:vAlign w:val="center"/>
          </w:tcPr>
          <w:p w14:paraId="5E14C729">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工程临时占地</w:t>
            </w:r>
          </w:p>
        </w:tc>
        <w:tc>
          <w:tcPr>
            <w:tcW w:w="650" w:type="pct"/>
            <w:shd w:val="clear" w:color="auto" w:fill="auto"/>
            <w:vAlign w:val="center"/>
          </w:tcPr>
          <w:p w14:paraId="5E2969BA">
            <w:pPr>
              <w:pStyle w:val="41"/>
              <w:spacing w:line="240" w:lineRule="auto"/>
              <w:ind w:left="420" w:hanging="420"/>
              <w:rPr>
                <w:rFonts w:hint="default" w:ascii="Times New Roman" w:hAnsi="Times New Roman"/>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186200</w:t>
            </w:r>
          </w:p>
        </w:tc>
        <w:tc>
          <w:tcPr>
            <w:tcW w:w="538" w:type="pct"/>
            <w:shd w:val="clear" w:color="auto" w:fill="auto"/>
            <w:vAlign w:val="center"/>
          </w:tcPr>
          <w:p w14:paraId="75C9EBBE">
            <w:pPr>
              <w:pStyle w:val="41"/>
              <w:spacing w:line="240" w:lineRule="auto"/>
              <w:ind w:left="420" w:hanging="420"/>
              <w:rPr>
                <w:rFonts w:hint="default" w:ascii="Times New Roman" w:hAnsi="Times New Roman"/>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148760</w:t>
            </w:r>
          </w:p>
        </w:tc>
        <w:tc>
          <w:tcPr>
            <w:tcW w:w="601" w:type="pct"/>
            <w:shd w:val="clear" w:color="auto" w:fill="auto"/>
            <w:vAlign w:val="center"/>
          </w:tcPr>
          <w:p w14:paraId="5E65DCCB">
            <w:pPr>
              <w:pStyle w:val="41"/>
              <w:spacing w:line="240" w:lineRule="auto"/>
              <w:ind w:left="420" w:hanging="420"/>
              <w:rPr>
                <w:rFonts w:hint="default" w:ascii="Times New Roman" w:hAnsi="Times New Roman"/>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334960</w:t>
            </w:r>
          </w:p>
        </w:tc>
        <w:tc>
          <w:tcPr>
            <w:tcW w:w="1602" w:type="pct"/>
            <w:vAlign w:val="center"/>
          </w:tcPr>
          <w:p w14:paraId="04D452D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w:t>
            </w:r>
          </w:p>
        </w:tc>
      </w:tr>
      <w:tr w14:paraId="3ADB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8" w:type="pct"/>
            <w:gridSpan w:val="2"/>
            <w:vAlign w:val="center"/>
          </w:tcPr>
          <w:p w14:paraId="7814E119">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工程占地合计</w:t>
            </w:r>
          </w:p>
        </w:tc>
        <w:tc>
          <w:tcPr>
            <w:tcW w:w="650" w:type="pct"/>
            <w:shd w:val="clear" w:color="auto" w:fill="auto"/>
            <w:vAlign w:val="center"/>
          </w:tcPr>
          <w:p w14:paraId="540C7D8F">
            <w:pPr>
              <w:pStyle w:val="41"/>
              <w:spacing w:line="240" w:lineRule="auto"/>
              <w:ind w:left="420" w:hanging="420"/>
              <w:rPr>
                <w:rFonts w:hint="default" w:ascii="Times New Roman" w:hAnsi="Times New Roman"/>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202630</w:t>
            </w:r>
          </w:p>
        </w:tc>
        <w:tc>
          <w:tcPr>
            <w:tcW w:w="538" w:type="pct"/>
            <w:shd w:val="clear" w:color="auto" w:fill="auto"/>
            <w:vAlign w:val="center"/>
          </w:tcPr>
          <w:p w14:paraId="7E39ABFD">
            <w:pPr>
              <w:pStyle w:val="41"/>
              <w:spacing w:line="240" w:lineRule="auto"/>
              <w:ind w:left="420" w:hanging="420"/>
              <w:rPr>
                <w:rFonts w:hint="default" w:ascii="Times New Roman" w:hAnsi="Times New Roman"/>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158370</w:t>
            </w:r>
          </w:p>
        </w:tc>
        <w:tc>
          <w:tcPr>
            <w:tcW w:w="601" w:type="pct"/>
            <w:shd w:val="clear" w:color="auto" w:fill="auto"/>
            <w:vAlign w:val="center"/>
          </w:tcPr>
          <w:p w14:paraId="05880F56">
            <w:pPr>
              <w:pStyle w:val="41"/>
              <w:spacing w:line="240" w:lineRule="auto"/>
              <w:ind w:left="420" w:hanging="420"/>
              <w:rPr>
                <w:rFonts w:hint="default" w:ascii="Times New Roman" w:hAnsi="Times New Roman"/>
                <w:color w:val="000000" w:themeColor="text1"/>
                <w:kern w:val="2"/>
                <w:sz w:val="21"/>
                <w:lang w:val="en-US" w:eastAsia="zh-CN"/>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361000</w:t>
            </w:r>
          </w:p>
        </w:tc>
        <w:tc>
          <w:tcPr>
            <w:tcW w:w="1602" w:type="pct"/>
            <w:shd w:val="clear" w:color="auto" w:fill="auto"/>
            <w:vAlign w:val="center"/>
          </w:tcPr>
          <w:p w14:paraId="4FC1049F">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w:t>
            </w:r>
          </w:p>
        </w:tc>
      </w:tr>
    </w:tbl>
    <w:p w14:paraId="0625E5C8">
      <w:pPr>
        <w:ind w:firstLine="0" w:firstLineChars="0"/>
        <w:outlineLvl w:val="3"/>
        <w:rPr>
          <w:b/>
          <w:color w:val="000000" w:themeColor="text1"/>
          <w:kern w:val="0"/>
          <w:sz w:val="28"/>
          <w:szCs w:val="28"/>
          <w14:textFill>
            <w14:solidFill>
              <w14:schemeClr w14:val="tx1"/>
            </w14:solidFill>
          </w14:textFill>
        </w:rPr>
      </w:pPr>
      <w:r>
        <w:rPr>
          <w:rFonts w:hint="eastAsia"/>
          <w:color w:val="000000" w:themeColor="text1"/>
          <w:sz w:val="28"/>
          <w:szCs w:val="28"/>
          <w14:textFill>
            <w14:solidFill>
              <w14:schemeClr w14:val="tx1"/>
            </w14:solidFill>
          </w14:textFill>
        </w:rPr>
        <w:t>3.1.3.1土石方平衡</w:t>
      </w:r>
    </w:p>
    <w:p w14:paraId="76ECDE67">
      <w:pPr>
        <w:ind w:firstLine="480"/>
        <w:rPr>
          <w:bCs/>
          <w:color w:val="000000" w:themeColor="text1"/>
          <w:kern w:val="0"/>
          <w14:textFill>
            <w14:solidFill>
              <w14:schemeClr w14:val="tx1"/>
            </w14:solidFill>
          </w14:textFill>
        </w:rPr>
      </w:pPr>
      <w:r>
        <w:rPr>
          <w:rFonts w:hint="eastAsia"/>
          <w:bCs/>
          <w:color w:val="000000" w:themeColor="text1"/>
          <w:kern w:val="0"/>
          <w14:textFill>
            <w14:solidFill>
              <w14:schemeClr w14:val="tx1"/>
            </w14:solidFill>
          </w14:textFill>
        </w:rPr>
        <w:t>本项目塔基</w:t>
      </w:r>
      <w:r>
        <w:rPr>
          <w:bCs/>
          <w:color w:val="000000" w:themeColor="text1"/>
          <w:kern w:val="0"/>
          <w14:textFill>
            <w14:solidFill>
              <w14:schemeClr w14:val="tx1"/>
            </w14:solidFill>
          </w14:textFill>
        </w:rPr>
        <w:t>基础挖方</w:t>
      </w:r>
      <w:r>
        <w:rPr>
          <w:rFonts w:hint="eastAsia"/>
          <w:bCs/>
          <w:color w:val="000000" w:themeColor="text1"/>
          <w:kern w:val="0"/>
          <w14:textFill>
            <w14:solidFill>
              <w14:schemeClr w14:val="tx1"/>
            </w14:solidFill>
          </w14:textFill>
        </w:rPr>
        <w:t>1.42万m</w:t>
      </w:r>
      <w:r>
        <w:rPr>
          <w:rFonts w:hint="eastAsia"/>
          <w:bCs/>
          <w:color w:val="000000" w:themeColor="text1"/>
          <w:kern w:val="0"/>
          <w:vertAlign w:val="superscript"/>
          <w14:textFill>
            <w14:solidFill>
              <w14:schemeClr w14:val="tx1"/>
            </w14:solidFill>
          </w14:textFill>
        </w:rPr>
        <w:t>3</w:t>
      </w:r>
      <w:r>
        <w:rPr>
          <w:bCs/>
          <w:color w:val="000000" w:themeColor="text1"/>
          <w:kern w:val="0"/>
          <w14:textFill>
            <w14:solidFill>
              <w14:schemeClr w14:val="tx1"/>
            </w14:solidFill>
          </w14:textFill>
        </w:rPr>
        <w:t>，</w:t>
      </w:r>
      <w:r>
        <w:rPr>
          <w:rFonts w:hint="eastAsia"/>
          <w:bCs/>
          <w:color w:val="000000" w:themeColor="text1"/>
          <w:kern w:val="0"/>
          <w14:textFill>
            <w14:solidFill>
              <w14:schemeClr w14:val="tx1"/>
            </w14:solidFill>
          </w14:textFill>
        </w:rPr>
        <w:t>基坑回填1.26万m</w:t>
      </w:r>
      <w:r>
        <w:rPr>
          <w:rFonts w:hint="eastAsia"/>
          <w:bCs/>
          <w:color w:val="000000" w:themeColor="text1"/>
          <w:kern w:val="0"/>
          <w:vertAlign w:val="superscript"/>
          <w14:textFill>
            <w14:solidFill>
              <w14:schemeClr w14:val="tx1"/>
            </w14:solidFill>
          </w14:textFill>
        </w:rPr>
        <w:t>3</w:t>
      </w:r>
      <w:r>
        <w:rPr>
          <w:bCs/>
          <w:color w:val="000000" w:themeColor="text1"/>
          <w:kern w:val="0"/>
          <w14:textFill>
            <w14:solidFill>
              <w14:schemeClr w14:val="tx1"/>
            </w14:solidFill>
          </w14:textFill>
        </w:rPr>
        <w:t>，</w:t>
      </w:r>
      <w:r>
        <w:rPr>
          <w:rFonts w:hint="eastAsia"/>
          <w:bCs/>
          <w:color w:val="000000" w:themeColor="text1"/>
          <w:kern w:val="0"/>
          <w14:textFill>
            <w14:solidFill>
              <w14:schemeClr w14:val="tx1"/>
            </w14:solidFill>
          </w14:textFill>
        </w:rPr>
        <w:t>平整回填0.16万m</w:t>
      </w:r>
      <w:r>
        <w:rPr>
          <w:rFonts w:hint="eastAsia"/>
          <w:bCs/>
          <w:color w:val="000000" w:themeColor="text1"/>
          <w:kern w:val="0"/>
          <w:vertAlign w:val="superscript"/>
          <w14:textFill>
            <w14:solidFill>
              <w14:schemeClr w14:val="tx1"/>
            </w14:solidFill>
          </w14:textFill>
        </w:rPr>
        <w:t>3</w:t>
      </w:r>
      <w:r>
        <w:rPr>
          <w:rFonts w:hint="eastAsia"/>
          <w:bCs/>
          <w:color w:val="000000" w:themeColor="text1"/>
          <w:kern w:val="0"/>
          <w14:textFill>
            <w14:solidFill>
              <w14:schemeClr w14:val="tx1"/>
            </w14:solidFill>
          </w14:textFill>
        </w:rPr>
        <w:t>，</w:t>
      </w:r>
      <w:r>
        <w:rPr>
          <w:bCs/>
          <w:color w:val="000000" w:themeColor="text1"/>
          <w:kern w:val="0"/>
          <w14:textFill>
            <w14:solidFill>
              <w14:schemeClr w14:val="tx1"/>
            </w14:solidFill>
          </w14:textFill>
        </w:rPr>
        <w:t>弃方</w:t>
      </w:r>
      <w:r>
        <w:rPr>
          <w:rFonts w:hint="eastAsia"/>
          <w:bCs/>
          <w:color w:val="000000" w:themeColor="text1"/>
          <w:kern w:val="0"/>
          <w14:textFill>
            <w14:solidFill>
              <w14:schemeClr w14:val="tx1"/>
            </w14:solidFill>
          </w14:textFill>
        </w:rPr>
        <w:t>0m</w:t>
      </w:r>
      <w:r>
        <w:rPr>
          <w:rFonts w:hint="eastAsia"/>
          <w:bCs/>
          <w:color w:val="000000" w:themeColor="text1"/>
          <w:kern w:val="0"/>
          <w:vertAlign w:val="superscript"/>
          <w14:textFill>
            <w14:solidFill>
              <w14:schemeClr w14:val="tx1"/>
            </w14:solidFill>
          </w14:textFill>
        </w:rPr>
        <w:t>3</w:t>
      </w:r>
      <w:r>
        <w:rPr>
          <w:bCs/>
          <w:color w:val="000000" w:themeColor="text1"/>
          <w:kern w:val="0"/>
          <w14:textFill>
            <w14:solidFill>
              <w14:schemeClr w14:val="tx1"/>
            </w14:solidFill>
          </w14:textFill>
        </w:rPr>
        <w:t>。</w:t>
      </w:r>
    </w:p>
    <w:p w14:paraId="781D10D2">
      <w:pPr>
        <w:ind w:firstLine="0" w:firstLineChars="0"/>
        <w:outlineLvl w:val="2"/>
        <w:rPr>
          <w:b/>
          <w:color w:val="000000" w:themeColor="text1"/>
          <w:kern w:val="0"/>
          <w:sz w:val="28"/>
          <w:szCs w:val="28"/>
          <w14:textFill>
            <w14:solidFill>
              <w14:schemeClr w14:val="tx1"/>
            </w14:solidFill>
          </w14:textFill>
        </w:rPr>
      </w:pPr>
      <w:r>
        <w:rPr>
          <w:rFonts w:hint="eastAsia"/>
          <w:b/>
          <w:color w:val="000000" w:themeColor="text1"/>
          <w:kern w:val="0"/>
          <w:sz w:val="28"/>
          <w:szCs w:val="28"/>
          <w14:textFill>
            <w14:solidFill>
              <w14:schemeClr w14:val="tx1"/>
            </w14:solidFill>
          </w14:textFill>
        </w:rPr>
        <w:t>3.1.4施工工艺和方法</w:t>
      </w:r>
    </w:p>
    <w:p w14:paraId="0E1B4ECA">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3.1.4.1施工组织</w:t>
      </w:r>
    </w:p>
    <w:p w14:paraId="48AA50A8">
      <w:pPr>
        <w:ind w:firstLine="480"/>
        <w:rPr>
          <w:color w:val="000000" w:themeColor="text1"/>
          <w14:textFill>
            <w14:solidFill>
              <w14:schemeClr w14:val="tx1"/>
            </w14:solidFill>
          </w14:textFill>
        </w:rPr>
      </w:pPr>
      <w:r>
        <w:rPr>
          <w:color w:val="000000" w:themeColor="text1"/>
          <w14:textFill>
            <w14:solidFill>
              <w14:schemeClr w14:val="tx1"/>
            </w14:solidFill>
          </w14:textFill>
        </w:rPr>
        <w:t>（1）塔基施工场地</w:t>
      </w:r>
    </w:p>
    <w:p w14:paraId="48E51C7D">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塔基施工场地主要用于基础开挖临时堆土、施工临时堆料及立塔过程中的锚坑用地等。一般情况下，塔基施工场地在塔基两侧或一侧，</w:t>
      </w:r>
      <w:r>
        <w:rPr>
          <w:color w:val="000000" w:themeColor="text1"/>
          <w:kern w:val="0"/>
          <w:lang w:bidi="ar"/>
          <w14:textFill>
            <w14:solidFill>
              <w14:schemeClr w14:val="tx1"/>
            </w14:solidFill>
          </w14:textFill>
        </w:rPr>
        <w:t>750kV</w:t>
      </w:r>
      <w:r>
        <w:rPr>
          <w:rFonts w:hint="eastAsia" w:ascii="宋体" w:hAnsi="宋体" w:cs="宋体"/>
          <w:color w:val="000000" w:themeColor="text1"/>
          <w:kern w:val="0"/>
          <w:lang w:bidi="ar"/>
          <w14:textFill>
            <w14:solidFill>
              <w14:schemeClr w14:val="tx1"/>
            </w14:solidFill>
          </w14:textFill>
        </w:rPr>
        <w:t>输电线路塔基分直线塔和耐张塔，</w:t>
      </w:r>
      <w:r>
        <w:rPr>
          <w:color w:val="000000" w:themeColor="text1"/>
          <w14:textFill>
            <w14:solidFill>
              <w14:schemeClr w14:val="tx1"/>
            </w14:solidFill>
          </w14:textFill>
        </w:rPr>
        <w:t>本工程共设置</w:t>
      </w:r>
      <w:r>
        <w:rPr>
          <w:rFonts w:hint="eastAsia"/>
          <w:color w:val="000000" w:themeColor="text1"/>
          <w14:textFill>
            <w14:solidFill>
              <w14:schemeClr w14:val="tx1"/>
            </w14:solidFill>
          </w14:textFill>
        </w:rPr>
        <w:t>8</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座塔基施工场地，塔基施工场地占地面积共计</w:t>
      </w:r>
      <w:r>
        <w:rPr>
          <w:rFonts w:hint="eastAsia"/>
          <w:color w:val="000000" w:themeColor="text1"/>
          <w:lang w:val="en-US" w:eastAsia="zh-CN"/>
          <w14:textFill>
            <w14:solidFill>
              <w14:schemeClr w14:val="tx1"/>
            </w14:solidFill>
          </w14:textFill>
        </w:rPr>
        <w:t>108360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1882D0FD">
      <w:pPr>
        <w:ind w:firstLine="480"/>
        <w:rPr>
          <w:color w:val="000000" w:themeColor="text1"/>
          <w14:textFill>
            <w14:solidFill>
              <w14:schemeClr w14:val="tx1"/>
            </w14:solidFill>
          </w14:textFill>
        </w:rPr>
      </w:pPr>
      <w:r>
        <w:rPr>
          <w:color w:val="000000" w:themeColor="text1"/>
          <w14:textFill>
            <w14:solidFill>
              <w14:schemeClr w14:val="tx1"/>
            </w14:solidFill>
          </w14:textFill>
        </w:rPr>
        <w:t>（2）牵张场</w:t>
      </w:r>
    </w:p>
    <w:p w14:paraId="6D982AC3">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本工程牵引场建议按照</w:t>
      </w:r>
      <w:r>
        <w:rPr>
          <w:rFonts w:hint="eastAsia"/>
          <w:color w:val="000000" w:themeColor="text1"/>
          <w:kern w:val="0"/>
          <w:lang w:val="en-US" w:eastAsia="zh-CN" w:bidi="ar"/>
          <w14:textFill>
            <w14:solidFill>
              <w14:schemeClr w14:val="tx1"/>
            </w14:solidFill>
          </w14:textFill>
        </w:rPr>
        <w:t>7</w:t>
      </w:r>
      <w:r>
        <w:rPr>
          <w:color w:val="000000" w:themeColor="text1"/>
          <w:kern w:val="0"/>
          <w:lang w:bidi="ar"/>
          <w14:textFill>
            <w14:solidFill>
              <w14:schemeClr w14:val="tx1"/>
            </w14:solidFill>
          </w14:textFill>
        </w:rPr>
        <w:t>-</w:t>
      </w:r>
      <w:r>
        <w:rPr>
          <w:rFonts w:hint="eastAsia"/>
          <w:color w:val="000000" w:themeColor="text1"/>
          <w:kern w:val="0"/>
          <w:lang w:val="en-US" w:eastAsia="zh-CN" w:bidi="ar"/>
          <w14:textFill>
            <w14:solidFill>
              <w14:schemeClr w14:val="tx1"/>
            </w14:solidFill>
          </w14:textFill>
        </w:rPr>
        <w:t>8</w:t>
      </w:r>
      <w:r>
        <w:rPr>
          <w:color w:val="000000" w:themeColor="text1"/>
          <w:kern w:val="0"/>
          <w:lang w:bidi="ar"/>
          <w14:textFill>
            <w14:solidFill>
              <w14:schemeClr w14:val="tx1"/>
            </w14:solidFill>
          </w14:textFill>
        </w:rPr>
        <w:t>km设置一处，牵引场规模按照40m×</w:t>
      </w:r>
      <w:r>
        <w:rPr>
          <w:rFonts w:hint="eastAsia"/>
          <w:color w:val="000000" w:themeColor="text1"/>
          <w:kern w:val="0"/>
          <w:lang w:val="en-US" w:eastAsia="zh-CN" w:bidi="ar"/>
          <w14:textFill>
            <w14:solidFill>
              <w14:schemeClr w14:val="tx1"/>
            </w14:solidFill>
          </w14:textFill>
        </w:rPr>
        <w:t>40</w:t>
      </w:r>
      <w:r>
        <w:rPr>
          <w:color w:val="000000" w:themeColor="text1"/>
          <w:kern w:val="0"/>
          <w:lang w:bidi="ar"/>
          <w14:textFill>
            <w14:solidFill>
              <w14:schemeClr w14:val="tx1"/>
            </w14:solidFill>
          </w14:textFill>
        </w:rPr>
        <w:t>m考虑，张力场规模按照</w:t>
      </w:r>
      <w:r>
        <w:rPr>
          <w:rFonts w:hint="eastAsia"/>
          <w:color w:val="000000" w:themeColor="text1"/>
          <w:kern w:val="0"/>
          <w:lang w:val="en-US" w:eastAsia="zh-CN" w:bidi="ar"/>
          <w14:textFill>
            <w14:solidFill>
              <w14:schemeClr w14:val="tx1"/>
            </w14:solidFill>
          </w14:textFill>
        </w:rPr>
        <w:t>6</w:t>
      </w:r>
      <w:r>
        <w:rPr>
          <w:color w:val="000000" w:themeColor="text1"/>
          <w:kern w:val="0"/>
          <w:lang w:bidi="ar"/>
          <w14:textFill>
            <w14:solidFill>
              <w14:schemeClr w14:val="tx1"/>
            </w14:solidFill>
          </w14:textFill>
        </w:rPr>
        <w:t>0m×60m考虑，后期初设施工图阶段，根据现场和路径的实际情况，合理选择牵张场位置和大小。初选牵引场</w:t>
      </w:r>
      <w:r>
        <w:rPr>
          <w:rFonts w:hint="eastAsia"/>
          <w:color w:val="000000" w:themeColor="text1"/>
          <w:kern w:val="0"/>
          <w:lang w:val="en-US" w:eastAsia="zh-CN" w:bidi="ar"/>
          <w14:textFill>
            <w14:solidFill>
              <w14:schemeClr w14:val="tx1"/>
            </w14:solidFill>
          </w14:textFill>
        </w:rPr>
        <w:t>23</w:t>
      </w:r>
      <w:r>
        <w:rPr>
          <w:color w:val="000000" w:themeColor="text1"/>
          <w:kern w:val="0"/>
          <w:lang w:bidi="ar"/>
          <w14:textFill>
            <w14:solidFill>
              <w14:schemeClr w14:val="tx1"/>
            </w14:solidFill>
          </w14:textFill>
        </w:rPr>
        <w:t>个，张力场</w:t>
      </w:r>
      <w:r>
        <w:rPr>
          <w:rFonts w:hint="eastAsia"/>
          <w:color w:val="000000" w:themeColor="text1"/>
          <w:kern w:val="0"/>
          <w:lang w:val="en-US" w:eastAsia="zh-CN" w:bidi="ar"/>
          <w14:textFill>
            <w14:solidFill>
              <w14:schemeClr w14:val="tx1"/>
            </w14:solidFill>
          </w14:textFill>
        </w:rPr>
        <w:t>21</w:t>
      </w:r>
      <w:r>
        <w:rPr>
          <w:color w:val="000000" w:themeColor="text1"/>
          <w:kern w:val="0"/>
          <w:lang w:bidi="ar"/>
          <w14:textFill>
            <w14:solidFill>
              <w14:schemeClr w14:val="tx1"/>
            </w14:solidFill>
          </w14:textFill>
        </w:rPr>
        <w:t>个，共计占地</w:t>
      </w:r>
      <w:r>
        <w:rPr>
          <w:rFonts w:hint="eastAsia"/>
          <w:color w:val="000000" w:themeColor="text1"/>
          <w:kern w:val="0"/>
          <w:lang w:val="en-US" w:eastAsia="zh-CN" w:bidi="ar"/>
          <w14:textFill>
            <w14:solidFill>
              <w14:schemeClr w14:val="tx1"/>
            </w14:solidFill>
          </w14:textFill>
        </w:rPr>
        <w:t>112</w:t>
      </w:r>
      <w:r>
        <w:rPr>
          <w:rFonts w:hint="eastAsia"/>
          <w:color w:val="000000" w:themeColor="text1"/>
          <w:kern w:val="0"/>
          <w:lang w:bidi="ar"/>
          <w14:textFill>
            <w14:solidFill>
              <w14:schemeClr w14:val="tx1"/>
            </w14:solidFill>
          </w14:textFill>
        </w:rPr>
        <w:t>400</w:t>
      </w:r>
      <w:r>
        <w:rPr>
          <w:color w:val="000000" w:themeColor="text1"/>
          <w:kern w:val="0"/>
          <w:lang w:bidi="ar"/>
          <w14:textFill>
            <w14:solidFill>
              <w14:schemeClr w14:val="tx1"/>
            </w14:solidFill>
          </w14:textFill>
        </w:rPr>
        <w:t>m</w:t>
      </w:r>
      <w:r>
        <w:rPr>
          <w:color w:val="000000" w:themeColor="text1"/>
          <w:kern w:val="0"/>
          <w:vertAlign w:val="superscript"/>
          <w:lang w:bidi="ar"/>
          <w14:textFill>
            <w14:solidFill>
              <w14:schemeClr w14:val="tx1"/>
            </w14:solidFill>
          </w14:textFill>
        </w:rPr>
        <w:t>2</w:t>
      </w:r>
      <w:r>
        <w:rPr>
          <w:color w:val="000000" w:themeColor="text1"/>
          <w:kern w:val="0"/>
          <w:lang w:bidi="ar"/>
          <w14:textFill>
            <w14:solidFill>
              <w14:schemeClr w14:val="tx1"/>
            </w14:solidFill>
          </w14:textFill>
        </w:rPr>
        <w:t>。</w:t>
      </w:r>
    </w:p>
    <w:p w14:paraId="01AD652B">
      <w:pPr>
        <w:ind w:firstLine="480"/>
        <w:rPr>
          <w:color w:val="000000" w:themeColor="text1"/>
          <w14:textFill>
            <w14:solidFill>
              <w14:schemeClr w14:val="tx1"/>
            </w14:solidFill>
          </w14:textFill>
        </w:rPr>
      </w:pPr>
      <w:r>
        <w:rPr>
          <w:color w:val="000000" w:themeColor="text1"/>
          <w14:textFill>
            <w14:solidFill>
              <w14:schemeClr w14:val="tx1"/>
            </w14:solidFill>
          </w14:textFill>
        </w:rPr>
        <w:t>（3）临时跨越场地</w:t>
      </w:r>
    </w:p>
    <w:p w14:paraId="740ECC81">
      <w:pPr>
        <w:ind w:firstLine="480"/>
        <w:rPr>
          <w:color w:val="000000" w:themeColor="text1"/>
          <w14:textFill>
            <w14:solidFill>
              <w14:schemeClr w14:val="tx1"/>
            </w14:solidFill>
          </w14:textFill>
        </w:rPr>
      </w:pPr>
      <w:r>
        <w:rPr>
          <w:color w:val="000000" w:themeColor="text1"/>
          <w14:textFill>
            <w14:solidFill>
              <w14:schemeClr w14:val="tx1"/>
            </w14:solidFill>
          </w14:textFill>
        </w:rPr>
        <w:t>输电线路跨越铁路、</w:t>
      </w:r>
      <w:r>
        <w:rPr>
          <w:rFonts w:hint="eastAsia"/>
          <w:color w:val="000000" w:themeColor="text1"/>
          <w14:textFill>
            <w14:solidFill>
              <w14:schemeClr w14:val="tx1"/>
            </w14:solidFill>
          </w14:textFill>
        </w:rPr>
        <w:t>国道</w:t>
      </w:r>
      <w:r>
        <w:rPr>
          <w:color w:val="000000" w:themeColor="text1"/>
          <w14:textFill>
            <w14:solidFill>
              <w14:schemeClr w14:val="tx1"/>
            </w14:solidFill>
          </w14:textFill>
        </w:rPr>
        <w:t>、高速公路、35kV以上电力线路等设施需要搭设跨越架。通过调查同类输电工程，750kV线路单处跨越施工场地临时占地面积约</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00m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。本项目共设置</w:t>
      </w:r>
      <w:r>
        <w:rPr>
          <w:rFonts w:hint="eastAsia"/>
          <w:color w:val="000000" w:themeColor="text1"/>
          <w14:textFill>
            <w14:solidFill>
              <w14:schemeClr w14:val="tx1"/>
            </w14:solidFill>
          </w14:textFill>
        </w:rPr>
        <w:t>42</w:t>
      </w:r>
      <w:r>
        <w:rPr>
          <w:color w:val="000000" w:themeColor="text1"/>
          <w14:textFill>
            <w14:solidFill>
              <w14:schemeClr w14:val="tx1"/>
            </w14:solidFill>
          </w14:textFill>
        </w:rPr>
        <w:t>处跨越施工场地，跨越场总占地面积1</w:t>
      </w:r>
      <w:r>
        <w:rPr>
          <w:rFonts w:hint="eastAsia"/>
          <w:color w:val="000000" w:themeColor="text1"/>
          <w14:textFill>
            <w14:solidFill>
              <w14:schemeClr w14:val="tx1"/>
            </w14:solidFill>
          </w14:textFill>
        </w:rPr>
        <w:t>680</w:t>
      </w:r>
      <w:r>
        <w:rPr>
          <w:color w:val="000000" w:themeColor="text1"/>
          <w14:textFill>
            <w14:solidFill>
              <w14:schemeClr w14:val="tx1"/>
            </w14:solidFill>
          </w14:textFill>
        </w:rPr>
        <w:t>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76C85F4F">
      <w:pPr>
        <w:ind w:firstLine="48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施工营地及</w:t>
      </w:r>
      <w:r>
        <w:rPr>
          <w:color w:val="000000" w:themeColor="text1"/>
          <w14:textFill>
            <w14:solidFill>
              <w14:schemeClr w14:val="tx1"/>
            </w14:solidFill>
          </w14:textFill>
        </w:rPr>
        <w:t>材料站</w:t>
      </w:r>
    </w:p>
    <w:p w14:paraId="7FFD4092">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本工程在输电线路沿线设置材料站</w:t>
      </w: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处，位于线路终点换流站位置，满足标准化材料站设置的要求，占地面积</w:t>
      </w:r>
      <w:r>
        <w:rPr>
          <w:rFonts w:hint="eastAsia"/>
          <w:color w:val="000000" w:themeColor="text1"/>
          <w:kern w:val="0"/>
          <w:lang w:bidi="ar"/>
          <w14:textFill>
            <w14:solidFill>
              <w14:schemeClr w14:val="tx1"/>
            </w14:solidFill>
          </w14:textFill>
        </w:rPr>
        <w:t>2000</w:t>
      </w:r>
      <w:r>
        <w:rPr>
          <w:color w:val="000000" w:themeColor="text1"/>
          <w:kern w:val="0"/>
          <w:lang w:bidi="ar"/>
          <w14:textFill>
            <w14:solidFill>
              <w14:schemeClr w14:val="tx1"/>
            </w14:solidFill>
          </w14:textFill>
        </w:rPr>
        <w:t>m</w:t>
      </w:r>
      <w:r>
        <w:rPr>
          <w:rFonts w:hint="eastAsia"/>
          <w:color w:val="000000" w:themeColor="text1"/>
          <w:kern w:val="0"/>
          <w:vertAlign w:val="superscript"/>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w:t>
      </w:r>
    </w:p>
    <w:p w14:paraId="31A33061">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）施工道路</w:t>
      </w:r>
    </w:p>
    <w:p w14:paraId="5C83BF25">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除利用线路沿线的现有道路外，本工程还需修筑简易施工道路，用于连接塔基和塔基周边已有道路，解决建筑材料和牵引张拉设备等运输问题。经初步设计，本工程约需修筑施工简易道路（机械运输）</w:t>
      </w:r>
      <w:r>
        <w:rPr>
          <w:rFonts w:hint="eastAsia"/>
          <w:color w:val="000000" w:themeColor="text1"/>
          <w:kern w:val="0"/>
          <w:lang w:val="en-US" w:eastAsia="zh-CN" w:bidi="ar"/>
          <w14:textFill>
            <w14:solidFill>
              <w14:schemeClr w14:val="tx1"/>
            </w14:solidFill>
          </w14:textFill>
        </w:rPr>
        <w:t>21.2</w:t>
      </w:r>
      <w:r>
        <w:rPr>
          <w:color w:val="000000" w:themeColor="text1"/>
          <w:kern w:val="0"/>
          <w:lang w:bidi="ar"/>
          <w14:textFill>
            <w14:solidFill>
              <w14:schemeClr w14:val="tx1"/>
            </w14:solidFill>
          </w14:textFill>
        </w:rPr>
        <w:t>km</w:t>
      </w:r>
      <w:r>
        <w:rPr>
          <w:rFonts w:hint="eastAsia" w:ascii="宋体" w:hAnsi="宋体" w:cs="宋体"/>
          <w:color w:val="000000" w:themeColor="text1"/>
          <w:kern w:val="0"/>
          <w:lang w:bidi="ar"/>
          <w14:textFill>
            <w14:solidFill>
              <w14:schemeClr w14:val="tx1"/>
            </w14:solidFill>
          </w14:textFill>
        </w:rPr>
        <w:t>。输电线路为多个不连续的点组成的线性工程，且施工机械通常是施工完一基塔再去施工下一基塔，因此施工道路宽度按</w:t>
      </w:r>
      <w:r>
        <w:rPr>
          <w:rFonts w:hint="eastAsia"/>
          <w:color w:val="000000" w:themeColor="text1"/>
          <w:kern w:val="0"/>
          <w:lang w:val="en-US" w:eastAsia="zh-CN" w:bidi="ar"/>
          <w14:textFill>
            <w14:solidFill>
              <w14:schemeClr w14:val="tx1"/>
            </w14:solidFill>
          </w14:textFill>
        </w:rPr>
        <w:t>4</w:t>
      </w:r>
      <w:r>
        <w:rPr>
          <w:color w:val="000000" w:themeColor="text1"/>
          <w:kern w:val="0"/>
          <w:lang w:bidi="ar"/>
          <w14:textFill>
            <w14:solidFill>
              <w14:schemeClr w14:val="tx1"/>
            </w14:solidFill>
          </w14:textFill>
        </w:rPr>
        <w:t>.5m</w:t>
      </w:r>
      <w:r>
        <w:rPr>
          <w:rFonts w:hint="eastAsia" w:ascii="宋体" w:hAnsi="宋体" w:cs="宋体"/>
          <w:color w:val="000000" w:themeColor="text1"/>
          <w:kern w:val="0"/>
          <w:lang w:bidi="ar"/>
          <w14:textFill>
            <w14:solidFill>
              <w14:schemeClr w14:val="tx1"/>
            </w14:solidFill>
          </w14:textFill>
        </w:rPr>
        <w:t>计，施工道路选择平坦开阔区域布设，减少因施工临时道路布设造成的水土流失。本工程施工道路占地共计</w:t>
      </w:r>
      <w:r>
        <w:rPr>
          <w:rFonts w:hint="eastAsia"/>
          <w:color w:val="000000" w:themeColor="text1"/>
          <w:kern w:val="0"/>
          <w:lang w:val="en-US" w:eastAsia="zh-CN" w:bidi="ar"/>
          <w14:textFill>
            <w14:solidFill>
              <w14:schemeClr w14:val="tx1"/>
            </w14:solidFill>
          </w14:textFill>
        </w:rPr>
        <w:t>95400</w:t>
      </w:r>
      <w:r>
        <w:rPr>
          <w:color w:val="000000" w:themeColor="text1"/>
          <w:kern w:val="0"/>
          <w:lang w:bidi="ar"/>
          <w14:textFill>
            <w14:solidFill>
              <w14:schemeClr w14:val="tx1"/>
            </w14:solidFill>
          </w14:textFill>
        </w:rPr>
        <w:t>m</w:t>
      </w:r>
      <w:r>
        <w:rPr>
          <w:rFonts w:hint="eastAsia"/>
          <w:color w:val="000000" w:themeColor="text1"/>
          <w:kern w:val="0"/>
          <w:vertAlign w:val="superscript"/>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w:t>
      </w:r>
    </w:p>
    <w:p w14:paraId="4548DA57">
      <w:pPr>
        <w:ind w:firstLine="480"/>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施工临时工程分布</w:t>
      </w:r>
      <w:r>
        <w:rPr>
          <w:color w:val="000000" w:themeColor="text1"/>
          <w14:textFill>
            <w14:solidFill>
              <w14:schemeClr w14:val="tx1"/>
            </w14:solidFill>
          </w14:textFill>
        </w:rPr>
        <w:t>见图3.1-</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w:t>
      </w:r>
    </w:p>
    <w:p w14:paraId="16ED04AA">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3.1.4.2施工工艺流程和方法</w:t>
      </w:r>
    </w:p>
    <w:p w14:paraId="1DD8A50F">
      <w:pPr>
        <w:ind w:firstLine="480"/>
        <w:rPr>
          <w:color w:val="000000" w:themeColor="text1"/>
          <w14:textFill>
            <w14:solidFill>
              <w14:schemeClr w14:val="tx1"/>
            </w14:solidFill>
          </w14:textFill>
        </w:rPr>
      </w:pPr>
      <w:r>
        <w:rPr>
          <w:color w:val="000000" w:themeColor="text1"/>
          <w14:textFill>
            <w14:solidFill>
              <w14:schemeClr w14:val="tx1"/>
            </w14:solidFill>
          </w14:textFill>
        </w:rPr>
        <w:t>输电线路施工主要包括施工准备、基础施工、铁塔组立及架线等环节。</w:t>
      </w:r>
    </w:p>
    <w:p w14:paraId="1B40E5E0">
      <w:pPr>
        <w:ind w:firstLine="480"/>
        <w:rPr>
          <w:color w:val="000000" w:themeColor="text1"/>
          <w14:textFill>
            <w14:solidFill>
              <w14:schemeClr w14:val="tx1"/>
            </w14:solidFill>
          </w14:textFill>
        </w:rPr>
      </w:pPr>
      <w:r>
        <w:rPr>
          <w:color w:val="000000" w:themeColor="text1"/>
          <w14:textFill>
            <w14:solidFill>
              <w14:schemeClr w14:val="tx1"/>
            </w14:solidFill>
          </w14:textFill>
        </w:rPr>
        <w:t>（1）施工准备</w:t>
      </w:r>
    </w:p>
    <w:p w14:paraId="23BF8969">
      <w:pPr>
        <w:ind w:firstLine="480"/>
        <w:rPr>
          <w:color w:val="000000" w:themeColor="text1"/>
          <w14:textFill>
            <w14:solidFill>
              <w14:schemeClr w14:val="tx1"/>
            </w14:solidFill>
          </w14:textFill>
        </w:rPr>
      </w:pPr>
      <w:r>
        <w:rPr>
          <w:color w:val="000000" w:themeColor="text1"/>
          <w14:textFill>
            <w14:solidFill>
              <w14:schemeClr w14:val="tx1"/>
            </w14:solidFill>
          </w14:textFill>
        </w:rPr>
        <w:t>①材料运输及施工道路建设</w:t>
      </w:r>
    </w:p>
    <w:p w14:paraId="06073C1E">
      <w:pPr>
        <w:ind w:firstLine="480"/>
        <w:rPr>
          <w:color w:val="000000" w:themeColor="text1"/>
          <w14:textFill>
            <w14:solidFill>
              <w14:schemeClr w14:val="tx1"/>
            </w14:solidFill>
          </w14:textFill>
        </w:rPr>
      </w:pPr>
      <w:r>
        <w:rPr>
          <w:color w:val="000000" w:themeColor="text1"/>
          <w14:textFill>
            <w14:solidFill>
              <w14:schemeClr w14:val="tx1"/>
            </w14:solidFill>
          </w14:textFill>
        </w:rPr>
        <w:t>施工准备阶段主要进行施工备料及施工道路的建设。材料运输将充分利用现有道路。</w:t>
      </w:r>
    </w:p>
    <w:p w14:paraId="5E99FC80">
      <w:pPr>
        <w:ind w:firstLine="480"/>
        <w:rPr>
          <w:color w:val="000000" w:themeColor="text1"/>
          <w14:textFill>
            <w14:solidFill>
              <w14:schemeClr w14:val="tx1"/>
            </w14:solidFill>
          </w14:textFill>
        </w:rPr>
      </w:pPr>
      <w:r>
        <w:rPr>
          <w:color w:val="000000" w:themeColor="text1"/>
          <w14:textFill>
            <w14:solidFill>
              <w14:schemeClr w14:val="tx1"/>
            </w14:solidFill>
          </w14:textFill>
        </w:rPr>
        <w:t>②牵张场建设</w:t>
      </w:r>
    </w:p>
    <w:p w14:paraId="54789DC7">
      <w:pPr>
        <w:ind w:firstLine="480"/>
        <w:rPr>
          <w:color w:val="000000" w:themeColor="text1"/>
          <w14:textFill>
            <w14:solidFill>
              <w14:schemeClr w14:val="tx1"/>
            </w14:solidFill>
          </w14:textFill>
        </w:rPr>
      </w:pPr>
      <w:r>
        <w:rPr>
          <w:color w:val="000000" w:themeColor="text1"/>
          <w14:textFill>
            <w14:solidFill>
              <w14:schemeClr w14:val="tx1"/>
            </w14:solidFill>
          </w14:textFill>
        </w:rPr>
        <w:t>牵张场施工采用人工整平，以满足牵引机、张力机放置要求。</w:t>
      </w:r>
    </w:p>
    <w:p w14:paraId="3249CEFC">
      <w:pPr>
        <w:ind w:firstLine="480"/>
        <w:rPr>
          <w:color w:val="000000" w:themeColor="text1"/>
          <w14:textFill>
            <w14:solidFill>
              <w14:schemeClr w14:val="tx1"/>
            </w14:solidFill>
          </w14:textFill>
        </w:rPr>
      </w:pPr>
      <w:r>
        <w:rPr>
          <w:color w:val="000000" w:themeColor="text1"/>
          <w14:textFill>
            <w14:solidFill>
              <w14:schemeClr w14:val="tx1"/>
            </w14:solidFill>
          </w14:textFill>
        </w:rPr>
        <w:t>（2）基础施工</w:t>
      </w:r>
    </w:p>
    <w:p w14:paraId="54965E68">
      <w:pPr>
        <w:ind w:firstLine="480"/>
        <w:rPr>
          <w:color w:val="000000" w:themeColor="text1"/>
          <w14:textFill>
            <w14:solidFill>
              <w14:schemeClr w14:val="tx1"/>
            </w14:solidFill>
          </w14:textFill>
        </w:rPr>
      </w:pPr>
      <w:r>
        <w:rPr>
          <w:color w:val="000000" w:themeColor="text1"/>
          <w14:textFill>
            <w14:solidFill>
              <w14:schemeClr w14:val="tx1"/>
            </w14:solidFill>
          </w14:textFill>
        </w:rPr>
        <w:t>基础施工主要机械开挖，剥离的表土单独堆放，并采取相应防护措施。开挖的土石方就近堆放，并采取临时防护措施。塔基基础开挖完毕后，采用汽车、人力把塔基基础浇筑所需的钢材、水泥等运到塔基施工区进行基础浇筑、养护。</w:t>
      </w:r>
    </w:p>
    <w:p w14:paraId="27B092DA">
      <w:pPr>
        <w:ind w:firstLine="480"/>
        <w:rPr>
          <w:color w:val="000000" w:themeColor="text1"/>
          <w14:textFill>
            <w14:solidFill>
              <w14:schemeClr w14:val="tx1"/>
            </w14:solidFill>
          </w14:textFill>
        </w:rPr>
      </w:pPr>
      <w:r>
        <w:rPr>
          <w:color w:val="000000" w:themeColor="text1"/>
          <w14:textFill>
            <w14:solidFill>
              <w14:schemeClr w14:val="tx1"/>
            </w14:solidFill>
          </w14:textFill>
        </w:rPr>
        <w:t>基础施工中应尽量缩短基坑暴露时间，及时</w:t>
      </w:r>
      <w:r>
        <w:rPr>
          <w:rFonts w:hint="eastAsia"/>
          <w:color w:val="000000" w:themeColor="text1"/>
          <w:lang w:eastAsia="zh-CN"/>
          <w14:textFill>
            <w14:solidFill>
              <w14:schemeClr w14:val="tx1"/>
            </w14:solidFill>
          </w14:textFill>
        </w:rPr>
        <w:t>浇筑</w:t>
      </w:r>
      <w:r>
        <w:rPr>
          <w:color w:val="000000" w:themeColor="text1"/>
          <w14:textFill>
            <w14:solidFill>
              <w14:schemeClr w14:val="tx1"/>
            </w14:solidFill>
          </w14:textFill>
        </w:rPr>
        <w:t>基础，同时做好基面及基坑的排水工作。基础拆模后，回填土按要求进行分层夯实，并清除掺杂的草、树根等杂物。</w:t>
      </w:r>
    </w:p>
    <w:p w14:paraId="3BFE6B38">
      <w:pPr>
        <w:ind w:firstLine="480"/>
        <w:rPr>
          <w:color w:val="000000" w:themeColor="text1"/>
          <w14:textFill>
            <w14:solidFill>
              <w14:schemeClr w14:val="tx1"/>
            </w14:solidFill>
          </w14:textFill>
        </w:rPr>
      </w:pPr>
      <w:r>
        <w:rPr>
          <w:color w:val="000000" w:themeColor="text1"/>
          <w14:textFill>
            <w14:solidFill>
              <w14:schemeClr w14:val="tx1"/>
            </w14:solidFill>
          </w14:textFill>
        </w:rPr>
        <w:t>基坑开挖及基础施工工艺见图3.1-</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、图3.1-</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w:t>
      </w:r>
    </w:p>
    <w:p w14:paraId="2A641BC3">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327525" cy="2012950"/>
            <wp:effectExtent l="0" t="0" r="15875" b="635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20"/>
                    <a:stretch>
                      <a:fillRect/>
                    </a:stretch>
                  </pic:blipFill>
                  <pic:spPr>
                    <a:xfrm>
                      <a:off x="0" y="0"/>
                      <a:ext cx="4328159" cy="2013204"/>
                    </a:xfrm>
                    <a:prstGeom prst="rect">
                      <a:avLst/>
                    </a:prstGeom>
                  </pic:spPr>
                </pic:pic>
              </a:graphicData>
            </a:graphic>
          </wp:inline>
        </w:drawing>
      </w:r>
    </w:p>
    <w:p w14:paraId="5D89C834">
      <w:pPr>
        <w:pStyle w:val="58"/>
        <w:spacing w:after="156"/>
        <w:rPr>
          <w:rFonts w:hint="default"/>
          <w:color w:val="000000" w:themeColor="text1"/>
          <w14:textFill>
            <w14:solidFill>
              <w14:schemeClr w14:val="tx1"/>
            </w14:solidFill>
          </w14:textFill>
        </w:rPr>
      </w:pPr>
      <w:r>
        <w:rPr>
          <w:rFonts w:hint="default"/>
          <w:color w:val="000000" w:themeColor="text1"/>
          <w:sz w:val="21"/>
          <w:szCs w:val="21"/>
          <w14:textFill>
            <w14:solidFill>
              <w14:schemeClr w14:val="tx1"/>
            </w14:solidFill>
          </w14:textFill>
        </w:rPr>
        <w:t>图3.1-</w:t>
      </w:r>
      <w:r>
        <w:rPr>
          <w:color w:val="000000" w:themeColor="text1"/>
          <w:sz w:val="21"/>
          <w:szCs w:val="21"/>
          <w14:textFill>
            <w14:solidFill>
              <w14:schemeClr w14:val="tx1"/>
            </w14:solidFill>
          </w14:textFill>
        </w:rPr>
        <w:t>7</w:t>
      </w:r>
      <w:r>
        <w:rPr>
          <w:rFonts w:hint="default"/>
          <w:color w:val="000000" w:themeColor="text1"/>
          <w:sz w:val="21"/>
          <w:szCs w:val="21"/>
          <w14:textFill>
            <w14:solidFill>
              <w14:schemeClr w14:val="tx1"/>
            </w14:solidFill>
          </w14:textFill>
        </w:rPr>
        <w:t xml:space="preserve">  基坑开挖施工工艺流程图</w:t>
      </w:r>
    </w:p>
    <w:p w14:paraId="09D24DDB">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423410" cy="1596390"/>
            <wp:effectExtent l="0" t="0" r="15240" b="381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21"/>
                    <a:stretch>
                      <a:fillRect/>
                    </a:stretch>
                  </pic:blipFill>
                  <pic:spPr>
                    <a:xfrm>
                      <a:off x="0" y="0"/>
                      <a:ext cx="4423688" cy="1596896"/>
                    </a:xfrm>
                    <a:prstGeom prst="rect">
                      <a:avLst/>
                    </a:prstGeom>
                  </pic:spPr>
                </pic:pic>
              </a:graphicData>
            </a:graphic>
          </wp:inline>
        </w:drawing>
      </w:r>
    </w:p>
    <w:p w14:paraId="640191AA">
      <w:pPr>
        <w:pStyle w:val="58"/>
        <w:spacing w:after="156"/>
        <w:rPr>
          <w:rFonts w:hint="default"/>
          <w:color w:val="000000" w:themeColor="text1"/>
          <w14:textFill>
            <w14:solidFill>
              <w14:schemeClr w14:val="tx1"/>
            </w14:solidFill>
          </w14:textFill>
        </w:rPr>
      </w:pPr>
      <w:r>
        <w:rPr>
          <w:rFonts w:hint="default"/>
          <w:color w:val="000000" w:themeColor="text1"/>
          <w:sz w:val="21"/>
          <w:szCs w:val="21"/>
          <w14:textFill>
            <w14:solidFill>
              <w14:schemeClr w14:val="tx1"/>
            </w14:solidFill>
          </w14:textFill>
        </w:rPr>
        <w:t>图3.1-</w:t>
      </w:r>
      <w:r>
        <w:rPr>
          <w:color w:val="000000" w:themeColor="text1"/>
          <w:sz w:val="21"/>
          <w:szCs w:val="21"/>
          <w14:textFill>
            <w14:solidFill>
              <w14:schemeClr w14:val="tx1"/>
            </w14:solidFill>
          </w14:textFill>
        </w:rPr>
        <w:t>8</w:t>
      </w:r>
      <w:r>
        <w:rPr>
          <w:rFonts w:hint="default"/>
          <w:color w:val="000000" w:themeColor="text1"/>
          <w:sz w:val="21"/>
          <w:szCs w:val="21"/>
          <w14:textFill>
            <w14:solidFill>
              <w14:schemeClr w14:val="tx1"/>
            </w14:solidFill>
          </w14:textFill>
        </w:rPr>
        <w:t xml:space="preserve">  基础施工工艺流程图</w:t>
      </w:r>
    </w:p>
    <w:p w14:paraId="2B3E0F0F">
      <w:pPr>
        <w:ind w:firstLine="480"/>
        <w:rPr>
          <w:color w:val="000000" w:themeColor="text1"/>
          <w14:textFill>
            <w14:solidFill>
              <w14:schemeClr w14:val="tx1"/>
            </w14:solidFill>
          </w14:textFill>
        </w:rPr>
      </w:pPr>
      <w:r>
        <w:rPr>
          <w:color w:val="000000" w:themeColor="text1"/>
          <w14:textFill>
            <w14:solidFill>
              <w14:schemeClr w14:val="tx1"/>
            </w14:solidFill>
          </w14:textFill>
        </w:rPr>
        <w:t>（3）铁塔组立</w:t>
      </w:r>
    </w:p>
    <w:p w14:paraId="06D4864C">
      <w:pPr>
        <w:ind w:firstLine="480"/>
        <w:rPr>
          <w:color w:val="000000" w:themeColor="text1"/>
          <w14:textFill>
            <w14:solidFill>
              <w14:schemeClr w14:val="tx1"/>
            </w14:solidFill>
          </w14:textFill>
        </w:rPr>
      </w:pPr>
      <w:r>
        <w:rPr>
          <w:color w:val="000000" w:themeColor="text1"/>
          <w14:textFill>
            <w14:solidFill>
              <w14:schemeClr w14:val="tx1"/>
            </w14:solidFill>
          </w14:textFill>
        </w:rPr>
        <w:t>根据铁塔结构特点，采用悬浮摇臂抱杆或落地通天摇臂抱杆分解组立，见图3.1-</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w:t>
      </w:r>
    </w:p>
    <w:p w14:paraId="2230CEE7">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765040" cy="2461260"/>
            <wp:effectExtent l="0" t="0" r="16510" b="1524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22"/>
                    <a:stretch>
                      <a:fillRect/>
                    </a:stretch>
                  </pic:blipFill>
                  <pic:spPr>
                    <a:xfrm>
                      <a:off x="0" y="0"/>
                      <a:ext cx="4765548" cy="2461260"/>
                    </a:xfrm>
                    <a:prstGeom prst="rect">
                      <a:avLst/>
                    </a:prstGeom>
                  </pic:spPr>
                </pic:pic>
              </a:graphicData>
            </a:graphic>
          </wp:inline>
        </w:drawing>
      </w:r>
    </w:p>
    <w:p w14:paraId="457E3DB9">
      <w:pPr>
        <w:pStyle w:val="58"/>
        <w:spacing w:after="156"/>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图3.1-</w:t>
      </w:r>
      <w:r>
        <w:rPr>
          <w:color w:val="000000" w:themeColor="text1"/>
          <w:sz w:val="21"/>
          <w:szCs w:val="21"/>
          <w14:textFill>
            <w14:solidFill>
              <w14:schemeClr w14:val="tx1"/>
            </w14:solidFill>
          </w14:textFill>
        </w:rPr>
        <w:t>9</w:t>
      </w:r>
      <w:r>
        <w:rPr>
          <w:rFonts w:hint="default"/>
          <w:color w:val="000000" w:themeColor="text1"/>
          <w:sz w:val="21"/>
          <w:szCs w:val="21"/>
          <w14:textFill>
            <w14:solidFill>
              <w14:schemeClr w14:val="tx1"/>
            </w14:solidFill>
          </w14:textFill>
        </w:rPr>
        <w:t xml:space="preserve">  铁塔组立接地施工工艺流程图</w:t>
      </w:r>
    </w:p>
    <w:p w14:paraId="1712B8D4">
      <w:pPr>
        <w:ind w:firstLine="480"/>
        <w:rPr>
          <w:color w:val="000000" w:themeColor="text1"/>
          <w14:textFill>
            <w14:solidFill>
              <w14:schemeClr w14:val="tx1"/>
            </w14:solidFill>
          </w14:textFill>
        </w:rPr>
      </w:pPr>
      <w:r>
        <w:rPr>
          <w:color w:val="000000" w:themeColor="text1"/>
          <w14:textFill>
            <w14:solidFill>
              <w14:schemeClr w14:val="tx1"/>
            </w14:solidFill>
          </w14:textFill>
        </w:rPr>
        <w:t>（4）架线及附件安装</w:t>
      </w:r>
    </w:p>
    <w:p w14:paraId="44494F98">
      <w:pPr>
        <w:ind w:firstLine="480"/>
        <w:rPr>
          <w:color w:val="000000" w:themeColor="text1"/>
          <w14:textFill>
            <w14:solidFill>
              <w14:schemeClr w14:val="tx1"/>
            </w14:solidFill>
          </w14:textFill>
        </w:rPr>
      </w:pPr>
      <w:r>
        <w:rPr>
          <w:color w:val="000000" w:themeColor="text1"/>
          <w14:textFill>
            <w14:solidFill>
              <w14:schemeClr w14:val="tx1"/>
            </w14:solidFill>
          </w14:textFill>
        </w:rPr>
        <w:t>本线路工程设置牵张场，采用张力机紧线，一般以张力放线施工段作为紧线段。紧线完毕后进行附件、线夹、防震金具、间隔棒等安装。</w:t>
      </w:r>
    </w:p>
    <w:p w14:paraId="4B7F44FF">
      <w:pPr>
        <w:ind w:firstLine="480"/>
        <w:rPr>
          <w:color w:val="000000" w:themeColor="text1"/>
          <w14:textFill>
            <w14:solidFill>
              <w14:schemeClr w14:val="tx1"/>
            </w14:solidFill>
          </w14:textFill>
        </w:rPr>
      </w:pPr>
      <w:r>
        <w:rPr>
          <w:color w:val="000000" w:themeColor="text1"/>
          <w14:textFill>
            <w14:solidFill>
              <w14:schemeClr w14:val="tx1"/>
            </w14:solidFill>
          </w14:textFill>
        </w:rPr>
        <w:t>架线施工工艺流程详见图3.1-1</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w:t>
      </w:r>
    </w:p>
    <w:p w14:paraId="6C86CF1D">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4902200" cy="3423920"/>
            <wp:effectExtent l="0" t="0" r="12700" b="508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23"/>
                    <a:stretch>
                      <a:fillRect/>
                    </a:stretch>
                  </pic:blipFill>
                  <pic:spPr>
                    <a:xfrm>
                      <a:off x="0" y="0"/>
                      <a:ext cx="4902707" cy="3424428"/>
                    </a:xfrm>
                    <a:prstGeom prst="rect">
                      <a:avLst/>
                    </a:prstGeom>
                  </pic:spPr>
                </pic:pic>
              </a:graphicData>
            </a:graphic>
          </wp:inline>
        </w:drawing>
      </w:r>
    </w:p>
    <w:p w14:paraId="0AC47BA2">
      <w:pPr>
        <w:pStyle w:val="58"/>
        <w:spacing w:after="156"/>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图3.1-1</w:t>
      </w:r>
      <w:r>
        <w:rPr>
          <w:color w:val="000000" w:themeColor="text1"/>
          <w:sz w:val="21"/>
          <w:szCs w:val="21"/>
          <w14:textFill>
            <w14:solidFill>
              <w14:schemeClr w14:val="tx1"/>
            </w14:solidFill>
          </w14:textFill>
        </w:rPr>
        <w:t xml:space="preserve">0  </w:t>
      </w:r>
      <w:r>
        <w:rPr>
          <w:rFonts w:hint="default"/>
          <w:color w:val="000000" w:themeColor="text1"/>
          <w:sz w:val="21"/>
          <w:szCs w:val="21"/>
          <w14:textFill>
            <w14:solidFill>
              <w14:schemeClr w14:val="tx1"/>
            </w14:solidFill>
          </w14:textFill>
        </w:rPr>
        <w:t>架线施工流程图</w:t>
      </w:r>
    </w:p>
    <w:p w14:paraId="2EC79F23">
      <w:pPr>
        <w:pStyle w:val="4"/>
        <w:spacing w:before="156"/>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3.1.5</w:t>
      </w:r>
      <w:r>
        <w:rPr>
          <w:color w:val="000000" w:themeColor="text1"/>
          <w14:textFill>
            <w14:solidFill>
              <w14:schemeClr w14:val="tx1"/>
            </w14:solidFill>
          </w14:textFill>
        </w:rPr>
        <w:t>主要经济技术指标</w:t>
      </w:r>
    </w:p>
    <w:p w14:paraId="3B30DEC7">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本项目主要经济技术指标，详见表3.1-1</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w:t>
      </w:r>
    </w:p>
    <w:p w14:paraId="5CDF42B2">
      <w:pPr>
        <w:pStyle w:val="38"/>
        <w:spacing w:before="156"/>
        <w:ind w:firstLine="422"/>
        <w:rPr>
          <w:bCs/>
          <w:color w:val="000000" w:themeColor="text1"/>
          <w14:textFill>
            <w14:solidFill>
              <w14:schemeClr w14:val="tx1"/>
            </w14:solidFill>
          </w14:textFill>
        </w:rPr>
      </w:pPr>
      <w:r>
        <w:rPr>
          <w:bCs/>
          <w:color w:val="000000" w:themeColor="text1"/>
          <w14:textFill>
            <w14:solidFill>
              <w14:schemeClr w14:val="tx1"/>
            </w14:solidFill>
          </w14:textFill>
        </w:rPr>
        <w:t>表3.1-1</w:t>
      </w:r>
      <w:r>
        <w:rPr>
          <w:rFonts w:hint="eastAsia"/>
          <w:bCs/>
          <w:color w:val="000000" w:themeColor="text1"/>
          <w:lang w:val="en-US" w:eastAsia="zh-CN"/>
          <w14:textFill>
            <w14:solidFill>
              <w14:schemeClr w14:val="tx1"/>
            </w14:solidFill>
          </w14:textFill>
        </w:rPr>
        <w:t>1</w:t>
      </w:r>
      <w:r>
        <w:rPr>
          <w:bCs/>
          <w:color w:val="000000" w:themeColor="text1"/>
          <w14:textFill>
            <w14:solidFill>
              <w14:schemeClr w14:val="tx1"/>
            </w14:solidFill>
          </w14:textFill>
        </w:rPr>
        <w:t xml:space="preserve">  本项目主要经济技术指标表</w:t>
      </w:r>
    </w:p>
    <w:tbl>
      <w:tblPr>
        <w:tblStyle w:val="5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36"/>
        <w:gridCol w:w="4070"/>
        <w:gridCol w:w="2808"/>
      </w:tblGrid>
      <w:tr w14:paraId="7C87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63" w:type="pct"/>
          </w:tcPr>
          <w:p w14:paraId="7C0E8EA9">
            <w:pPr>
              <w:pStyle w:val="41"/>
              <w:spacing w:line="240" w:lineRule="auto"/>
              <w:ind w:left="422" w:hanging="422"/>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序号</w:t>
            </w:r>
          </w:p>
        </w:tc>
        <w:tc>
          <w:tcPr>
            <w:tcW w:w="2447" w:type="pct"/>
          </w:tcPr>
          <w:p w14:paraId="5583EE17">
            <w:pPr>
              <w:pStyle w:val="41"/>
              <w:spacing w:line="240" w:lineRule="auto"/>
              <w:ind w:left="422" w:hanging="422"/>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项目名称</w:t>
            </w:r>
          </w:p>
        </w:tc>
        <w:tc>
          <w:tcPr>
            <w:tcW w:w="1688" w:type="pct"/>
          </w:tcPr>
          <w:p w14:paraId="4151DC92">
            <w:pPr>
              <w:pStyle w:val="41"/>
              <w:spacing w:line="240" w:lineRule="auto"/>
              <w:ind w:left="422" w:hanging="422"/>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投资总额（万元）</w:t>
            </w:r>
          </w:p>
        </w:tc>
      </w:tr>
      <w:tr w14:paraId="0B8A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63" w:type="pct"/>
          </w:tcPr>
          <w:p w14:paraId="798489A4">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1</w:t>
            </w:r>
          </w:p>
        </w:tc>
        <w:tc>
          <w:tcPr>
            <w:tcW w:w="2447" w:type="pct"/>
          </w:tcPr>
          <w:p w14:paraId="6CA15E06">
            <w:pPr>
              <w:pStyle w:val="41"/>
              <w:spacing w:line="240" w:lineRule="auto"/>
              <w:ind w:left="420" w:hanging="420"/>
              <w:rPr>
                <w:color w:val="000000" w:themeColor="text1"/>
                <w:sz w:val="21"/>
                <w14:textFill>
                  <w14:solidFill>
                    <w14:schemeClr w14:val="tx1"/>
                  </w14:solidFill>
                </w14:textFill>
              </w:rPr>
            </w:pPr>
            <w:r>
              <w:rPr>
                <w:color w:val="000000" w:themeColor="text1"/>
                <w:sz w:val="21"/>
                <w14:textFill>
                  <w14:solidFill>
                    <w14:schemeClr w14:val="tx1"/>
                  </w14:solidFill>
                </w14:textFill>
              </w:rPr>
              <w:t>项目投资</w:t>
            </w:r>
          </w:p>
        </w:tc>
        <w:tc>
          <w:tcPr>
            <w:tcW w:w="1688" w:type="pct"/>
          </w:tcPr>
          <w:p w14:paraId="05A0F95B">
            <w:pPr>
              <w:pStyle w:val="41"/>
              <w:spacing w:line="240" w:lineRule="auto"/>
              <w:ind w:left="420" w:hanging="420"/>
              <w:rPr>
                <w:rFonts w:hint="default" w:ascii="Times New Roman" w:hAnsi="Times New Roman" w:eastAsia="宋体"/>
                <w:color w:val="000000" w:themeColor="text1"/>
                <w:sz w:val="21"/>
                <w:highlight w:val="yellow"/>
                <w:lang w:val="en-US" w:eastAsia="zh-CN"/>
                <w14:textFill>
                  <w14:solidFill>
                    <w14:schemeClr w14:val="tx1"/>
                  </w14:solidFill>
                </w14:textFill>
              </w:rPr>
            </w:pPr>
            <w:r>
              <w:rPr>
                <w:rFonts w:hint="eastAsia" w:ascii="Times New Roman" w:hAnsi="Times New Roman"/>
                <w:color w:val="000000" w:themeColor="text1"/>
                <w:sz w:val="21"/>
                <w:highlight w:val="none"/>
                <w:lang w:val="en-US" w:eastAsia="zh-CN"/>
                <w14:textFill>
                  <w14:solidFill>
                    <w14:schemeClr w14:val="tx1"/>
                  </w14:solidFill>
                </w14:textFill>
              </w:rPr>
              <w:t>14162</w:t>
            </w:r>
          </w:p>
        </w:tc>
      </w:tr>
      <w:tr w14:paraId="5652D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63" w:type="pct"/>
          </w:tcPr>
          <w:p w14:paraId="64AF6F76">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2</w:t>
            </w:r>
          </w:p>
        </w:tc>
        <w:tc>
          <w:tcPr>
            <w:tcW w:w="2447" w:type="pct"/>
          </w:tcPr>
          <w:p w14:paraId="3953DFE7">
            <w:pPr>
              <w:pStyle w:val="41"/>
              <w:spacing w:line="240" w:lineRule="auto"/>
              <w:ind w:left="420" w:hanging="420"/>
              <w:rPr>
                <w:color w:val="000000" w:themeColor="text1"/>
                <w:sz w:val="21"/>
                <w14:textFill>
                  <w14:solidFill>
                    <w14:schemeClr w14:val="tx1"/>
                  </w14:solidFill>
                </w14:textFill>
              </w:rPr>
            </w:pPr>
            <w:r>
              <w:rPr>
                <w:color w:val="000000" w:themeColor="text1"/>
                <w:sz w:val="21"/>
                <w14:textFill>
                  <w14:solidFill>
                    <w14:schemeClr w14:val="tx1"/>
                  </w14:solidFill>
                </w14:textFill>
              </w:rPr>
              <w:t>环保投资</w:t>
            </w:r>
          </w:p>
        </w:tc>
        <w:tc>
          <w:tcPr>
            <w:tcW w:w="1688" w:type="pct"/>
          </w:tcPr>
          <w:p w14:paraId="61C1792F">
            <w:pPr>
              <w:pStyle w:val="41"/>
              <w:spacing w:line="240" w:lineRule="auto"/>
              <w:ind w:left="420" w:hanging="420"/>
              <w:rPr>
                <w:rFonts w:ascii="Times New Roman" w:hAnsi="Times New Roman"/>
                <w:color w:val="000000" w:themeColor="text1"/>
                <w:sz w:val="21"/>
                <w:highlight w:val="yellow"/>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140</w:t>
            </w:r>
          </w:p>
        </w:tc>
      </w:tr>
      <w:tr w14:paraId="35199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63" w:type="pct"/>
          </w:tcPr>
          <w:p w14:paraId="4356797E">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4</w:t>
            </w:r>
          </w:p>
        </w:tc>
        <w:tc>
          <w:tcPr>
            <w:tcW w:w="2447" w:type="pct"/>
          </w:tcPr>
          <w:p w14:paraId="677F9D21">
            <w:pPr>
              <w:pStyle w:val="41"/>
              <w:spacing w:line="240" w:lineRule="auto"/>
              <w:ind w:left="420" w:hanging="420"/>
              <w:rPr>
                <w:color w:val="000000" w:themeColor="text1"/>
                <w:sz w:val="21"/>
                <w14:textFill>
                  <w14:solidFill>
                    <w14:schemeClr w14:val="tx1"/>
                  </w14:solidFill>
                </w14:textFill>
              </w:rPr>
            </w:pPr>
            <w:r>
              <w:rPr>
                <w:color w:val="000000" w:themeColor="text1"/>
                <w:sz w:val="21"/>
                <w14:textFill>
                  <w14:solidFill>
                    <w14:schemeClr w14:val="tx1"/>
                  </w14:solidFill>
                </w14:textFill>
              </w:rPr>
              <w:t>动工时间</w:t>
            </w:r>
          </w:p>
        </w:tc>
        <w:tc>
          <w:tcPr>
            <w:tcW w:w="1688" w:type="pct"/>
          </w:tcPr>
          <w:p w14:paraId="25BBEA55">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202</w:t>
            </w:r>
            <w:r>
              <w:rPr>
                <w:rFonts w:hint="eastAsia" w:ascii="Times New Roman" w:hAnsi="Times New Roman"/>
                <w:color w:val="000000" w:themeColor="text1"/>
                <w:sz w:val="21"/>
                <w:lang w:val="en-US" w:eastAsia="zh-CN"/>
                <w14:textFill>
                  <w14:solidFill>
                    <w14:schemeClr w14:val="tx1"/>
                  </w14:solidFill>
                </w14:textFill>
              </w:rPr>
              <w:t>6</w:t>
            </w:r>
            <w:r>
              <w:rPr>
                <w:rFonts w:ascii="Times New Roman" w:hAnsi="Times New Roman"/>
                <w:color w:val="000000" w:themeColor="text1"/>
                <w:sz w:val="21"/>
                <w14:textFill>
                  <w14:solidFill>
                    <w14:schemeClr w14:val="tx1"/>
                  </w14:solidFill>
                </w14:textFill>
              </w:rPr>
              <w:t>年</w:t>
            </w:r>
            <w:r>
              <w:rPr>
                <w:rFonts w:hint="eastAsia" w:ascii="Times New Roman" w:hAnsi="Times New Roman"/>
                <w:color w:val="000000" w:themeColor="text1"/>
                <w:sz w:val="21"/>
                <w:lang w:val="en-US" w:eastAsia="zh-CN"/>
                <w14:textFill>
                  <w14:solidFill>
                    <w14:schemeClr w14:val="tx1"/>
                  </w14:solidFill>
                </w14:textFill>
              </w:rPr>
              <w:t>11</w:t>
            </w:r>
            <w:r>
              <w:rPr>
                <w:rFonts w:ascii="Times New Roman" w:hAnsi="Times New Roman"/>
                <w:color w:val="000000" w:themeColor="text1"/>
                <w:sz w:val="21"/>
                <w14:textFill>
                  <w14:solidFill>
                    <w14:schemeClr w14:val="tx1"/>
                  </w14:solidFill>
                </w14:textFill>
              </w:rPr>
              <w:t>月</w:t>
            </w:r>
          </w:p>
        </w:tc>
      </w:tr>
      <w:tr w14:paraId="6348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63" w:type="pct"/>
          </w:tcPr>
          <w:p w14:paraId="318BE1F3">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5</w:t>
            </w:r>
          </w:p>
        </w:tc>
        <w:tc>
          <w:tcPr>
            <w:tcW w:w="2447" w:type="pct"/>
          </w:tcPr>
          <w:p w14:paraId="5E67EDEF">
            <w:pPr>
              <w:pStyle w:val="41"/>
              <w:spacing w:line="240" w:lineRule="auto"/>
              <w:ind w:left="420" w:hanging="420"/>
              <w:rPr>
                <w:color w:val="000000" w:themeColor="text1"/>
                <w:sz w:val="21"/>
                <w14:textFill>
                  <w14:solidFill>
                    <w14:schemeClr w14:val="tx1"/>
                  </w14:solidFill>
                </w14:textFill>
              </w:rPr>
            </w:pPr>
            <w:r>
              <w:rPr>
                <w:color w:val="000000" w:themeColor="text1"/>
                <w:sz w:val="21"/>
                <w14:textFill>
                  <w14:solidFill>
                    <w14:schemeClr w14:val="tx1"/>
                  </w14:solidFill>
                </w14:textFill>
              </w:rPr>
              <w:t>建设周期</w:t>
            </w:r>
          </w:p>
        </w:tc>
        <w:tc>
          <w:tcPr>
            <w:tcW w:w="1688" w:type="pct"/>
          </w:tcPr>
          <w:p w14:paraId="541FCEAD">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1</w:t>
            </w:r>
            <w:r>
              <w:rPr>
                <w:rFonts w:hint="eastAsia" w:ascii="Times New Roman" w:hAnsi="Times New Roman"/>
                <w:color w:val="000000" w:themeColor="text1"/>
                <w:sz w:val="21"/>
                <w:lang w:val="en-US" w:eastAsia="zh-CN"/>
                <w14:textFill>
                  <w14:solidFill>
                    <w14:schemeClr w14:val="tx1"/>
                  </w14:solidFill>
                </w14:textFill>
              </w:rPr>
              <w:t>5</w:t>
            </w:r>
            <w:r>
              <w:rPr>
                <w:rFonts w:ascii="Times New Roman" w:hAnsi="Times New Roman"/>
                <w:color w:val="000000" w:themeColor="text1"/>
                <w:sz w:val="21"/>
                <w14:textFill>
                  <w14:solidFill>
                    <w14:schemeClr w14:val="tx1"/>
                  </w14:solidFill>
                </w14:textFill>
              </w:rPr>
              <w:t>个月</w:t>
            </w:r>
          </w:p>
        </w:tc>
      </w:tr>
      <w:bookmarkEnd w:id="461"/>
      <w:bookmarkEnd w:id="462"/>
      <w:bookmarkEnd w:id="463"/>
      <w:bookmarkEnd w:id="464"/>
      <w:bookmarkEnd w:id="465"/>
      <w:bookmarkEnd w:id="466"/>
      <w:bookmarkEnd w:id="467"/>
      <w:bookmarkEnd w:id="468"/>
      <w:bookmarkEnd w:id="469"/>
      <w:bookmarkEnd w:id="470"/>
      <w:bookmarkEnd w:id="471"/>
    </w:tbl>
    <w:p w14:paraId="767E7D46">
      <w:pPr>
        <w:pStyle w:val="4"/>
        <w:tabs>
          <w:tab w:val="left" w:pos="420"/>
          <w:tab w:val="left" w:pos="1267"/>
          <w:tab w:val="clear" w:pos="1034"/>
        </w:tabs>
        <w:spacing w:before="156" w:beforeLines="50" w:after="156" w:afterLines="50"/>
        <w:ind w:firstLine="0" w:firstLineChars="0"/>
        <w:rPr>
          <w:color w:val="000000" w:themeColor="text1"/>
          <w14:textFill>
            <w14:solidFill>
              <w14:schemeClr w14:val="tx1"/>
            </w14:solidFill>
          </w14:textFill>
        </w:rPr>
      </w:pPr>
      <w:bookmarkStart w:id="472" w:name="_Toc10405"/>
      <w:bookmarkStart w:id="473" w:name="_Toc13195"/>
      <w:bookmarkStart w:id="474" w:name="_Toc28687"/>
      <w:bookmarkStart w:id="475" w:name="_Toc14440"/>
      <w:bookmarkStart w:id="476" w:name="_Toc20077"/>
      <w:bookmarkStart w:id="477" w:name="_Toc5169"/>
      <w:bookmarkStart w:id="478" w:name="_Toc23059"/>
      <w:bookmarkStart w:id="479" w:name="_Toc25927"/>
      <w:r>
        <w:rPr>
          <w:rFonts w:hint="eastAsia"/>
          <w:color w:val="000000" w:themeColor="text1"/>
          <w14:textFill>
            <w14:solidFill>
              <w14:schemeClr w14:val="tx1"/>
            </w14:solidFill>
          </w14:textFill>
        </w:rPr>
        <w:t>3.1.6已有项目情况</w:t>
      </w:r>
    </w:p>
    <w:p w14:paraId="6D98EBBA">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本项目线路起点</w:t>
      </w:r>
      <w:r>
        <w:rPr>
          <w:rFonts w:hint="eastAsia"/>
          <w:color w:val="000000" w:themeColor="text1"/>
          <w14:textFill>
            <w14:solidFill>
              <w14:schemeClr w14:val="tx1"/>
            </w14:solidFill>
          </w14:textFill>
        </w:rPr>
        <w:t>为</w:t>
      </w:r>
      <w:r>
        <w:rPr>
          <w:rFonts w:hint="eastAsia" w:cs="微软雅黑"/>
          <w:color w:val="000000" w:themeColor="text1"/>
          <w:kern w:val="0"/>
          <w:shd w:val="clear" w:color="auto" w:fill="FFFFFF"/>
          <w14:textFill>
            <w14:solidFill>
              <w14:schemeClr w14:val="tx1"/>
            </w14:solidFill>
          </w14:textFill>
        </w:rPr>
        <w:t>若羌火电厂，</w:t>
      </w:r>
      <w:r>
        <w:rPr>
          <w:color w:val="000000" w:themeColor="text1"/>
          <w14:textFill>
            <w14:solidFill>
              <w14:schemeClr w14:val="tx1"/>
            </w14:solidFill>
          </w14:textFill>
        </w:rPr>
        <w:t>终点</w:t>
      </w:r>
      <w:r>
        <w:rPr>
          <w:rFonts w:hint="eastAsia"/>
          <w:color w:val="000000" w:themeColor="text1"/>
          <w14:textFill>
            <w14:solidFill>
              <w14:schemeClr w14:val="tx1"/>
            </w14:solidFill>
          </w14:textFill>
        </w:rPr>
        <w:t>为若羌±800kV换流站</w:t>
      </w:r>
      <w:r>
        <w:rPr>
          <w:color w:val="000000" w:themeColor="text1"/>
          <w14:textFill>
            <w14:solidFill>
              <w14:schemeClr w14:val="tx1"/>
            </w14:solidFill>
          </w14:textFill>
        </w:rPr>
        <w:t>。</w:t>
      </w:r>
    </w:p>
    <w:p w14:paraId="1E981DCE">
      <w:pPr>
        <w:ind w:firstLine="48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s="微软雅黑"/>
          <w:color w:val="000000" w:themeColor="text1"/>
          <w:kern w:val="0"/>
          <w:shd w:val="clear" w:color="auto" w:fill="FFFFFF"/>
          <w14:textFill>
            <w14:solidFill>
              <w14:schemeClr w14:val="tx1"/>
            </w14:solidFill>
          </w14:textFill>
        </w:rPr>
        <w:t>若羌火电厂</w:t>
      </w:r>
    </w:p>
    <w:p w14:paraId="4CBC3C94">
      <w:pPr>
        <w:ind w:firstLine="480"/>
        <w:rPr>
          <w:color w:val="000000" w:themeColor="text1"/>
          <w14:textFill>
            <w14:solidFill>
              <w14:schemeClr w14:val="tx1"/>
            </w14:solidFill>
          </w14:textFill>
        </w:rPr>
      </w:pPr>
      <w:r>
        <w:rPr>
          <w:color w:val="000000" w:themeColor="text1"/>
          <w14:textFill>
            <w14:solidFill>
              <w14:schemeClr w14:val="tx1"/>
            </w14:solidFill>
          </w14:textFill>
        </w:rPr>
        <w:t>三峡南疆塔克拉玛干沙漠新能源基地6×66万千瓦煤电</w:t>
      </w:r>
      <w:r>
        <w:rPr>
          <w:rFonts w:hint="eastAsia"/>
          <w:color w:val="000000" w:themeColor="text1"/>
          <w14:textFill>
            <w14:solidFill>
              <w14:schemeClr w14:val="tx1"/>
            </w14:solidFill>
          </w14:textFill>
        </w:rPr>
        <w:t>项目</w:t>
      </w:r>
      <w:r>
        <w:rPr>
          <w:color w:val="000000" w:themeColor="text1"/>
          <w14:textFill>
            <w14:solidFill>
              <w14:schemeClr w14:val="tx1"/>
            </w14:solidFill>
          </w14:textFill>
        </w:rPr>
        <w:t>位于新疆维吾尔自治区巴音郭楞蒙古自治州若羌县，中心地理坐标为：东经88°31′44.86″，北纬38°58′15.31″，项目拟建设6×660MW大型燃煤空冷机组及其配套工程，同步建设脱硝、除尘、脱硫装置，经净化后的烟气通过210m烟囱方案排放，锅炉烟气污染物达到超低排放水平；工程各项废污水全部回收利用，不外排；灰渣、脱石优先全部综合利用，利用不畅时暂存于配套建设的贮灰场。</w:t>
      </w:r>
    </w:p>
    <w:p w14:paraId="6C6CE450">
      <w:pPr>
        <w:ind w:firstLine="480"/>
        <w:rPr>
          <w:color w:val="000000" w:themeColor="text1"/>
          <w14:textFill>
            <w14:solidFill>
              <w14:schemeClr w14:val="tx1"/>
            </w14:solidFill>
          </w14:textFill>
        </w:rPr>
      </w:pPr>
      <w:r>
        <w:rPr>
          <w:rFonts w:hint="eastAsia" w:cs="微软雅黑"/>
          <w:color w:val="000000" w:themeColor="text1"/>
          <w:kern w:val="0"/>
          <w:shd w:val="clear" w:color="auto" w:fill="FFFFFF"/>
          <w14:textFill>
            <w14:solidFill>
              <w14:schemeClr w14:val="tx1"/>
            </w14:solidFill>
          </w14:textFill>
        </w:rPr>
        <w:t>若羌火电厂建设规模为</w:t>
      </w:r>
      <w:r>
        <w:rPr>
          <w:color w:val="000000" w:themeColor="text1"/>
          <w14:textFill>
            <w14:solidFill>
              <w14:schemeClr w14:val="tx1"/>
            </w14:solidFill>
          </w14:textFill>
        </w:rPr>
        <w:t>6台主变压器，容量为780MVA；6台高压厂用工作变压器，容量为68/40-40MVA；1台750kV降压变压器，容量为180MVA；2台高压启备变压器，容量为68/40-40MVA。户外750kVGIS配电装置，750kV出线间隔3回</w:t>
      </w:r>
      <w:r>
        <w:rPr>
          <w:rFonts w:hint="eastAsia"/>
          <w:color w:val="000000" w:themeColor="text1"/>
          <w14:textFill>
            <w14:solidFill>
              <w14:schemeClr w14:val="tx1"/>
            </w14:solidFill>
          </w14:textFill>
        </w:rPr>
        <w:t>，向西接入若羌换流站</w:t>
      </w:r>
      <w:r>
        <w:rPr>
          <w:color w:val="000000" w:themeColor="text1"/>
          <w14:textFill>
            <w14:solidFill>
              <w14:schemeClr w14:val="tx1"/>
            </w14:solidFill>
          </w14:textFill>
        </w:rPr>
        <w:t>。</w:t>
      </w:r>
    </w:p>
    <w:p w14:paraId="287FB624">
      <w:pPr>
        <w:ind w:firstLine="480"/>
        <w:rPr>
          <w:color w:val="000000" w:themeColor="text1"/>
          <w14:textFill>
            <w14:solidFill>
              <w14:schemeClr w14:val="tx1"/>
            </w14:solidFill>
          </w14:textFill>
        </w:rPr>
      </w:pPr>
      <w:r>
        <w:rPr>
          <w:color w:val="000000" w:themeColor="text1"/>
          <w14:textFill>
            <w14:solidFill>
              <w14:schemeClr w14:val="tx1"/>
            </w14:solidFill>
          </w14:textFill>
        </w:rPr>
        <w:t>新疆维吾尔自治区生态环境厅于2024年9月26日出具了《关于三峡南疆塔克拉玛干沙漠新能源基地6×66万千瓦煤电项目环境影响报告书的批复》（新环审〔2024〕208号）。目前该项目正在建设中。</w:t>
      </w:r>
    </w:p>
    <w:p w14:paraId="467B5E44">
      <w:pPr>
        <w:ind w:firstLine="48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若羌±800kV换流站</w:t>
      </w:r>
    </w:p>
    <w:p w14:paraId="05DC32B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若羌±800kV换流站目前在</w:t>
      </w:r>
      <w:r>
        <w:rPr>
          <w:rFonts w:hint="eastAsia"/>
          <w:color w:val="000000" w:themeColor="text1"/>
          <w:lang w:val="en-US" w:eastAsia="zh-CN"/>
          <w14:textFill>
            <w14:solidFill>
              <w14:schemeClr w14:val="tx1"/>
            </w14:solidFill>
          </w14:textFill>
        </w:rPr>
        <w:t>办理环评手续中</w:t>
      </w:r>
      <w:r>
        <w:rPr>
          <w:rFonts w:hint="eastAsia"/>
          <w:color w:val="000000" w:themeColor="text1"/>
          <w14:textFill>
            <w14:solidFill>
              <w14:schemeClr w14:val="tx1"/>
            </w14:solidFill>
          </w14:textFill>
        </w:rPr>
        <w:t>。</w:t>
      </w:r>
    </w:p>
    <w:p w14:paraId="6B92726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换流站交流侧750kV配电装置电气主接线采用1个半断路器接线，母线不分段。750kV配串方案远期全站按7个完整串规划，2组站用降压变压器和1组幅相校正器作为1个元件直接经单断路器接入母线中，全部一次建成，安装24台断路器。</w:t>
      </w:r>
    </w:p>
    <w:p w14:paraId="6C3C47D6">
      <w:pPr>
        <w:ind w:firstLine="480"/>
        <w:rPr>
          <w:color w:val="000000" w:themeColor="text1"/>
          <w14:textFill>
            <w14:solidFill>
              <w14:schemeClr w14:val="tx1"/>
            </w14:solidFill>
          </w14:textFill>
        </w:rPr>
      </w:pPr>
      <w:r>
        <w:rPr>
          <w:color w:val="000000" w:themeColor="text1"/>
          <w14:textFill>
            <w14:solidFill>
              <w14:schemeClr w14:val="tx1"/>
            </w14:solidFill>
          </w14:textFill>
        </w:rPr>
        <w:t>750kV线路向西方向出线，自南向北依次为配套火电Ⅰ线，配套火电Ⅱ线，配套火电Ⅲ线，若羌Ⅰ线，若羌Ⅱ线，若羌Ⅲ线，罗布Ⅰ线，罗布Ⅱ线，塔西Ⅰ线，塔西Ⅱ线，750kV共出线10回。其中本期占用西起第1、2、3回出线间隔，分别为若羌火电厂Ⅰ线，若羌火电厂Ⅱ线，若羌火电厂Ⅲ线共三个间隔。750kV配套火电线路间隔在若羌换流站本体工程中计列。</w:t>
      </w:r>
    </w:p>
    <w:p w14:paraId="5F9CDC58">
      <w:pPr>
        <w:pStyle w:val="3"/>
        <w:spacing w:before="156" w:beforeLines="50" w:after="156" w:afterLines="50"/>
        <w:rPr>
          <w:color w:val="000000" w:themeColor="text1"/>
          <w14:textFill>
            <w14:solidFill>
              <w14:schemeClr w14:val="tx1"/>
            </w14:solidFill>
          </w14:textFill>
        </w:rPr>
      </w:pPr>
      <w:bookmarkStart w:id="480" w:name="_Toc5560"/>
      <w:r>
        <w:rPr>
          <w:color w:val="000000" w:themeColor="text1"/>
          <w14:textFill>
            <w14:solidFill>
              <w14:schemeClr w14:val="tx1"/>
            </w14:solidFill>
          </w14:textFill>
        </w:rPr>
        <w:t>3.2与政策法规等相符性分析</w:t>
      </w:r>
      <w:bookmarkEnd w:id="472"/>
      <w:bookmarkEnd w:id="473"/>
      <w:bookmarkEnd w:id="474"/>
      <w:bookmarkEnd w:id="475"/>
      <w:bookmarkEnd w:id="476"/>
      <w:bookmarkEnd w:id="477"/>
      <w:bookmarkEnd w:id="478"/>
      <w:bookmarkEnd w:id="479"/>
      <w:bookmarkEnd w:id="480"/>
    </w:p>
    <w:p w14:paraId="1FBE02B3">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481" w:name="_Toc19631"/>
      <w:bookmarkStart w:id="482" w:name="_Toc28025"/>
      <w:bookmarkStart w:id="483" w:name="_Toc4169"/>
      <w:bookmarkStart w:id="484" w:name="_Toc18522"/>
      <w:bookmarkStart w:id="485" w:name="_Toc10280"/>
      <w:bookmarkStart w:id="486" w:name="_Toc16146"/>
      <w:bookmarkStart w:id="487" w:name="_Toc31402"/>
      <w:bookmarkStart w:id="488" w:name="_Toc13152"/>
      <w:bookmarkStart w:id="489" w:name="_Toc23132"/>
      <w:r>
        <w:rPr>
          <w:color w:val="000000" w:themeColor="text1"/>
          <w:sz w:val="28"/>
          <w:szCs w:val="28"/>
          <w14:textFill>
            <w14:solidFill>
              <w14:schemeClr w14:val="tx1"/>
            </w14:solidFill>
          </w14:textFill>
        </w:rPr>
        <w:t>3.2.1与产业政策的相符性分析</w:t>
      </w:r>
      <w:bookmarkEnd w:id="481"/>
      <w:bookmarkEnd w:id="482"/>
      <w:bookmarkEnd w:id="483"/>
      <w:bookmarkEnd w:id="484"/>
      <w:bookmarkEnd w:id="485"/>
      <w:bookmarkEnd w:id="486"/>
      <w:bookmarkEnd w:id="487"/>
      <w:bookmarkEnd w:id="488"/>
      <w:bookmarkEnd w:id="489"/>
    </w:p>
    <w:p w14:paraId="577A41A0">
      <w:pPr>
        <w:ind w:firstLine="480"/>
        <w:rPr>
          <w:color w:val="000000" w:themeColor="text1"/>
          <w14:textFill>
            <w14:solidFill>
              <w14:schemeClr w14:val="tx1"/>
            </w14:solidFill>
          </w14:textFill>
        </w:rPr>
      </w:pPr>
      <w:r>
        <w:rPr>
          <w:color w:val="000000" w:themeColor="text1"/>
          <w14:textFill>
            <w14:solidFill>
              <w14:schemeClr w14:val="tx1"/>
            </w14:solidFill>
          </w14:textFill>
        </w:rPr>
        <w:t>本工程属于国家发展和改革委员会令20</w:t>
      </w:r>
      <w:r>
        <w:rPr>
          <w:rFonts w:hint="eastAsia"/>
          <w:color w:val="000000" w:themeColor="text1"/>
          <w14:textFill>
            <w14:solidFill>
              <w14:schemeClr w14:val="tx1"/>
            </w14:solidFill>
          </w14:textFill>
        </w:rPr>
        <w:t>23</w:t>
      </w:r>
      <w:r>
        <w:rPr>
          <w:color w:val="000000" w:themeColor="text1"/>
          <w14:textFill>
            <w14:solidFill>
              <w14:schemeClr w14:val="tx1"/>
            </w14:solidFill>
          </w14:textFill>
        </w:rPr>
        <w:t>年第</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号《产业结构调整指导目录（20</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年本）》中鼓励类项目（第四项电力</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第</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条</w:t>
      </w:r>
      <w:r>
        <w:rPr>
          <w:rFonts w:hint="eastAsia"/>
          <w:color w:val="000000" w:themeColor="text1"/>
          <w14:textFill>
            <w14:solidFill>
              <w14:schemeClr w14:val="tx1"/>
            </w14:solidFill>
          </w14:textFill>
        </w:rPr>
        <w:t>电力基础设施建设－电网改造与建设</w:t>
      </w:r>
      <w:r>
        <w:rPr>
          <w:color w:val="000000" w:themeColor="text1"/>
          <w14:textFill>
            <w14:solidFill>
              <w14:schemeClr w14:val="tx1"/>
            </w14:solidFill>
          </w14:textFill>
        </w:rPr>
        <w:t>），符合国家产业政策。</w:t>
      </w:r>
    </w:p>
    <w:p w14:paraId="08348499">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490" w:name="_Toc5544"/>
      <w:bookmarkStart w:id="491" w:name="_Toc18753"/>
      <w:bookmarkStart w:id="492" w:name="_Toc4980"/>
      <w:bookmarkStart w:id="493" w:name="_Toc16803"/>
      <w:bookmarkStart w:id="494" w:name="_Toc20088"/>
      <w:bookmarkStart w:id="495" w:name="_Toc25924"/>
      <w:bookmarkStart w:id="496" w:name="_Toc12801"/>
      <w:bookmarkStart w:id="497" w:name="_Toc12978"/>
      <w:bookmarkStart w:id="498" w:name="_Toc2337"/>
      <w:r>
        <w:rPr>
          <w:color w:val="000000" w:themeColor="text1"/>
          <w:sz w:val="28"/>
          <w:szCs w:val="28"/>
          <w14:textFill>
            <w14:solidFill>
              <w14:schemeClr w14:val="tx1"/>
            </w14:solidFill>
          </w14:textFill>
        </w:rPr>
        <w:t>3.2.2与《新疆维吾尔自治区</w:t>
      </w:r>
      <w:r>
        <w:rPr>
          <w:rFonts w:hint="eastAsia"/>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十四五</w:t>
      </w:r>
      <w:r>
        <w:rPr>
          <w:rFonts w:hint="eastAsia"/>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电力发展规划》的相符性分析</w:t>
      </w:r>
      <w:bookmarkEnd w:id="490"/>
      <w:bookmarkEnd w:id="491"/>
      <w:bookmarkEnd w:id="492"/>
      <w:bookmarkEnd w:id="493"/>
      <w:bookmarkEnd w:id="494"/>
      <w:bookmarkEnd w:id="495"/>
      <w:bookmarkEnd w:id="496"/>
      <w:bookmarkEnd w:id="497"/>
      <w:bookmarkEnd w:id="498"/>
    </w:p>
    <w:p w14:paraId="61CFA384">
      <w:pPr>
        <w:pStyle w:val="24"/>
        <w:spacing w:after="0"/>
        <w:ind w:firstLine="480"/>
        <w:rPr>
          <w:rFonts w:ascii="Times New Roman" w:hAnsi="Times New Roman"/>
          <w:b w:val="0"/>
          <w:color w:val="000000" w:themeColor="text1"/>
          <w:sz w:val="24"/>
          <w:szCs w:val="24"/>
          <w14:textFill>
            <w14:solidFill>
              <w14:schemeClr w14:val="tx1"/>
            </w14:solidFill>
          </w14:textFill>
        </w:rPr>
      </w:pPr>
      <w:r>
        <w:rPr>
          <w:rFonts w:ascii="Times New Roman" w:hAnsi="Times New Roman"/>
          <w:b w:val="0"/>
          <w:color w:val="000000" w:themeColor="text1"/>
          <w:sz w:val="24"/>
          <w:szCs w:val="24"/>
          <w14:textFill>
            <w14:solidFill>
              <w14:schemeClr w14:val="tx1"/>
            </w14:solidFill>
          </w14:textFill>
        </w:rPr>
        <w:t>根据《新疆维吾尔自治区</w:t>
      </w:r>
      <w:r>
        <w:rPr>
          <w:rFonts w:hint="eastAsia" w:ascii="Times New Roman" w:hAnsi="Times New Roman"/>
          <w:b w:val="0"/>
          <w:color w:val="000000" w:themeColor="text1"/>
          <w:sz w:val="24"/>
          <w:szCs w:val="24"/>
          <w14:textFill>
            <w14:solidFill>
              <w14:schemeClr w14:val="tx1"/>
            </w14:solidFill>
          </w14:textFill>
        </w:rPr>
        <w:t>“</w:t>
      </w:r>
      <w:r>
        <w:rPr>
          <w:rFonts w:ascii="Times New Roman" w:hAnsi="Times New Roman"/>
          <w:b w:val="0"/>
          <w:color w:val="000000" w:themeColor="text1"/>
          <w:sz w:val="24"/>
          <w:szCs w:val="24"/>
          <w14:textFill>
            <w14:solidFill>
              <w14:schemeClr w14:val="tx1"/>
            </w14:solidFill>
          </w14:textFill>
        </w:rPr>
        <w:t>十四五</w:t>
      </w:r>
      <w:r>
        <w:rPr>
          <w:rFonts w:hint="eastAsia" w:ascii="Times New Roman" w:hAnsi="Times New Roman"/>
          <w:b w:val="0"/>
          <w:color w:val="000000" w:themeColor="text1"/>
          <w:sz w:val="24"/>
          <w:szCs w:val="24"/>
          <w14:textFill>
            <w14:solidFill>
              <w14:schemeClr w14:val="tx1"/>
            </w14:solidFill>
          </w14:textFill>
        </w:rPr>
        <w:t>”</w:t>
      </w:r>
      <w:r>
        <w:rPr>
          <w:rFonts w:ascii="Times New Roman" w:hAnsi="Times New Roman"/>
          <w:b w:val="0"/>
          <w:color w:val="000000" w:themeColor="text1"/>
          <w:sz w:val="24"/>
          <w:szCs w:val="24"/>
          <w14:textFill>
            <w14:solidFill>
              <w14:schemeClr w14:val="tx1"/>
            </w14:solidFill>
          </w14:textFill>
        </w:rPr>
        <w:t>电力发展规划》（新发改能源</w:t>
      </w:r>
      <w:r>
        <w:rPr>
          <w:rFonts w:hint="eastAsia" w:hAnsi="宋体" w:cs="宋体"/>
          <w:b w:val="0"/>
          <w:color w:val="000000" w:themeColor="text1"/>
          <w:sz w:val="24"/>
          <w:szCs w:val="24"/>
          <w14:textFill>
            <w14:solidFill>
              <w14:schemeClr w14:val="tx1"/>
            </w14:solidFill>
          </w14:textFill>
        </w:rPr>
        <w:t>〔</w:t>
      </w:r>
      <w:r>
        <w:rPr>
          <w:rFonts w:ascii="Times New Roman" w:hAnsi="Times New Roman"/>
          <w:b w:val="0"/>
          <w:color w:val="000000" w:themeColor="text1"/>
          <w:sz w:val="24"/>
          <w:szCs w:val="24"/>
          <w14:textFill>
            <w14:solidFill>
              <w14:schemeClr w14:val="tx1"/>
            </w14:solidFill>
          </w14:textFill>
        </w:rPr>
        <w:t>2022〕173号）</w:t>
      </w:r>
      <w:r>
        <w:rPr>
          <w:rFonts w:hint="eastAsia" w:ascii="Times New Roman" w:hAnsi="Times New Roman"/>
          <w:b w:val="0"/>
          <w:color w:val="000000" w:themeColor="text1"/>
          <w:sz w:val="24"/>
          <w:szCs w:val="24"/>
          <w14:textFill>
            <w14:solidFill>
              <w14:schemeClr w14:val="tx1"/>
            </w14:solidFill>
          </w14:textFill>
        </w:rPr>
        <w:t>中提到：““十四五”期间，进一步完善750千伏主网架结构，全面提升750千伏重要断面输送能力。2025年，形成“内供七环网，外送六通道”的主网架格局。”本项目建设可以进一步完善750千伏主网架结构，加强750千伏重要断面输送能力，提升全疆能源资源优化配置能力。符合《新疆维吾尔自治区“十四五”电力发展规划的通知》相关要求。</w:t>
      </w:r>
    </w:p>
    <w:p w14:paraId="75C0F929">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499" w:name="_Toc6740"/>
      <w:bookmarkStart w:id="500" w:name="_Toc750"/>
      <w:bookmarkStart w:id="501" w:name="_Toc11139"/>
      <w:bookmarkStart w:id="502" w:name="_Toc18505"/>
      <w:bookmarkStart w:id="503" w:name="_Toc29260"/>
      <w:bookmarkStart w:id="504" w:name="_Toc25882"/>
      <w:bookmarkStart w:id="505" w:name="_Toc837"/>
      <w:bookmarkStart w:id="506" w:name="_Toc28949"/>
      <w:r>
        <w:rPr>
          <w:rFonts w:hint="eastAsia"/>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.2.</w:t>
      </w:r>
      <w:r>
        <w:rPr>
          <w:rFonts w:hint="eastAsia"/>
          <w:color w:val="000000" w:themeColor="text1"/>
          <w:sz w:val="28"/>
          <w:szCs w:val="28"/>
          <w14:textFill>
            <w14:solidFill>
              <w14:schemeClr w14:val="tx1"/>
            </w14:solidFill>
          </w14:textFill>
        </w:rPr>
        <w:t>3与《新疆维吾尔自治区主体功能区划》的相符性分析</w:t>
      </w:r>
      <w:bookmarkEnd w:id="499"/>
      <w:bookmarkEnd w:id="500"/>
      <w:bookmarkEnd w:id="501"/>
      <w:bookmarkEnd w:id="502"/>
      <w:bookmarkEnd w:id="503"/>
      <w:bookmarkEnd w:id="504"/>
      <w:bookmarkEnd w:id="505"/>
      <w:bookmarkEnd w:id="506"/>
    </w:p>
    <w:p w14:paraId="07237D8E">
      <w:pPr>
        <w:ind w:firstLine="480"/>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根据《新疆维吾尔自治区主体功能区划》，本工程建设区域属于新疆维吾尔自治区巴音郭楞蒙古自治州若羌县，</w:t>
      </w:r>
      <w:r>
        <w:rPr>
          <w:color w:val="000000" w:themeColor="text1"/>
          <w:kern w:val="0"/>
          <w14:textFill>
            <w14:solidFill>
              <w14:schemeClr w14:val="tx1"/>
            </w14:solidFill>
          </w14:textFill>
        </w:rPr>
        <w:t>工程评价范围内不涉及</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建设项目环境影响评价分类管理名录（2021年版）</w:t>
      </w:r>
      <w:r>
        <w:rPr>
          <w:rFonts w:hint="eastAsia"/>
          <w:color w:val="000000" w:themeColor="text1"/>
          <w:kern w:val="0"/>
          <w14:textFill>
            <w14:solidFill>
              <w14:schemeClr w14:val="tx1"/>
            </w14:solidFill>
          </w14:textFill>
        </w:rPr>
        <w:t>》中第三条（一）中的全部区域；第三条（三）中的以居住、医疗卫生、文化教育、科研、行政办公等为主要功能的区域</w:t>
      </w:r>
      <w:r>
        <w:rPr>
          <w:rFonts w:hint="eastAsia"/>
          <w:color w:val="000000" w:themeColor="text1"/>
          <w14:textFill>
            <w14:solidFill>
              <w14:schemeClr w14:val="tx1"/>
            </w14:solidFill>
          </w14:textFill>
        </w:rPr>
        <w:t>，不属于禁止开发区。鉴于本工程属点式间隔开发，工程建设与《新疆维吾尔自治区主体功能区划》确定的发展方向及开发管制原则相符。本工程建设区域属于国家级重点生态功能区。本项目与新疆维吾尔自治区主体功能区划关系见图3.2-1。</w:t>
      </w:r>
    </w:p>
    <w:p w14:paraId="7794542C">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507" w:name="_Toc29394"/>
      <w:bookmarkStart w:id="508" w:name="_Toc4897"/>
      <w:bookmarkStart w:id="509" w:name="_Toc21145"/>
      <w:bookmarkStart w:id="510" w:name="_Toc14962"/>
      <w:bookmarkStart w:id="511" w:name="_Toc6159"/>
      <w:bookmarkStart w:id="512" w:name="_Toc23766"/>
      <w:bookmarkStart w:id="513" w:name="_Toc2330"/>
      <w:bookmarkStart w:id="514" w:name="_Toc8898"/>
      <w:r>
        <w:rPr>
          <w:rFonts w:hint="eastAsia"/>
          <w:color w:val="000000" w:themeColor="text1"/>
          <w:sz w:val="28"/>
          <w:szCs w:val="28"/>
          <w14:textFill>
            <w14:solidFill>
              <w14:schemeClr w14:val="tx1"/>
            </w14:solidFill>
          </w14:textFill>
        </w:rPr>
        <w:t>3.2.4与《新疆生态功能区划》的相符性分析</w:t>
      </w:r>
      <w:bookmarkEnd w:id="507"/>
      <w:bookmarkEnd w:id="508"/>
      <w:bookmarkEnd w:id="509"/>
      <w:bookmarkEnd w:id="510"/>
      <w:bookmarkEnd w:id="511"/>
      <w:bookmarkEnd w:id="512"/>
      <w:bookmarkEnd w:id="513"/>
      <w:bookmarkEnd w:id="514"/>
    </w:p>
    <w:p w14:paraId="106E26E8">
      <w:pPr>
        <w:pStyle w:val="44"/>
        <w:rPr>
          <w:rFonts w:eastAsiaTheme="minorEastAsia"/>
          <w:bCs w:val="0"/>
          <w:color w:val="000000" w:themeColor="text1"/>
          <w:szCs w:val="24"/>
          <w14:textFill>
            <w14:solidFill>
              <w14:schemeClr w14:val="tx1"/>
            </w14:solidFill>
          </w14:textFill>
        </w:rPr>
      </w:pPr>
      <w:r>
        <w:rPr>
          <w:color w:val="000000" w:themeColor="text1"/>
          <w14:textFill>
            <w14:solidFill>
              <w14:schemeClr w14:val="tx1"/>
            </w14:solidFill>
          </w14:textFill>
        </w:rPr>
        <w:t>根据《新疆生态功能区划》，本工程所在区域属于Ⅴ 帕米尔—昆仑山—阿尔金山荒漠干旱草原生态区—Ⅴ3 阿尔金山荒漠草原生物多样性保护生态亚区—</w:t>
      </w:r>
      <w:r>
        <w:rPr>
          <w:rFonts w:hint="eastAsia"/>
          <w:color w:val="000000" w:themeColor="text1"/>
          <w14:textFill>
            <w14:solidFill>
              <w14:schemeClr w14:val="tx1"/>
            </w14:solidFill>
          </w14:textFill>
        </w:rPr>
        <w:t>76．阿尔金山荒漠草原及野骆驼保护生态功能区</w:t>
      </w:r>
      <w:r>
        <w:rPr>
          <w:color w:val="000000" w:themeColor="text1"/>
          <w14:textFill>
            <w14:solidFill>
              <w14:schemeClr w14:val="tx1"/>
            </w14:solidFill>
          </w14:textFill>
        </w:rPr>
        <w:t>，</w:t>
      </w:r>
      <w:r>
        <w:rPr>
          <w:rFonts w:eastAsiaTheme="minorEastAsia"/>
          <w:bCs w:val="0"/>
          <w:color w:val="000000" w:themeColor="text1"/>
          <w:szCs w:val="24"/>
          <w14:textFill>
            <w14:solidFill>
              <w14:schemeClr w14:val="tx1"/>
            </w14:solidFill>
          </w14:textFill>
        </w:rPr>
        <w:t>本项目在新疆生态环境功能区划图中的位置详见图3.2-2，其生态功能见表3.2-1。</w:t>
      </w:r>
    </w:p>
    <w:p w14:paraId="6CD73CC3">
      <w:pPr>
        <w:pStyle w:val="45"/>
        <w:ind w:firstLine="422"/>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表</w:t>
      </w:r>
      <w:r>
        <w:rPr>
          <w:rFonts w:hint="eastAsia"/>
          <w:color w:val="000000" w:themeColor="text1"/>
          <w:sz w:val="21"/>
          <w:szCs w:val="21"/>
          <w14:textFill>
            <w14:solidFill>
              <w14:schemeClr w14:val="tx1"/>
            </w14:solidFill>
          </w14:textFill>
        </w:rPr>
        <w:t>3.2-1</w:t>
      </w:r>
      <w:r>
        <w:rPr>
          <w:color w:val="000000" w:themeColor="text1"/>
          <w:sz w:val="21"/>
          <w:szCs w:val="21"/>
          <w14:textFill>
            <w14:solidFill>
              <w14:schemeClr w14:val="tx1"/>
            </w14:solidFill>
          </w14:textFill>
        </w:rPr>
        <w:t xml:space="preserve">  项目所属生态功能区具体情况</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34"/>
        <w:gridCol w:w="770"/>
        <w:gridCol w:w="778"/>
        <w:gridCol w:w="701"/>
        <w:gridCol w:w="839"/>
        <w:gridCol w:w="1033"/>
        <w:gridCol w:w="1033"/>
        <w:gridCol w:w="901"/>
        <w:gridCol w:w="897"/>
        <w:gridCol w:w="773"/>
      </w:tblGrid>
      <w:tr w14:paraId="53C9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1304" w:type="pct"/>
            <w:gridSpan w:val="3"/>
            <w:tcBorders>
              <w:top w:val="single" w:color="auto" w:sz="4" w:space="0"/>
              <w:left w:val="single" w:color="auto" w:sz="4" w:space="0"/>
              <w:bottom w:val="single" w:color="auto" w:sz="4" w:space="0"/>
              <w:right w:val="single" w:color="auto" w:sz="4" w:space="0"/>
            </w:tcBorders>
            <w:vAlign w:val="center"/>
          </w:tcPr>
          <w:p w14:paraId="184304AC">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生态功能分区单元</w:t>
            </w:r>
          </w:p>
        </w:tc>
        <w:tc>
          <w:tcPr>
            <w:tcW w:w="419" w:type="pct"/>
            <w:vMerge w:val="restart"/>
            <w:tcBorders>
              <w:top w:val="single" w:color="auto" w:sz="4" w:space="0"/>
              <w:left w:val="single" w:color="auto" w:sz="4" w:space="0"/>
              <w:bottom w:val="single" w:color="auto" w:sz="4" w:space="0"/>
              <w:right w:val="single" w:color="auto" w:sz="4" w:space="0"/>
            </w:tcBorders>
            <w:vAlign w:val="center"/>
          </w:tcPr>
          <w:p w14:paraId="5E16E977">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隶属</w:t>
            </w:r>
          </w:p>
          <w:p w14:paraId="30074FCD">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行政区</w:t>
            </w:r>
          </w:p>
        </w:tc>
        <w:tc>
          <w:tcPr>
            <w:tcW w:w="501" w:type="pct"/>
            <w:vMerge w:val="restart"/>
            <w:tcBorders>
              <w:top w:val="single" w:color="auto" w:sz="4" w:space="0"/>
              <w:left w:val="single" w:color="auto" w:sz="4" w:space="0"/>
              <w:bottom w:val="single" w:color="auto" w:sz="4" w:space="0"/>
              <w:right w:val="single" w:color="auto" w:sz="4" w:space="0"/>
            </w:tcBorders>
            <w:vAlign w:val="center"/>
          </w:tcPr>
          <w:p w14:paraId="238D2F96">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主要生态服务功能</w:t>
            </w:r>
          </w:p>
        </w:tc>
        <w:tc>
          <w:tcPr>
            <w:tcW w:w="617" w:type="pct"/>
            <w:vMerge w:val="restart"/>
            <w:tcBorders>
              <w:top w:val="single" w:color="auto" w:sz="4" w:space="0"/>
              <w:left w:val="single" w:color="auto" w:sz="4" w:space="0"/>
              <w:bottom w:val="single" w:color="auto" w:sz="4" w:space="0"/>
              <w:right w:val="single" w:color="auto" w:sz="4" w:space="0"/>
            </w:tcBorders>
            <w:vAlign w:val="center"/>
          </w:tcPr>
          <w:p w14:paraId="7A67453C">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主要生态</w:t>
            </w:r>
          </w:p>
          <w:p w14:paraId="66D81464">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环境问题</w:t>
            </w:r>
          </w:p>
        </w:tc>
        <w:tc>
          <w:tcPr>
            <w:tcW w:w="617" w:type="pct"/>
            <w:vMerge w:val="restart"/>
            <w:tcBorders>
              <w:top w:val="single" w:color="auto" w:sz="4" w:space="0"/>
              <w:left w:val="single" w:color="auto" w:sz="4" w:space="0"/>
              <w:bottom w:val="single" w:color="auto" w:sz="4" w:space="0"/>
              <w:right w:val="single" w:color="auto" w:sz="4" w:space="0"/>
            </w:tcBorders>
            <w:vAlign w:val="center"/>
          </w:tcPr>
          <w:p w14:paraId="0A933B70">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主要生态敏感因子、敏感程度</w:t>
            </w:r>
          </w:p>
        </w:tc>
        <w:tc>
          <w:tcPr>
            <w:tcW w:w="538" w:type="pct"/>
            <w:vMerge w:val="restart"/>
            <w:tcBorders>
              <w:top w:val="single" w:color="auto" w:sz="4" w:space="0"/>
              <w:left w:val="single" w:color="auto" w:sz="4" w:space="0"/>
              <w:bottom w:val="single" w:color="auto" w:sz="4" w:space="0"/>
              <w:right w:val="single" w:color="auto" w:sz="4" w:space="0"/>
            </w:tcBorders>
            <w:vAlign w:val="center"/>
          </w:tcPr>
          <w:p w14:paraId="4D5BFBDF">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主要保护目标</w:t>
            </w:r>
          </w:p>
        </w:tc>
        <w:tc>
          <w:tcPr>
            <w:tcW w:w="536" w:type="pct"/>
            <w:vMerge w:val="restart"/>
            <w:tcBorders>
              <w:top w:val="single" w:color="auto" w:sz="4" w:space="0"/>
              <w:left w:val="single" w:color="auto" w:sz="4" w:space="0"/>
              <w:bottom w:val="single" w:color="auto" w:sz="4" w:space="0"/>
              <w:right w:val="single" w:color="auto" w:sz="4" w:space="0"/>
            </w:tcBorders>
            <w:vAlign w:val="center"/>
          </w:tcPr>
          <w:p w14:paraId="5CDA7F17">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主要保护措施</w:t>
            </w:r>
          </w:p>
        </w:tc>
        <w:tc>
          <w:tcPr>
            <w:tcW w:w="462" w:type="pct"/>
            <w:vMerge w:val="restart"/>
            <w:tcBorders>
              <w:top w:val="single" w:color="auto" w:sz="4" w:space="0"/>
              <w:left w:val="single" w:color="auto" w:sz="4" w:space="0"/>
              <w:bottom w:val="single" w:color="auto" w:sz="4" w:space="0"/>
              <w:right w:val="single" w:color="auto" w:sz="4" w:space="0"/>
            </w:tcBorders>
            <w:vAlign w:val="center"/>
          </w:tcPr>
          <w:p w14:paraId="454A7078">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适宜发展方向</w:t>
            </w:r>
          </w:p>
        </w:tc>
      </w:tr>
      <w:tr w14:paraId="6564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379" w:type="pct"/>
            <w:tcBorders>
              <w:top w:val="single" w:color="auto" w:sz="4" w:space="0"/>
              <w:left w:val="single" w:color="auto" w:sz="4" w:space="0"/>
              <w:bottom w:val="single" w:color="auto" w:sz="4" w:space="0"/>
              <w:right w:val="single" w:color="auto" w:sz="4" w:space="0"/>
            </w:tcBorders>
            <w:vAlign w:val="center"/>
          </w:tcPr>
          <w:p w14:paraId="7458CD45">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生态区</w:t>
            </w:r>
          </w:p>
        </w:tc>
        <w:tc>
          <w:tcPr>
            <w:tcW w:w="460" w:type="pct"/>
            <w:tcBorders>
              <w:top w:val="single" w:color="auto" w:sz="4" w:space="0"/>
              <w:left w:val="single" w:color="auto" w:sz="4" w:space="0"/>
              <w:bottom w:val="single" w:color="auto" w:sz="4" w:space="0"/>
              <w:right w:val="single" w:color="auto" w:sz="4" w:space="0"/>
            </w:tcBorders>
            <w:vAlign w:val="center"/>
          </w:tcPr>
          <w:p w14:paraId="0DC7CB07">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生态</w:t>
            </w:r>
          </w:p>
          <w:p w14:paraId="44C481DE">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亚区</w:t>
            </w:r>
          </w:p>
        </w:tc>
        <w:tc>
          <w:tcPr>
            <w:tcW w:w="464" w:type="pct"/>
            <w:tcBorders>
              <w:top w:val="single" w:color="auto" w:sz="4" w:space="0"/>
              <w:left w:val="single" w:color="auto" w:sz="4" w:space="0"/>
              <w:bottom w:val="single" w:color="auto" w:sz="4" w:space="0"/>
              <w:right w:val="single" w:color="auto" w:sz="4" w:space="0"/>
            </w:tcBorders>
            <w:vAlign w:val="center"/>
          </w:tcPr>
          <w:p w14:paraId="41B6EF93">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生态</w:t>
            </w:r>
          </w:p>
          <w:p w14:paraId="2211B0A6">
            <w:pPr>
              <w:pStyle w:val="25"/>
              <w:spacing w:after="0" w:line="240" w:lineRule="auto"/>
              <w:ind w:left="0" w:leftChars="0"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功能区</w:t>
            </w:r>
          </w:p>
        </w:tc>
        <w:tc>
          <w:tcPr>
            <w:tcW w:w="419" w:type="pct"/>
            <w:vMerge w:val="continue"/>
            <w:tcBorders>
              <w:top w:val="single" w:color="auto" w:sz="4" w:space="0"/>
              <w:left w:val="single" w:color="auto" w:sz="4" w:space="0"/>
              <w:bottom w:val="single" w:color="auto" w:sz="4" w:space="0"/>
              <w:right w:val="single" w:color="auto" w:sz="4" w:space="0"/>
            </w:tcBorders>
            <w:vAlign w:val="center"/>
          </w:tcPr>
          <w:p w14:paraId="1BB28668">
            <w:pPr>
              <w:pStyle w:val="25"/>
              <w:spacing w:after="0" w:line="240" w:lineRule="auto"/>
              <w:ind w:left="0" w:leftChars="0" w:firstLine="0" w:firstLineChars="0"/>
              <w:jc w:val="center"/>
              <w:rPr>
                <w:color w:val="000000" w:themeColor="text1"/>
                <w:sz w:val="21"/>
                <w:szCs w:val="21"/>
                <w14:textFill>
                  <w14:solidFill>
                    <w14:schemeClr w14:val="tx1"/>
                  </w14:solidFill>
                </w14:textFill>
              </w:rPr>
            </w:pPr>
          </w:p>
        </w:tc>
        <w:tc>
          <w:tcPr>
            <w:tcW w:w="501" w:type="pct"/>
            <w:vMerge w:val="continue"/>
            <w:tcBorders>
              <w:top w:val="single" w:color="auto" w:sz="4" w:space="0"/>
              <w:left w:val="single" w:color="auto" w:sz="4" w:space="0"/>
              <w:bottom w:val="single" w:color="auto" w:sz="4" w:space="0"/>
              <w:right w:val="single" w:color="auto" w:sz="4" w:space="0"/>
            </w:tcBorders>
            <w:vAlign w:val="center"/>
          </w:tcPr>
          <w:p w14:paraId="2ADAFCCE">
            <w:pPr>
              <w:pStyle w:val="25"/>
              <w:spacing w:after="0" w:line="240" w:lineRule="auto"/>
              <w:ind w:left="0" w:leftChars="0" w:firstLine="0" w:firstLineChars="0"/>
              <w:jc w:val="center"/>
              <w:rPr>
                <w:color w:val="000000" w:themeColor="text1"/>
                <w:sz w:val="21"/>
                <w:szCs w:val="21"/>
                <w14:textFill>
                  <w14:solidFill>
                    <w14:schemeClr w14:val="tx1"/>
                  </w14:solidFill>
                </w14:textFill>
              </w:rPr>
            </w:pPr>
          </w:p>
        </w:tc>
        <w:tc>
          <w:tcPr>
            <w:tcW w:w="617" w:type="pct"/>
            <w:vMerge w:val="continue"/>
            <w:tcBorders>
              <w:top w:val="single" w:color="auto" w:sz="4" w:space="0"/>
              <w:left w:val="single" w:color="auto" w:sz="4" w:space="0"/>
              <w:bottom w:val="single" w:color="auto" w:sz="4" w:space="0"/>
              <w:right w:val="single" w:color="auto" w:sz="4" w:space="0"/>
            </w:tcBorders>
            <w:vAlign w:val="center"/>
          </w:tcPr>
          <w:p w14:paraId="2E212714">
            <w:pPr>
              <w:pStyle w:val="25"/>
              <w:spacing w:after="0" w:line="240" w:lineRule="auto"/>
              <w:ind w:left="0" w:leftChars="0" w:firstLine="0" w:firstLineChars="0"/>
              <w:jc w:val="center"/>
              <w:rPr>
                <w:color w:val="000000" w:themeColor="text1"/>
                <w:sz w:val="21"/>
                <w:szCs w:val="21"/>
                <w14:textFill>
                  <w14:solidFill>
                    <w14:schemeClr w14:val="tx1"/>
                  </w14:solidFill>
                </w14:textFill>
              </w:rPr>
            </w:pPr>
          </w:p>
        </w:tc>
        <w:tc>
          <w:tcPr>
            <w:tcW w:w="617" w:type="pct"/>
            <w:vMerge w:val="continue"/>
            <w:tcBorders>
              <w:top w:val="single" w:color="auto" w:sz="4" w:space="0"/>
              <w:left w:val="single" w:color="auto" w:sz="4" w:space="0"/>
              <w:bottom w:val="single" w:color="auto" w:sz="4" w:space="0"/>
              <w:right w:val="single" w:color="auto" w:sz="4" w:space="0"/>
            </w:tcBorders>
            <w:vAlign w:val="center"/>
          </w:tcPr>
          <w:p w14:paraId="48E5059A">
            <w:pPr>
              <w:pStyle w:val="25"/>
              <w:spacing w:after="0" w:line="240" w:lineRule="auto"/>
              <w:ind w:left="0" w:leftChars="0" w:firstLine="0" w:firstLineChars="0"/>
              <w:jc w:val="center"/>
              <w:rPr>
                <w:color w:val="000000" w:themeColor="text1"/>
                <w:sz w:val="21"/>
                <w:szCs w:val="21"/>
                <w14:textFill>
                  <w14:solidFill>
                    <w14:schemeClr w14:val="tx1"/>
                  </w14:solidFill>
                </w14:textFill>
              </w:rPr>
            </w:pPr>
          </w:p>
        </w:tc>
        <w:tc>
          <w:tcPr>
            <w:tcW w:w="538" w:type="pct"/>
            <w:vMerge w:val="continue"/>
            <w:tcBorders>
              <w:top w:val="single" w:color="auto" w:sz="4" w:space="0"/>
              <w:left w:val="single" w:color="auto" w:sz="4" w:space="0"/>
              <w:bottom w:val="single" w:color="auto" w:sz="4" w:space="0"/>
              <w:right w:val="single" w:color="auto" w:sz="4" w:space="0"/>
            </w:tcBorders>
            <w:vAlign w:val="center"/>
          </w:tcPr>
          <w:p w14:paraId="1514CEE6">
            <w:pPr>
              <w:pStyle w:val="25"/>
              <w:spacing w:after="0" w:line="240" w:lineRule="auto"/>
              <w:ind w:left="0" w:leftChars="0" w:firstLine="0" w:firstLineChars="0"/>
              <w:jc w:val="center"/>
              <w:rPr>
                <w:color w:val="000000" w:themeColor="text1"/>
                <w:sz w:val="21"/>
                <w:szCs w:val="21"/>
                <w14:textFill>
                  <w14:solidFill>
                    <w14:schemeClr w14:val="tx1"/>
                  </w14:solidFill>
                </w14:textFill>
              </w:rPr>
            </w:pPr>
          </w:p>
        </w:tc>
        <w:tc>
          <w:tcPr>
            <w:tcW w:w="536" w:type="pct"/>
            <w:vMerge w:val="continue"/>
            <w:tcBorders>
              <w:top w:val="single" w:color="auto" w:sz="4" w:space="0"/>
              <w:left w:val="single" w:color="auto" w:sz="4" w:space="0"/>
              <w:bottom w:val="single" w:color="auto" w:sz="4" w:space="0"/>
              <w:right w:val="single" w:color="auto" w:sz="4" w:space="0"/>
            </w:tcBorders>
            <w:vAlign w:val="center"/>
          </w:tcPr>
          <w:p w14:paraId="5A51FAE3">
            <w:pPr>
              <w:pStyle w:val="25"/>
              <w:spacing w:after="0" w:line="240" w:lineRule="auto"/>
              <w:ind w:left="0" w:leftChars="0" w:firstLine="0" w:firstLineChars="0"/>
              <w:jc w:val="center"/>
              <w:rPr>
                <w:color w:val="000000" w:themeColor="text1"/>
                <w:sz w:val="21"/>
                <w:szCs w:val="21"/>
                <w14:textFill>
                  <w14:solidFill>
                    <w14:schemeClr w14:val="tx1"/>
                  </w14:solidFill>
                </w14:textFill>
              </w:rPr>
            </w:pPr>
          </w:p>
        </w:tc>
        <w:tc>
          <w:tcPr>
            <w:tcW w:w="462" w:type="pct"/>
            <w:vMerge w:val="continue"/>
            <w:tcBorders>
              <w:top w:val="single" w:color="auto" w:sz="4" w:space="0"/>
              <w:left w:val="single" w:color="auto" w:sz="4" w:space="0"/>
              <w:bottom w:val="single" w:color="auto" w:sz="4" w:space="0"/>
              <w:right w:val="single" w:color="auto" w:sz="4" w:space="0"/>
            </w:tcBorders>
            <w:vAlign w:val="center"/>
          </w:tcPr>
          <w:p w14:paraId="1612AC30">
            <w:pPr>
              <w:pStyle w:val="25"/>
              <w:spacing w:after="0" w:line="240" w:lineRule="auto"/>
              <w:ind w:left="0" w:leftChars="0" w:firstLine="0" w:firstLineChars="0"/>
              <w:jc w:val="center"/>
              <w:rPr>
                <w:color w:val="000000" w:themeColor="text1"/>
                <w:sz w:val="21"/>
                <w:szCs w:val="21"/>
                <w14:textFill>
                  <w14:solidFill>
                    <w14:schemeClr w14:val="tx1"/>
                  </w14:solidFill>
                </w14:textFill>
              </w:rPr>
            </w:pPr>
          </w:p>
        </w:tc>
      </w:tr>
      <w:tr w14:paraId="38D0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379" w:type="pct"/>
            <w:tcBorders>
              <w:top w:val="single" w:color="auto" w:sz="4" w:space="0"/>
              <w:left w:val="single" w:color="auto" w:sz="4" w:space="0"/>
              <w:bottom w:val="single" w:color="auto" w:sz="4" w:space="0"/>
              <w:right w:val="single" w:color="auto" w:sz="4" w:space="0"/>
            </w:tcBorders>
            <w:vAlign w:val="center"/>
          </w:tcPr>
          <w:p w14:paraId="55BBD021">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Ⅴ 帕米尔—昆仑山—阿尔金山荒漠干旱草原生态区</w:t>
            </w:r>
          </w:p>
        </w:tc>
        <w:tc>
          <w:tcPr>
            <w:tcW w:w="460" w:type="pct"/>
            <w:tcBorders>
              <w:top w:val="single" w:color="auto" w:sz="4" w:space="0"/>
              <w:left w:val="single" w:color="auto" w:sz="4" w:space="0"/>
              <w:bottom w:val="single" w:color="auto" w:sz="4" w:space="0"/>
              <w:right w:val="single" w:color="auto" w:sz="4" w:space="0"/>
            </w:tcBorders>
            <w:vAlign w:val="center"/>
          </w:tcPr>
          <w:p w14:paraId="212C61F9">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Ⅴ3 阿尔金山荒漠草原生物多样性保护生态亚区</w:t>
            </w:r>
          </w:p>
        </w:tc>
        <w:tc>
          <w:tcPr>
            <w:tcW w:w="464" w:type="pct"/>
            <w:tcBorders>
              <w:top w:val="single" w:color="auto" w:sz="4" w:space="0"/>
              <w:left w:val="single" w:color="auto" w:sz="4" w:space="0"/>
              <w:bottom w:val="single" w:color="auto" w:sz="4" w:space="0"/>
              <w:right w:val="single" w:color="auto" w:sz="4" w:space="0"/>
            </w:tcBorders>
            <w:vAlign w:val="center"/>
          </w:tcPr>
          <w:p w14:paraId="3EB75B15">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76．阿尔金山荒漠草原及野骆驼保护生态功能区</w:t>
            </w:r>
          </w:p>
        </w:tc>
        <w:tc>
          <w:tcPr>
            <w:tcW w:w="419" w:type="pct"/>
            <w:tcBorders>
              <w:top w:val="single" w:color="auto" w:sz="4" w:space="0"/>
              <w:left w:val="single" w:color="auto" w:sz="4" w:space="0"/>
              <w:bottom w:val="single" w:color="auto" w:sz="4" w:space="0"/>
              <w:right w:val="single" w:color="auto" w:sz="4" w:space="0"/>
            </w:tcBorders>
            <w:vAlign w:val="center"/>
          </w:tcPr>
          <w:p w14:paraId="1B2E155D">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若羌县、且末县</w:t>
            </w:r>
          </w:p>
        </w:tc>
        <w:tc>
          <w:tcPr>
            <w:tcW w:w="839" w:type="dxa"/>
            <w:tcBorders>
              <w:top w:val="single" w:color="auto" w:sz="4" w:space="0"/>
              <w:left w:val="single" w:color="auto" w:sz="4" w:space="0"/>
              <w:bottom w:val="single" w:color="auto" w:sz="4" w:space="0"/>
              <w:right w:val="single" w:color="auto" w:sz="4" w:space="0"/>
            </w:tcBorders>
            <w:vAlign w:val="center"/>
          </w:tcPr>
          <w:p w14:paraId="51F6575E">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土壤保持、生物多样性维护</w:t>
            </w:r>
          </w:p>
        </w:tc>
        <w:tc>
          <w:tcPr>
            <w:tcW w:w="1033" w:type="dxa"/>
            <w:tcBorders>
              <w:top w:val="single" w:color="auto" w:sz="4" w:space="0"/>
              <w:left w:val="single" w:color="auto" w:sz="4" w:space="0"/>
              <w:bottom w:val="single" w:color="auto" w:sz="4" w:space="0"/>
              <w:right w:val="single" w:color="auto" w:sz="4" w:space="0"/>
            </w:tcBorders>
            <w:vAlign w:val="center"/>
          </w:tcPr>
          <w:p w14:paraId="72828F08">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草地退化、水土流失、洪水危害</w:t>
            </w:r>
          </w:p>
        </w:tc>
        <w:tc>
          <w:tcPr>
            <w:tcW w:w="1033" w:type="dxa"/>
            <w:tcBorders>
              <w:top w:val="single" w:color="auto" w:sz="4" w:space="0"/>
              <w:left w:val="single" w:color="auto" w:sz="4" w:space="0"/>
              <w:bottom w:val="single" w:color="auto" w:sz="4" w:space="0"/>
              <w:right w:val="single" w:color="auto" w:sz="4" w:space="0"/>
            </w:tcBorders>
            <w:vAlign w:val="center"/>
          </w:tcPr>
          <w:p w14:paraId="15B6169A">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生物多样性及其生境高度敏感，土壤侵蚀高度敏感</w:t>
            </w:r>
          </w:p>
        </w:tc>
        <w:tc>
          <w:tcPr>
            <w:tcW w:w="901" w:type="dxa"/>
            <w:tcBorders>
              <w:top w:val="single" w:color="auto" w:sz="4" w:space="0"/>
              <w:left w:val="single" w:color="auto" w:sz="4" w:space="0"/>
              <w:bottom w:val="single" w:color="auto" w:sz="4" w:space="0"/>
              <w:right w:val="single" w:color="auto" w:sz="4" w:space="0"/>
            </w:tcBorders>
            <w:vAlign w:val="center"/>
          </w:tcPr>
          <w:p w14:paraId="058DCC9E">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保护荒漠草原和野骆驼</w:t>
            </w:r>
          </w:p>
        </w:tc>
        <w:tc>
          <w:tcPr>
            <w:tcW w:w="897" w:type="dxa"/>
            <w:tcBorders>
              <w:top w:val="single" w:color="auto" w:sz="4" w:space="0"/>
              <w:left w:val="single" w:color="auto" w:sz="4" w:space="0"/>
              <w:bottom w:val="single" w:color="auto" w:sz="4" w:space="0"/>
              <w:right w:val="single" w:color="auto" w:sz="4" w:space="0"/>
            </w:tcBorders>
            <w:vAlign w:val="center"/>
          </w:tcPr>
          <w:p w14:paraId="2BEF857E">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保护区退牧、禁止偷猎、禁止乱采玉石矿、加强保护区管理</w:t>
            </w:r>
          </w:p>
        </w:tc>
        <w:tc>
          <w:tcPr>
            <w:tcW w:w="773" w:type="dxa"/>
            <w:tcBorders>
              <w:top w:val="single" w:color="auto" w:sz="4" w:space="0"/>
              <w:left w:val="single" w:color="auto" w:sz="4" w:space="0"/>
              <w:bottom w:val="single" w:color="auto" w:sz="4" w:space="0"/>
              <w:right w:val="single" w:color="auto" w:sz="4" w:space="0"/>
            </w:tcBorders>
            <w:vAlign w:val="center"/>
          </w:tcPr>
          <w:p w14:paraId="1EE1002D">
            <w:pPr>
              <w:pStyle w:val="25"/>
              <w:spacing w:after="0" w:line="240" w:lineRule="auto"/>
              <w:ind w:left="0" w:leftChars="0"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保护野生动物栖息地，维持自然生态平衡</w:t>
            </w:r>
          </w:p>
        </w:tc>
      </w:tr>
    </w:tbl>
    <w:p w14:paraId="3351B34B">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本项目为输变电项目，属于基础建设类项目，项目建成后能够为若羌县区域内电网配套工程提供保障，不会产生新的生态环境问题。因此，本项目符合《新疆生态功能区划》。</w:t>
      </w:r>
    </w:p>
    <w:p w14:paraId="60582101">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515" w:name="_Toc10955"/>
      <w:r>
        <w:rPr>
          <w:rFonts w:hint="eastAsia"/>
          <w:color w:val="000000" w:themeColor="text1"/>
          <w:sz w:val="28"/>
          <w:szCs w:val="28"/>
          <w14:textFill>
            <w14:solidFill>
              <w14:schemeClr w14:val="tx1"/>
            </w14:solidFill>
          </w14:textFill>
        </w:rPr>
        <w:t>3.2.5与《新疆生态环境保护“十四五”规划》的相符性</w:t>
      </w:r>
      <w:bookmarkEnd w:id="515"/>
    </w:p>
    <w:p w14:paraId="2FF71E9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2021年12月，自治区党委、自治区人民政府印发了《新疆生态环境保护“十四五”规划》，规划提出：按照宜电则电、宜气则气的原则，继续推进“电气化新疆”建设，实施清洁能源行动计划，加快城乡结合部、农村民用和农业生产散烧煤的清洁能源替代，加大可再生能源消纳力度。大力发展清洁能源。进一步壮大清洁能源产业，着力转变能源生产和消费模式，推动化石能源转型升级。加快非化石能源发展，推进风电和太阳能发电基地建设，积极开发分布式太阳能发电和分散式风电，支持可再生能源与工业、建筑、交通、农业、生态等产业和设施协同发展，配套发展储能产业，推进抽水蓄能电站建设，加快新型储能示范推广应用。积极发展可再生能源微电网、局域网，提高可再生能源的推广和消纳能力。本工程为输变电项目，属于清洁能源（电力）输送项目</w:t>
      </w:r>
      <w:r>
        <w:rPr>
          <w:color w:val="000000" w:themeColor="text1"/>
          <w14:textFill>
            <w14:solidFill>
              <w14:schemeClr w14:val="tx1"/>
            </w14:solidFill>
          </w14:textFill>
        </w:rPr>
        <w:t>，是绿色低碳生活方式的支撑性工程。本项目运行期间不排放废气、废水等污染物</w:t>
      </w:r>
      <w:r>
        <w:rPr>
          <w:rFonts w:hint="eastAsia"/>
          <w:color w:val="000000" w:themeColor="text1"/>
          <w14:textFill>
            <w14:solidFill>
              <w14:schemeClr w14:val="tx1"/>
            </w14:solidFill>
          </w14:textFill>
        </w:rPr>
        <w:t>，各固废均得到妥善处置，不会引起生态环境质量恶化。本项目施工完成后会对临时占地进行平整并恢复植被，对当地生态系统影响较小。</w:t>
      </w:r>
      <w:r>
        <w:rPr>
          <w:rFonts w:hint="eastAsia" w:ascii="宋体" w:hAnsi="宋体"/>
          <w:color w:val="000000" w:themeColor="text1"/>
          <w14:textFill>
            <w14:solidFill>
              <w14:schemeClr w14:val="tx1"/>
            </w14:solidFill>
          </w14:textFill>
        </w:rPr>
        <w:t>因此本项目建设符合</w:t>
      </w:r>
      <w:r>
        <w:rPr>
          <w:rFonts w:hint="eastAsia"/>
          <w:color w:val="000000" w:themeColor="text1"/>
          <w14:textFill>
            <w14:solidFill>
              <w14:schemeClr w14:val="tx1"/>
            </w14:solidFill>
          </w14:textFill>
        </w:rPr>
        <w:t>《新疆生态环境保护“十四五”规划》的相关要求。</w:t>
      </w:r>
    </w:p>
    <w:p w14:paraId="365E8BE2">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516" w:name="_Toc7317"/>
      <w:bookmarkStart w:id="517" w:name="_Toc21786"/>
      <w:bookmarkStart w:id="518" w:name="_Toc5393"/>
      <w:bookmarkStart w:id="519" w:name="_Toc29845"/>
      <w:bookmarkStart w:id="520" w:name="_Toc23927"/>
      <w:bookmarkStart w:id="521" w:name="_Toc8677"/>
      <w:bookmarkStart w:id="522" w:name="_Toc25526"/>
      <w:bookmarkStart w:id="523" w:name="_Toc18079"/>
      <w:r>
        <w:rPr>
          <w:rFonts w:hint="eastAsia"/>
          <w:color w:val="000000" w:themeColor="text1"/>
          <w:sz w:val="28"/>
          <w:szCs w:val="28"/>
          <w14:textFill>
            <w14:solidFill>
              <w14:schemeClr w14:val="tx1"/>
            </w14:solidFill>
          </w14:textFill>
        </w:rPr>
        <w:t>3.2.6与《巴音郭楞蒙古自治州生态环境“十四五”规划》符合性分析</w:t>
      </w:r>
    </w:p>
    <w:p w14:paraId="642939F0">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巴音郭楞蒙古自治州生态环境保护“十四五”规划》，到2025年，大气、水、土壤、生态环境质量持续改善。加强治沙、防尘、减污、降碳，做好轻、中度污染天气的应急处置工作，空气质量有所提升，碳排放强度得到有效控制；以水生态保护为核心的水环境、水生态、水资源统筹推进格局初步形成；土壤风险管控和安全利用水平逐步提高，固体废物与化学品环境风险防控能力明显增强，环境风险有效控制；生态系统稳定性和生态状况稳步提升；科学、独立、权威、高效的生态环境监测体系基本建成，监测预报预警、信息化能力、质量管理和保障水平进一步提升；经济发展与生态环境保护进一步融合，生态环境治理能力稳步提升，美丽巴州建设取得积极成效。</w:t>
      </w:r>
    </w:p>
    <w:p w14:paraId="1CA0880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本项目为电力基础设施建设项目，运营期采取了相应的环保措施后电磁环境满足标准要求，项目建设符合《巴音郭楞蒙古自治州生态环境保护“十四五”规划》要求。</w:t>
      </w:r>
    </w:p>
    <w:p w14:paraId="559028B9">
      <w:pPr>
        <w:pStyle w:val="4"/>
        <w:tabs>
          <w:tab w:val="left" w:pos="3360"/>
        </w:tabs>
        <w:spacing w:before="156" w:beforeLines="50" w:after="156" w:afterLines="50"/>
        <w:ind w:firstLine="0" w:firstLineChars="0"/>
        <w:rPr>
          <w:color w:val="000000" w:themeColor="text1"/>
          <w14:textFill>
            <w14:solidFill>
              <w14:schemeClr w14:val="tx1"/>
            </w14:solidFill>
          </w14:textFill>
        </w:rPr>
      </w:pPr>
      <w:r>
        <w:rPr>
          <w:rFonts w:hint="eastAsia"/>
          <w:color w:val="000000" w:themeColor="text1"/>
          <w:sz w:val="28"/>
          <w:szCs w:val="28"/>
          <w14:textFill>
            <w14:solidFill>
              <w14:schemeClr w14:val="tx1"/>
            </w14:solidFill>
          </w14:textFill>
        </w:rPr>
        <w:t>3.2.7与《巴音郭楞蒙古自治州国土空间总体规划（2021-2035年）》符合性分析</w:t>
      </w:r>
    </w:p>
    <w:p w14:paraId="16771E6C">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巴音郭楞蒙古自治州国土空间总体规划（2021-2035年）》提出：“指导划定基础设施廊道控制线。构建巴州“两横三纵”基础设施廊道，形成畅通疆内疆外、连接南北疆的综合运输廊道和能源通道。交通线路、油气管道、水利工程、电力管线等各类基础设施，应统筹归并布局于廊道内，廊道的具体线位、宽度由下层次国土空间规划划定。基础设施廊道瓶颈的规划建设活动须充分征求该区域内涉及的相关管理部门意见后，方可批准规划及启动项目建设。”“加快千万千瓦大型风光电新能源基地建设。推动库尔勒市、若羌、且末、和静、轮台、和硕、焉耆、尉犁、博湖等县市建设风光电场区。加快若羌千万千瓦级新能源基地和库尉轮铁、北四县新能源基地建设。推动若羌区域新能源高速发展，为“疆电外送”第四通道、第五通道提供新能源保障。”</w:t>
      </w:r>
    </w:p>
    <w:p w14:paraId="72D6C735">
      <w:pPr>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本项目建成后可完善若羌县电网，推动若羌区域新能源高速发展，符合《巴音郭楞蒙古自治州国土空间总体规划（2021-2035年）》的要求。</w:t>
      </w:r>
    </w:p>
    <w:p w14:paraId="6706975F">
      <w:pPr>
        <w:pStyle w:val="4"/>
        <w:tabs>
          <w:tab w:val="left" w:pos="3360"/>
        </w:tabs>
        <w:spacing w:before="156" w:beforeLines="50" w:after="156" w:afterLines="50"/>
        <w:ind w:firstLine="0" w:firstLineChars="0"/>
        <w:rPr>
          <w:rFonts w:hint="default"/>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3.2.8与《关于创新预防体制机制推动新时代水土保持工作高质量发展的实施意见》相符性分析</w:t>
      </w:r>
    </w:p>
    <w:p w14:paraId="0190193F">
      <w:pPr>
        <w:pStyle w:val="9"/>
        <w:rPr>
          <w:rFonts w:hint="eastAsia"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2023年11月9日，自治区党委办公厅自治区人民政府办公厅印发《关于创新预防体制机制推动新时代水土保持工作高质量发展的实施意见》</w:t>
      </w:r>
      <w:r>
        <w:rPr>
          <w:rFonts w:hint="eastAsia" w:cs="Times New Roman"/>
          <w:color w:val="000000" w:themeColor="text1"/>
          <w:kern w:val="2"/>
          <w:sz w:val="24"/>
          <w:szCs w:val="24"/>
          <w:lang w:val="en-US" w:eastAsia="zh-CN" w:bidi="ar-SA"/>
          <w14:textFill>
            <w14:solidFill>
              <w14:schemeClr w14:val="tx1"/>
            </w14:solidFill>
          </w14:textFill>
        </w:rPr>
        <w:t>，本项目与《实施意见》的符合性分析见表3.2-2。</w:t>
      </w:r>
    </w:p>
    <w:p w14:paraId="0EA86035">
      <w:pPr>
        <w:pStyle w:val="9"/>
        <w:ind w:left="0" w:leftChars="0" w:firstLine="0" w:firstLineChars="0"/>
        <w:jc w:val="center"/>
        <w:rPr>
          <w:rFonts w:hint="eastAsia" w:cs="Times New Roman"/>
          <w:b/>
          <w:bCs/>
          <w:color w:val="000000" w:themeColor="text1"/>
          <w:kern w:val="2"/>
          <w:sz w:val="21"/>
          <w:szCs w:val="21"/>
          <w:lang w:val="en-US" w:eastAsia="zh-CN" w:bidi="ar-SA"/>
          <w14:textFill>
            <w14:solidFill>
              <w14:schemeClr w14:val="tx1"/>
            </w14:solidFill>
          </w14:textFill>
        </w:rPr>
      </w:pPr>
      <w:r>
        <w:rPr>
          <w:rFonts w:hint="eastAsia" w:cs="Times New Roman"/>
          <w:b/>
          <w:bCs/>
          <w:color w:val="000000" w:themeColor="text1"/>
          <w:kern w:val="2"/>
          <w:sz w:val="21"/>
          <w:szCs w:val="21"/>
          <w:lang w:val="en-US" w:eastAsia="zh-CN" w:bidi="ar-SA"/>
          <w14:textFill>
            <w14:solidFill>
              <w14:schemeClr w14:val="tx1"/>
            </w14:solidFill>
          </w14:textFill>
        </w:rPr>
        <w:t>表3.2-2  本项目与</w:t>
      </w:r>
      <w:r>
        <w:rPr>
          <w:rFonts w:hint="eastAsia" w:ascii="Times New Roman" w:hAnsi="Times New Roman" w:eastAsia="宋体" w:cs="Times New Roman"/>
          <w:b/>
          <w:bCs/>
          <w:color w:val="000000" w:themeColor="text1"/>
          <w:kern w:val="2"/>
          <w:sz w:val="21"/>
          <w:szCs w:val="21"/>
          <w:lang w:val="en-US" w:eastAsia="zh-CN" w:bidi="ar-SA"/>
          <w14:textFill>
            <w14:solidFill>
              <w14:schemeClr w14:val="tx1"/>
            </w14:solidFill>
          </w14:textFill>
        </w:rPr>
        <w:t>创新预防体制机制推动新时代水土保持工作高质量发展的实施意见</w:t>
      </w:r>
      <w:r>
        <w:rPr>
          <w:rFonts w:hint="eastAsia" w:cs="Times New Roman"/>
          <w:b/>
          <w:bCs/>
          <w:color w:val="000000" w:themeColor="text1"/>
          <w:kern w:val="2"/>
          <w:sz w:val="21"/>
          <w:szCs w:val="21"/>
          <w:lang w:val="en-US" w:eastAsia="zh-CN" w:bidi="ar-SA"/>
          <w14:textFill>
            <w14:solidFill>
              <w14:schemeClr w14:val="tx1"/>
            </w14:solidFill>
          </w14:textFill>
        </w:rPr>
        <w:t>的符合性分析一览表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4246"/>
        <w:gridCol w:w="2558"/>
        <w:gridCol w:w="1096"/>
      </w:tblGrid>
      <w:tr w14:paraId="1C63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14:paraId="6A39167F">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序号</w:t>
            </w:r>
          </w:p>
        </w:tc>
        <w:tc>
          <w:tcPr>
            <w:tcW w:w="4246" w:type="dxa"/>
            <w:vAlign w:val="center"/>
          </w:tcPr>
          <w:p w14:paraId="7F4CFDB5">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实施意见要求</w:t>
            </w:r>
          </w:p>
        </w:tc>
        <w:tc>
          <w:tcPr>
            <w:tcW w:w="2558" w:type="dxa"/>
            <w:vAlign w:val="center"/>
          </w:tcPr>
          <w:p w14:paraId="0DEF3FAD">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本项目</w:t>
            </w:r>
          </w:p>
        </w:tc>
        <w:tc>
          <w:tcPr>
            <w:tcW w:w="1096" w:type="dxa"/>
            <w:vAlign w:val="center"/>
          </w:tcPr>
          <w:p w14:paraId="120F0C30">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imes New Roman"/>
                <w:b/>
                <w:bCs/>
                <w:color w:val="000000" w:themeColor="text1"/>
                <w:kern w:val="2"/>
                <w:sz w:val="21"/>
                <w:szCs w:val="21"/>
                <w:vertAlign w:val="baseline"/>
                <w:lang w:val="en-US" w:eastAsia="zh-CN" w:bidi="ar-SA"/>
                <w14:textFill>
                  <w14:solidFill>
                    <w14:schemeClr w14:val="tx1"/>
                  </w14:solidFill>
                </w14:textFill>
              </w:rPr>
            </w:pPr>
            <w:r>
              <w:rPr>
                <w:rFonts w:hint="eastAsia" w:cs="Times New Roman"/>
                <w:b/>
                <w:bCs/>
                <w:color w:val="000000" w:themeColor="text1"/>
                <w:kern w:val="2"/>
                <w:sz w:val="21"/>
                <w:szCs w:val="21"/>
                <w:vertAlign w:val="baseline"/>
                <w:lang w:val="en-US" w:eastAsia="zh-CN" w:bidi="ar-SA"/>
                <w14:textFill>
                  <w14:solidFill>
                    <w14:schemeClr w14:val="tx1"/>
                  </w14:solidFill>
                </w14:textFill>
              </w:rPr>
              <w:t>符合性</w:t>
            </w:r>
          </w:p>
        </w:tc>
      </w:tr>
      <w:tr w14:paraId="04BE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14:paraId="1A0036F1">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1</w:t>
            </w:r>
          </w:p>
        </w:tc>
        <w:tc>
          <w:tcPr>
            <w:tcW w:w="4246" w:type="dxa"/>
            <w:vAlign w:val="center"/>
          </w:tcPr>
          <w:p w14:paraId="56BF8C13">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kern w:val="2"/>
                <w:sz w:val="21"/>
                <w:szCs w:val="21"/>
                <w:vertAlign w:val="baseline"/>
                <w:lang w:val="en-US" w:eastAsia="zh-CN" w:bidi="ar-SA"/>
                <w14:textFill>
                  <w14:solidFill>
                    <w14:schemeClr w14:val="tx1"/>
                  </w14:solidFill>
                </w14:textFill>
              </w:rPr>
              <w:t>突出抓好重点区域预防保护。加强塔里木河等重要流域水土流失重点预防区和水土流失严重、生态脆弱区域的预防保护。以全国水土保持区划三级区为基础，以保护和合理利用水土资源为主线，全面实施预防保护，重点加强河湖源头区、重要水源地和水蚀风蚀交错区水土流失预防保护，充分发挥自然修复作用。</w:t>
            </w:r>
          </w:p>
        </w:tc>
        <w:tc>
          <w:tcPr>
            <w:tcW w:w="2558" w:type="dxa"/>
            <w:vAlign w:val="center"/>
          </w:tcPr>
          <w:p w14:paraId="3825F65E">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t>若羌县属于阿尔金山国家级水土流失重点预防区</w:t>
            </w: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不属于塔里木河等重要流域水土流失重点预防区，本项目沿线有戈壁和少部分沙丘，针对沙地区域塔基区及周边扰动强度较高区域设计均布设草方格沙障措施，施工前设置彩条旗围栏限界，施工过程中采取洒水降尘措施，并设置泥浆沉淀池，对临时堆土顶部及四周采取密目网苫盖措施，施工结束后对扰动的场地坑凹回填，进行平整。</w:t>
            </w:r>
          </w:p>
        </w:tc>
        <w:tc>
          <w:tcPr>
            <w:tcW w:w="1096" w:type="dxa"/>
            <w:vAlign w:val="center"/>
          </w:tcPr>
          <w:p w14:paraId="6B2FCFB9">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符合</w:t>
            </w:r>
          </w:p>
        </w:tc>
      </w:tr>
      <w:tr w14:paraId="5D77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14:paraId="5AFD1984">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2</w:t>
            </w:r>
          </w:p>
        </w:tc>
        <w:tc>
          <w:tcPr>
            <w:tcW w:w="4246" w:type="dxa"/>
            <w:vAlign w:val="center"/>
          </w:tcPr>
          <w:p w14:paraId="25DEEB01">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kern w:val="2"/>
                <w:sz w:val="21"/>
                <w:szCs w:val="21"/>
                <w:vertAlign w:val="baseline"/>
                <w:lang w:val="en-US" w:eastAsia="zh-CN" w:bidi="ar-SA"/>
                <w14:textFill>
                  <w14:solidFill>
                    <w14:schemeClr w14:val="tx1"/>
                  </w14:solidFill>
                </w14:textFill>
              </w:rPr>
              <w:t>增强生态系统水土保持功能。巩固提升冰川、河湖、森林、草原、绿洲、荒漠生态系统质量和稳定性，严禁违法违规开发，加强森林草原保护修复，落实草原禁牧、休牧、草畜平衡和沙化土地封禁保护等措施。科学开展国土绿化，建立完善林草立体防护体系，大力提升林草生态系统碳汇能力。推广生态护岸、沟头防护、植物谷坊、草方格沙障等水土保持实用技术。重点做好“一城（天山北坡城市群）、二山（阿尔泰山和阿尔金山）、三河（塔里木河、额尔齐斯河和伊犁河）、四区（准东、吐哈、库车—拜城、和布克赛尔—克拉玛依）、五行业（煤炭、石油天然气、水利水电、交通运输和城镇建设）”的水土保持综合治理工作，推动形成“一城二山三河四区五行业”水土保持生态保护格局。</w:t>
            </w:r>
          </w:p>
        </w:tc>
        <w:tc>
          <w:tcPr>
            <w:tcW w:w="2558" w:type="dxa"/>
            <w:vAlign w:val="center"/>
          </w:tcPr>
          <w:p w14:paraId="23D44BF8">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本项目为输变电建设项目，沿线有戈壁和少部分沙丘，针对沙地区域塔基区及周边扰动强度较高区域设计均布设草方格沙障措施。</w:t>
            </w:r>
          </w:p>
        </w:tc>
        <w:tc>
          <w:tcPr>
            <w:tcW w:w="1096" w:type="dxa"/>
            <w:vAlign w:val="center"/>
          </w:tcPr>
          <w:p w14:paraId="23FA24F8">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符合</w:t>
            </w:r>
          </w:p>
        </w:tc>
      </w:tr>
      <w:tr w14:paraId="323E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14:paraId="7EE7A0CC">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3</w:t>
            </w:r>
          </w:p>
        </w:tc>
        <w:tc>
          <w:tcPr>
            <w:tcW w:w="4246" w:type="dxa"/>
            <w:vAlign w:val="center"/>
          </w:tcPr>
          <w:p w14:paraId="786FEB49">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kern w:val="2"/>
                <w:sz w:val="21"/>
                <w:szCs w:val="21"/>
                <w:vertAlign w:val="baseline"/>
                <w:lang w:val="en-US" w:eastAsia="zh-CN" w:bidi="ar-SA"/>
                <w14:textFill>
                  <w14:solidFill>
                    <w14:schemeClr w14:val="tx1"/>
                  </w14:solidFill>
                </w14:textFill>
              </w:rPr>
              <w:t>加强全链条全过程监管。强化人为水土流失源头管控，严格生产建设项目水土保持方案审查审批。深化“放管服”改革，持续推进水土保持政务服务标准化、规范化、便利化。加强水土保持方案实施情况跟踪检查，强化事中事后监管，健全监管制度和标准，督促生产建设单位依法履行水土流失防治责任。加大对造成水土流失的生态破坏行为的惩治力度，依法依规严格查处违法违规行为、严格追究生态环境损害赔偿责任。加强水土保持监管能力建设，提高专业化现代科技手段应用能力，保障必要经费和装备，实现全链条全过程全覆盖监管。</w:t>
            </w:r>
          </w:p>
        </w:tc>
        <w:tc>
          <w:tcPr>
            <w:tcW w:w="2558" w:type="dxa"/>
            <w:vAlign w:val="center"/>
          </w:tcPr>
          <w:p w14:paraId="613C1603">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项目已同步开展水土保持方案工作，本项目严格按照水土保持方案进行水土保持防治。环评要求</w:t>
            </w:r>
            <w:r>
              <w:rPr>
                <w:rFonts w:hint="eastAsia" w:cs="Times New Roman"/>
                <w:color w:val="000000" w:themeColor="text1"/>
                <w:kern w:val="2"/>
                <w:sz w:val="21"/>
                <w:szCs w:val="21"/>
                <w:vertAlign w:val="baseline"/>
                <w:lang w:val="en-US" w:eastAsia="zh-CN" w:bidi="ar-SA"/>
                <w14:textFill>
                  <w14:solidFill>
                    <w14:schemeClr w14:val="tx1"/>
                  </w14:solidFill>
                </w14:textFill>
              </w:rPr>
              <w:t>建设单位依法履行水土流失防治责任，加强水土保持监管能力建设。</w:t>
            </w:r>
          </w:p>
        </w:tc>
        <w:tc>
          <w:tcPr>
            <w:tcW w:w="1096" w:type="dxa"/>
            <w:vAlign w:val="center"/>
          </w:tcPr>
          <w:p w14:paraId="3E93C12D">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符合</w:t>
            </w:r>
          </w:p>
        </w:tc>
      </w:tr>
      <w:tr w14:paraId="3E46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14:paraId="563E936A">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4</w:t>
            </w:r>
          </w:p>
        </w:tc>
        <w:tc>
          <w:tcPr>
            <w:tcW w:w="4246" w:type="dxa"/>
            <w:vAlign w:val="center"/>
          </w:tcPr>
          <w:p w14:paraId="75403A2D">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s="Times New Roman"/>
                <w:color w:val="000000" w:themeColor="text1"/>
                <w:kern w:val="2"/>
                <w:sz w:val="21"/>
                <w:szCs w:val="21"/>
                <w:vertAlign w:val="baseline"/>
                <w:lang w:val="en-US" w:eastAsia="zh-CN" w:bidi="ar-SA"/>
                <w14:textFill>
                  <w14:solidFill>
                    <w14:schemeClr w14:val="tx1"/>
                  </w14:solidFill>
                </w14:textFill>
              </w:rPr>
            </w:pPr>
            <w:r>
              <w:rPr>
                <w:rFonts w:hint="eastAsia" w:cs="Times New Roman"/>
                <w:color w:val="000000" w:themeColor="text1"/>
                <w:kern w:val="2"/>
                <w:sz w:val="21"/>
                <w:szCs w:val="21"/>
                <w:vertAlign w:val="baseline"/>
                <w:lang w:val="en-US" w:eastAsia="zh-CN" w:bidi="ar-SA"/>
                <w14:textFill>
                  <w14:solidFill>
                    <w14:schemeClr w14:val="tx1"/>
                  </w14:solidFill>
                </w14:textFill>
              </w:rPr>
              <w:t>加强全方位监管。针对不同区域、不同行业特点，健全监管机制，分类精准监管。各行业、各类生产建设项目必须严格落实“水土保持设施应与主体工程同时设计、同时施工、同时投产使用”制度。按照“谁造成水土流失谁负责治理”的原则，监督生产建设单位依法严格履行水土流失防治主体责任。大力推行绿色设计、绿色施工，严格控制耕地占用和地表扰动，严禁滥采乱挖、乱堆乱弃，全面落实表土资源保护、弃渣减量和综合利用要求，最大限度减少可能造成的水土流失。交通、能源、矿产资源、水利等重点行业主管部门要加强对本行业水土保持工作的指导和综合监管。畅通公众监督和举报渠道，发挥社会监督作用，全面遏制人为水土流失。</w:t>
            </w:r>
          </w:p>
        </w:tc>
        <w:tc>
          <w:tcPr>
            <w:tcW w:w="2558" w:type="dxa"/>
            <w:vAlign w:val="center"/>
          </w:tcPr>
          <w:p w14:paraId="772C2EA5">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本项目为输变电项目，项目根据塔基及施工场地区、</w:t>
            </w:r>
            <w:r>
              <w:rPr>
                <w:rFonts w:hint="eastAsia" w:ascii="Times New Roman" w:hAnsi="Times New Roman" w:cs="Times New Roman"/>
                <w:color w:val="000000" w:themeColor="text1"/>
                <w:kern w:val="2"/>
                <w:sz w:val="21"/>
                <w:szCs w:val="21"/>
                <w:vertAlign w:val="baseline"/>
                <w:lang w:val="zh-CN" w:eastAsia="zh-CN" w:bidi="ar-SA"/>
                <w14:textFill>
                  <w14:solidFill>
                    <w14:schemeClr w14:val="tx1"/>
                  </w14:solidFill>
                </w14:textFill>
              </w:rPr>
              <w:t>牵张场地区、跨越场地区、施工道路区</w:t>
            </w: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进行分区防治措施，以最大限度减少水土流失；环评要求建设项目须严格按照“水土保持设施应与主体工程同时设计、同时施工、同时投产使用”制度开展工作，目前水土保持方案已在同步开展评审工作。</w:t>
            </w:r>
          </w:p>
        </w:tc>
        <w:tc>
          <w:tcPr>
            <w:tcW w:w="1096" w:type="dxa"/>
            <w:vAlign w:val="center"/>
          </w:tcPr>
          <w:p w14:paraId="01C57C93">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vertAlign w:val="baseline"/>
                <w:lang w:val="en-US" w:eastAsia="zh-CN" w:bidi="ar-SA"/>
                <w14:textFill>
                  <w14:solidFill>
                    <w14:schemeClr w14:val="tx1"/>
                  </w14:solidFill>
                </w14:textFill>
              </w:rPr>
              <w:t>符合</w:t>
            </w:r>
          </w:p>
        </w:tc>
      </w:tr>
    </w:tbl>
    <w:p w14:paraId="34A54260">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3.2.</w:t>
      </w:r>
      <w:bookmarkEnd w:id="516"/>
      <w:bookmarkEnd w:id="517"/>
      <w:bookmarkEnd w:id="518"/>
      <w:bookmarkEnd w:id="519"/>
      <w:bookmarkEnd w:id="520"/>
      <w:bookmarkEnd w:id="521"/>
      <w:bookmarkEnd w:id="522"/>
      <w:bookmarkEnd w:id="523"/>
      <w:r>
        <w:rPr>
          <w:rFonts w:hint="eastAsia"/>
          <w:color w:val="000000" w:themeColor="text1"/>
          <w:sz w:val="28"/>
          <w:szCs w:val="28"/>
          <w:lang w:val="en-US" w:eastAsia="zh-CN"/>
          <w14:textFill>
            <w14:solidFill>
              <w14:schemeClr w14:val="tx1"/>
            </w14:solidFill>
          </w14:textFill>
        </w:rPr>
        <w:t>9</w:t>
      </w:r>
      <w:r>
        <w:rPr>
          <w:rFonts w:hint="eastAsia"/>
          <w:color w:val="000000" w:themeColor="text1"/>
          <w:sz w:val="28"/>
          <w:szCs w:val="28"/>
          <w14:textFill>
            <w14:solidFill>
              <w14:schemeClr w14:val="tx1"/>
            </w14:solidFill>
          </w14:textFill>
        </w:rPr>
        <w:t>与生态环境分区管控相符性分析</w:t>
      </w:r>
    </w:p>
    <w:p w14:paraId="42F03C1C">
      <w:pPr>
        <w:ind w:firstLine="480"/>
        <w:rPr>
          <w:bCs/>
          <w:color w:val="000000" w:themeColor="text1"/>
          <w14:textFill>
            <w14:solidFill>
              <w14:schemeClr w14:val="tx1"/>
            </w14:solidFill>
          </w14:textFill>
        </w:rPr>
        <w:sectPr>
          <w:pgSz w:w="11906" w:h="16838"/>
          <w:pgMar w:top="1440" w:right="1800" w:bottom="1440" w:left="1800" w:header="851" w:footer="992" w:gutter="0"/>
          <w:cols w:space="425" w:num="1"/>
          <w:docGrid w:type="lines" w:linePitch="312" w:charSpace="0"/>
        </w:sectPr>
      </w:pPr>
      <w:r>
        <w:rPr>
          <w:color w:val="000000" w:themeColor="text1"/>
          <w14:textFill>
            <w14:solidFill>
              <w14:schemeClr w14:val="tx1"/>
            </w14:solidFill>
          </w14:textFill>
        </w:rPr>
        <w:t>对照《新疆维吾尔自治区生态环境分区管控动态更新成果》（新环环评发（2024）157号）</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关于印发巴音郭楞蒙古自治州“三线一单”生态环境分区管控动态更新成果（2023年）的通知</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（巴政办发〔2024〕32号）</w:t>
      </w:r>
      <w:r>
        <w:rPr>
          <w:color w:val="000000" w:themeColor="text1"/>
          <w14:textFill>
            <w14:solidFill>
              <w14:schemeClr w14:val="tx1"/>
            </w14:solidFill>
          </w14:textFill>
        </w:rPr>
        <w:t>，本项目与新疆维吾尔自治区生态保护红线、环境质量底线、资源利用上线符合性分析见表3.2-</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。本项目与新疆维吾尔自治区、</w:t>
      </w:r>
      <w:r>
        <w:rPr>
          <w:rFonts w:hint="eastAsia"/>
          <w:color w:val="000000" w:themeColor="text1"/>
          <w14:textFill>
            <w14:solidFill>
              <w14:schemeClr w14:val="tx1"/>
            </w14:solidFill>
          </w14:textFill>
        </w:rPr>
        <w:t>七大片区</w:t>
      </w:r>
      <w:r>
        <w:rPr>
          <w:color w:val="000000" w:themeColor="text1"/>
          <w14:textFill>
            <w14:solidFill>
              <w14:schemeClr w14:val="tx1"/>
            </w14:solidFill>
          </w14:textFill>
        </w:rPr>
        <w:t>生态环境准入清单符合性分析见表3.2-</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位于</w:t>
      </w:r>
      <w:r>
        <w:rPr>
          <w:color w:val="000000" w:themeColor="text1"/>
          <w14:textFill>
            <w14:solidFill>
              <w14:schemeClr w14:val="tx1"/>
            </w14:solidFill>
          </w14:textFill>
        </w:rPr>
        <w:t>巴音郭楞蒙古自治州</w:t>
      </w:r>
      <w:r>
        <w:rPr>
          <w:rFonts w:hint="eastAsia"/>
          <w:color w:val="000000" w:themeColor="text1"/>
          <w14:textFill>
            <w14:solidFill>
              <w14:schemeClr w14:val="tx1"/>
            </w14:solidFill>
          </w14:textFill>
        </w:rPr>
        <w:t>若羌县一般管控单元，</w:t>
      </w:r>
      <w:r>
        <w:rPr>
          <w:bCs/>
          <w:color w:val="000000" w:themeColor="text1"/>
          <w14:textFill>
            <w14:solidFill>
              <w14:schemeClr w14:val="tx1"/>
            </w14:solidFill>
          </w14:textFill>
        </w:rPr>
        <w:t>见图3.2-</w:t>
      </w:r>
      <w:r>
        <w:rPr>
          <w:rFonts w:hint="eastAsia"/>
          <w:bCs/>
          <w:color w:val="000000" w:themeColor="text1"/>
          <w14:textFill>
            <w14:solidFill>
              <w14:schemeClr w14:val="tx1"/>
            </w14:solidFill>
          </w14:textFill>
        </w:rPr>
        <w:t>3。</w:t>
      </w:r>
      <w:r>
        <w:rPr>
          <w:color w:val="000000" w:themeColor="text1"/>
          <w14:textFill>
            <w14:solidFill>
              <w14:schemeClr w14:val="tx1"/>
            </w14:solidFill>
          </w14:textFill>
        </w:rPr>
        <w:t>与巴音郭楞蒙古自治州生态环境准入清单符合性分析</w:t>
      </w:r>
      <w:r>
        <w:rPr>
          <w:rFonts w:hint="eastAsia"/>
          <w:color w:val="000000" w:themeColor="text1"/>
          <w14:textFill>
            <w14:solidFill>
              <w14:schemeClr w14:val="tx1"/>
            </w14:solidFill>
          </w14:textFill>
        </w:rPr>
        <w:t>见表3.2-</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w:t>
      </w:r>
    </w:p>
    <w:p w14:paraId="153ED2D8">
      <w:pPr>
        <w:pStyle w:val="38"/>
        <w:spacing w:before="156"/>
        <w:ind w:firstLine="0" w:firstLineChars="0"/>
        <w:rPr>
          <w:bCs/>
          <w:color w:val="000000" w:themeColor="text1"/>
          <w14:textFill>
            <w14:solidFill>
              <w14:schemeClr w14:val="tx1"/>
            </w14:solidFill>
          </w14:textFill>
        </w:rPr>
      </w:pPr>
      <w:r>
        <w:rPr>
          <w:bCs/>
          <w:color w:val="000000" w:themeColor="text1"/>
          <w14:textFill>
            <w14:solidFill>
              <w14:schemeClr w14:val="tx1"/>
            </w14:solidFill>
          </w14:textFill>
        </w:rPr>
        <w:t>表3.2-</w:t>
      </w:r>
      <w:r>
        <w:rPr>
          <w:rFonts w:hint="eastAsia"/>
          <w:bCs/>
          <w:color w:val="000000" w:themeColor="text1"/>
          <w:lang w:val="en-US" w:eastAsia="zh-CN"/>
          <w14:textFill>
            <w14:solidFill>
              <w14:schemeClr w14:val="tx1"/>
            </w14:solidFill>
          </w14:textFill>
        </w:rPr>
        <w:t>3</w:t>
      </w:r>
      <w:r>
        <w:rPr>
          <w:bCs/>
          <w:color w:val="000000" w:themeColor="text1"/>
          <w14:textFill>
            <w14:solidFill>
              <w14:schemeClr w14:val="tx1"/>
            </w14:solidFill>
          </w14:textFill>
        </w:rPr>
        <w:t xml:space="preserve">  本项目与新疆维吾尔自治区</w:t>
      </w:r>
      <w:r>
        <w:rPr>
          <w:rFonts w:hint="eastAsia"/>
          <w:bCs/>
          <w:color w:val="000000" w:themeColor="text1"/>
          <w14:textFill>
            <w14:solidFill>
              <w14:schemeClr w14:val="tx1"/>
            </w14:solidFill>
          </w14:textFill>
        </w:rPr>
        <w:t>管控</w:t>
      </w:r>
      <w:r>
        <w:rPr>
          <w:bCs/>
          <w:color w:val="000000" w:themeColor="text1"/>
          <w14:textFill>
            <w14:solidFill>
              <w14:schemeClr w14:val="tx1"/>
            </w14:solidFill>
          </w14:textFill>
        </w:rPr>
        <w:t>符合性分析一览表</w:t>
      </w:r>
    </w:p>
    <w:tbl>
      <w:tblPr>
        <w:tblStyle w:val="2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8"/>
        <w:gridCol w:w="1100"/>
        <w:gridCol w:w="6985"/>
        <w:gridCol w:w="3058"/>
        <w:gridCol w:w="1032"/>
      </w:tblGrid>
      <w:tr w14:paraId="40A6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pct"/>
            <w:vAlign w:val="center"/>
          </w:tcPr>
          <w:p w14:paraId="262B65B0">
            <w:pPr>
              <w:pStyle w:val="41"/>
              <w:spacing w:line="240" w:lineRule="auto"/>
              <w:ind w:firstLineChars="0"/>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文件名称</w:t>
            </w:r>
          </w:p>
        </w:tc>
        <w:tc>
          <w:tcPr>
            <w:tcW w:w="2853" w:type="pct"/>
            <w:gridSpan w:val="2"/>
            <w:vAlign w:val="center"/>
          </w:tcPr>
          <w:p w14:paraId="69E8D3C5">
            <w:pPr>
              <w:pStyle w:val="41"/>
              <w:spacing w:line="240" w:lineRule="auto"/>
              <w:ind w:firstLineChars="0"/>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环境管理政策有关要求</w:t>
            </w:r>
          </w:p>
        </w:tc>
        <w:tc>
          <w:tcPr>
            <w:tcW w:w="1079" w:type="pct"/>
            <w:vAlign w:val="center"/>
          </w:tcPr>
          <w:p w14:paraId="24112DAB">
            <w:pPr>
              <w:pStyle w:val="41"/>
              <w:spacing w:line="240" w:lineRule="auto"/>
              <w:ind w:left="422" w:hanging="422"/>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本项目情况</w:t>
            </w:r>
          </w:p>
        </w:tc>
        <w:tc>
          <w:tcPr>
            <w:tcW w:w="364" w:type="pct"/>
            <w:vAlign w:val="center"/>
          </w:tcPr>
          <w:p w14:paraId="4211D1B0">
            <w:pPr>
              <w:pStyle w:val="41"/>
              <w:spacing w:line="240" w:lineRule="auto"/>
              <w:ind w:left="422" w:hanging="422"/>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相符性</w:t>
            </w:r>
          </w:p>
        </w:tc>
      </w:tr>
      <w:tr w14:paraId="2A75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pct"/>
            <w:vMerge w:val="restart"/>
            <w:vAlign w:val="center"/>
          </w:tcPr>
          <w:p w14:paraId="3F6FC5E2">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《新疆维吾尔自治区生态环境分区管控动态更新成果》（新环环评发（2024）157号）</w:t>
            </w:r>
          </w:p>
        </w:tc>
        <w:tc>
          <w:tcPr>
            <w:tcW w:w="388" w:type="pct"/>
            <w:vAlign w:val="center"/>
          </w:tcPr>
          <w:p w14:paraId="3E0736F5">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生态保护红线</w:t>
            </w:r>
          </w:p>
        </w:tc>
        <w:tc>
          <w:tcPr>
            <w:tcW w:w="2465" w:type="pct"/>
            <w:vAlign w:val="center"/>
          </w:tcPr>
          <w:p w14:paraId="35D4364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按照“生态功能不降低、面积不减少、性质不改变”的基本要求，对划定的生态保护红线实施严格管控，保障和维护国家生态安全的底线和生命线。</w:t>
            </w:r>
          </w:p>
        </w:tc>
        <w:tc>
          <w:tcPr>
            <w:tcW w:w="1079" w:type="pct"/>
            <w:vAlign w:val="center"/>
          </w:tcPr>
          <w:p w14:paraId="29327957">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本项目位于新疆</w:t>
            </w:r>
            <w:r>
              <w:rPr>
                <w:rFonts w:ascii="Times New Roman" w:hAnsi="Times New Roman"/>
                <w:bCs/>
                <w:snapToGrid w:val="0"/>
                <w:color w:val="000000" w:themeColor="text1"/>
                <w:sz w:val="21"/>
                <w14:textFill>
                  <w14:solidFill>
                    <w14:schemeClr w14:val="tx1"/>
                  </w14:solidFill>
                </w14:textFill>
              </w:rPr>
              <w:t>巴音郭楞蒙古自治州若羌县</w:t>
            </w:r>
            <w:r>
              <w:rPr>
                <w:rFonts w:ascii="Times New Roman" w:hAnsi="Times New Roman"/>
                <w:color w:val="000000" w:themeColor="text1"/>
                <w:sz w:val="21"/>
                <w14:textFill>
                  <w14:solidFill>
                    <w14:schemeClr w14:val="tx1"/>
                  </w14:solidFill>
                </w14:textFill>
              </w:rPr>
              <w:t>，评价范围内不涉及生态保护红线。</w:t>
            </w:r>
          </w:p>
        </w:tc>
        <w:tc>
          <w:tcPr>
            <w:tcW w:w="364" w:type="pct"/>
            <w:vAlign w:val="center"/>
          </w:tcPr>
          <w:p w14:paraId="1065BFA5">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0DD1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pct"/>
            <w:vMerge w:val="continue"/>
            <w:vAlign w:val="center"/>
          </w:tcPr>
          <w:p w14:paraId="089ABE93">
            <w:pPr>
              <w:pStyle w:val="41"/>
              <w:spacing w:line="240" w:lineRule="auto"/>
              <w:ind w:left="420" w:hanging="420"/>
              <w:rPr>
                <w:rFonts w:ascii="Times New Roman" w:hAnsi="Times New Roman"/>
                <w:color w:val="000000" w:themeColor="text1"/>
                <w:sz w:val="21"/>
                <w14:textFill>
                  <w14:solidFill>
                    <w14:schemeClr w14:val="tx1"/>
                  </w14:solidFill>
                </w14:textFill>
              </w:rPr>
            </w:pPr>
          </w:p>
        </w:tc>
        <w:tc>
          <w:tcPr>
            <w:tcW w:w="388" w:type="pct"/>
            <w:vAlign w:val="center"/>
          </w:tcPr>
          <w:p w14:paraId="338DD2B6">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环境质量底线</w:t>
            </w:r>
          </w:p>
        </w:tc>
        <w:tc>
          <w:tcPr>
            <w:tcW w:w="2465" w:type="pct"/>
            <w:vAlign w:val="center"/>
          </w:tcPr>
          <w:p w14:paraId="62D96AA1">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全区水环境质量持续改善，受污染地表水体得到有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p>
        </w:tc>
        <w:tc>
          <w:tcPr>
            <w:tcW w:w="1079" w:type="pct"/>
            <w:vAlign w:val="center"/>
          </w:tcPr>
          <w:p w14:paraId="49DC8C8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本项目运营期无废气废水排放，不会影响区域环境质量。</w:t>
            </w:r>
          </w:p>
        </w:tc>
        <w:tc>
          <w:tcPr>
            <w:tcW w:w="364" w:type="pct"/>
            <w:vAlign w:val="center"/>
          </w:tcPr>
          <w:p w14:paraId="2D075841">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5E31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pct"/>
            <w:vMerge w:val="continue"/>
            <w:vAlign w:val="center"/>
          </w:tcPr>
          <w:p w14:paraId="3A3CF50A">
            <w:pPr>
              <w:pStyle w:val="41"/>
              <w:spacing w:line="240" w:lineRule="auto"/>
              <w:ind w:left="420" w:hanging="420"/>
              <w:rPr>
                <w:rFonts w:ascii="Times New Roman" w:hAnsi="Times New Roman"/>
                <w:color w:val="000000" w:themeColor="text1"/>
                <w:sz w:val="21"/>
                <w14:textFill>
                  <w14:solidFill>
                    <w14:schemeClr w14:val="tx1"/>
                  </w14:solidFill>
                </w14:textFill>
              </w:rPr>
            </w:pPr>
          </w:p>
        </w:tc>
        <w:tc>
          <w:tcPr>
            <w:tcW w:w="388" w:type="pct"/>
            <w:vAlign w:val="center"/>
          </w:tcPr>
          <w:p w14:paraId="4F9152FA">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资源利用上线</w:t>
            </w:r>
          </w:p>
        </w:tc>
        <w:tc>
          <w:tcPr>
            <w:tcW w:w="2465" w:type="pct"/>
            <w:vAlign w:val="center"/>
          </w:tcPr>
          <w:p w14:paraId="15293290">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强化节约集约利用，持续提升资源能源利用效率，水资源、土地资源、能源消耗等达到国家、自治区下达的总量和强度控制目标。加快区域低碳发展，积极推动乌鲁木齐市、昌吉市、伊宁市、和田市等4个国家级低碳试点城市发挥低碳试点示范和引领作用。</w:t>
            </w:r>
          </w:p>
        </w:tc>
        <w:tc>
          <w:tcPr>
            <w:tcW w:w="1079" w:type="pct"/>
            <w:vAlign w:val="center"/>
          </w:tcPr>
          <w:p w14:paraId="68858DCF">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本项目属于输变电线路工程，不涉及资源消耗。</w:t>
            </w:r>
          </w:p>
        </w:tc>
        <w:tc>
          <w:tcPr>
            <w:tcW w:w="364" w:type="pct"/>
            <w:vAlign w:val="center"/>
          </w:tcPr>
          <w:p w14:paraId="669E33AF">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5EEB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pct"/>
            <w:vMerge w:val="continue"/>
            <w:vAlign w:val="center"/>
          </w:tcPr>
          <w:p w14:paraId="34A97062">
            <w:pPr>
              <w:pStyle w:val="41"/>
              <w:spacing w:line="240" w:lineRule="auto"/>
              <w:ind w:left="420" w:hanging="420"/>
              <w:rPr>
                <w:rFonts w:ascii="Times New Roman" w:hAnsi="Times New Roman"/>
                <w:color w:val="000000" w:themeColor="text1"/>
                <w:sz w:val="21"/>
                <w14:textFill>
                  <w14:solidFill>
                    <w14:schemeClr w14:val="tx1"/>
                  </w14:solidFill>
                </w14:textFill>
              </w:rPr>
            </w:pPr>
          </w:p>
        </w:tc>
        <w:tc>
          <w:tcPr>
            <w:tcW w:w="388" w:type="pct"/>
            <w:vAlign w:val="center"/>
          </w:tcPr>
          <w:p w14:paraId="63491E9D">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生态环境准入清单</w:t>
            </w:r>
          </w:p>
        </w:tc>
        <w:tc>
          <w:tcPr>
            <w:tcW w:w="2465" w:type="pct"/>
            <w:vAlign w:val="center"/>
          </w:tcPr>
          <w:p w14:paraId="07286406">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自治区共划定1777个环境管控单元，分为优先保护单元、重点管控单元和一般管控单元三类，实施分类管控。优先保护单元925个。重点管控单元713个。一般管控单元139个，主要包括优先保护单元和重点管控单元之外的其他区域。</w:t>
            </w:r>
          </w:p>
        </w:tc>
        <w:tc>
          <w:tcPr>
            <w:tcW w:w="1079" w:type="pct"/>
            <w:vAlign w:val="center"/>
          </w:tcPr>
          <w:p w14:paraId="3391FEBD">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本项目建设地点位于新疆</w:t>
            </w:r>
            <w:r>
              <w:rPr>
                <w:rFonts w:ascii="Times New Roman" w:hAnsi="Times New Roman"/>
                <w:bCs/>
                <w:snapToGrid w:val="0"/>
                <w:color w:val="000000" w:themeColor="text1"/>
                <w:sz w:val="21"/>
                <w14:textFill>
                  <w14:solidFill>
                    <w14:schemeClr w14:val="tx1"/>
                  </w14:solidFill>
                </w14:textFill>
              </w:rPr>
              <w:t>巴音郭楞蒙古自治州若羌县</w:t>
            </w:r>
            <w:r>
              <w:rPr>
                <w:rFonts w:ascii="Times New Roman" w:hAnsi="Times New Roman"/>
                <w:color w:val="000000" w:themeColor="text1"/>
                <w:sz w:val="21"/>
                <w14:textFill>
                  <w14:solidFill>
                    <w14:schemeClr w14:val="tx1"/>
                  </w14:solidFill>
                </w14:textFill>
              </w:rPr>
              <w:t>，属于一般管控单元。</w:t>
            </w:r>
          </w:p>
        </w:tc>
        <w:tc>
          <w:tcPr>
            <w:tcW w:w="364" w:type="pct"/>
            <w:vAlign w:val="center"/>
          </w:tcPr>
          <w:p w14:paraId="02E67A39">
            <w:pPr>
              <w:pStyle w:val="41"/>
              <w:spacing w:line="240" w:lineRule="auto"/>
              <w:ind w:left="420" w:hanging="42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bl>
    <w:p w14:paraId="0B218E1E">
      <w:pPr>
        <w:pStyle w:val="38"/>
        <w:spacing w:before="156"/>
        <w:ind w:firstLine="422"/>
        <w:rPr>
          <w:bCs/>
          <w:color w:val="000000" w:themeColor="text1"/>
          <w14:textFill>
            <w14:solidFill>
              <w14:schemeClr w14:val="tx1"/>
            </w14:solidFill>
          </w14:textFill>
        </w:rPr>
      </w:pPr>
      <w:r>
        <w:rPr>
          <w:bCs/>
          <w:color w:val="000000" w:themeColor="text1"/>
          <w14:textFill>
            <w14:solidFill>
              <w14:schemeClr w14:val="tx1"/>
            </w14:solidFill>
          </w14:textFill>
        </w:rPr>
        <w:t>表3.2-</w:t>
      </w:r>
      <w:r>
        <w:rPr>
          <w:rFonts w:hint="eastAsia"/>
          <w:bCs/>
          <w:color w:val="000000" w:themeColor="text1"/>
          <w:lang w:val="en-US" w:eastAsia="zh-CN"/>
          <w14:textFill>
            <w14:solidFill>
              <w14:schemeClr w14:val="tx1"/>
            </w14:solidFill>
          </w14:textFill>
        </w:rPr>
        <w:t>4</w:t>
      </w:r>
      <w:r>
        <w:rPr>
          <w:bCs/>
          <w:color w:val="000000" w:themeColor="text1"/>
          <w14:textFill>
            <w14:solidFill>
              <w14:schemeClr w14:val="tx1"/>
            </w14:solidFill>
          </w14:textFill>
        </w:rPr>
        <w:t xml:space="preserve">  本项目与新疆维吾尔自治区、</w:t>
      </w:r>
      <w:r>
        <w:rPr>
          <w:rFonts w:hint="eastAsia"/>
          <w:bCs/>
          <w:color w:val="000000" w:themeColor="text1"/>
          <w14:textFill>
            <w14:solidFill>
              <w14:schemeClr w14:val="tx1"/>
            </w14:solidFill>
          </w14:textFill>
        </w:rPr>
        <w:t>七大片区</w:t>
      </w:r>
      <w:r>
        <w:rPr>
          <w:bCs/>
          <w:color w:val="000000" w:themeColor="text1"/>
          <w14:textFill>
            <w14:solidFill>
              <w14:schemeClr w14:val="tx1"/>
            </w14:solidFill>
          </w14:textFill>
        </w:rPr>
        <w:t>生态环境准入清单符合性分析一览表</w:t>
      </w:r>
    </w:p>
    <w:tbl>
      <w:tblPr>
        <w:tblStyle w:val="27"/>
        <w:tblW w:w="141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803"/>
        <w:gridCol w:w="982"/>
        <w:gridCol w:w="6875"/>
        <w:gridCol w:w="3304"/>
        <w:gridCol w:w="803"/>
      </w:tblGrid>
      <w:tr w14:paraId="201A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Align w:val="center"/>
          </w:tcPr>
          <w:p w14:paraId="2155D3FE">
            <w:pPr>
              <w:pStyle w:val="41"/>
              <w:spacing w:line="240" w:lineRule="auto"/>
              <w:ind w:firstLineChars="0"/>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文件名称</w:t>
            </w:r>
          </w:p>
        </w:tc>
        <w:tc>
          <w:tcPr>
            <w:tcW w:w="1785" w:type="dxa"/>
            <w:gridSpan w:val="2"/>
            <w:vAlign w:val="center"/>
          </w:tcPr>
          <w:p w14:paraId="74B26880">
            <w:pPr>
              <w:pStyle w:val="41"/>
              <w:spacing w:line="240" w:lineRule="auto"/>
              <w:ind w:firstLineChars="0"/>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管控纬度</w:t>
            </w:r>
          </w:p>
        </w:tc>
        <w:tc>
          <w:tcPr>
            <w:tcW w:w="6875" w:type="dxa"/>
            <w:vAlign w:val="center"/>
          </w:tcPr>
          <w:p w14:paraId="7B5FDD4C">
            <w:pPr>
              <w:pStyle w:val="41"/>
              <w:spacing w:line="240" w:lineRule="auto"/>
              <w:ind w:firstLineChars="0"/>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管控要求</w:t>
            </w:r>
          </w:p>
        </w:tc>
        <w:tc>
          <w:tcPr>
            <w:tcW w:w="3304" w:type="dxa"/>
            <w:vAlign w:val="center"/>
          </w:tcPr>
          <w:p w14:paraId="27B9B4E8">
            <w:pPr>
              <w:pStyle w:val="41"/>
              <w:spacing w:line="240" w:lineRule="auto"/>
              <w:ind w:firstLineChars="0"/>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本项目情况</w:t>
            </w:r>
          </w:p>
        </w:tc>
        <w:tc>
          <w:tcPr>
            <w:tcW w:w="803" w:type="dxa"/>
            <w:vAlign w:val="center"/>
          </w:tcPr>
          <w:p w14:paraId="1A5DEB58">
            <w:pPr>
              <w:pStyle w:val="41"/>
              <w:spacing w:line="240" w:lineRule="auto"/>
              <w:ind w:firstLineChars="0"/>
              <w:rPr>
                <w:rFonts w:ascii="Times New Roman" w:hAnsi="Times New Roman"/>
                <w:b/>
                <w:bCs/>
                <w:color w:val="000000" w:themeColor="text1"/>
                <w:sz w:val="21"/>
                <w14:textFill>
                  <w14:solidFill>
                    <w14:schemeClr w14:val="tx1"/>
                  </w14:solidFill>
                </w14:textFill>
              </w:rPr>
            </w:pPr>
            <w:r>
              <w:rPr>
                <w:rFonts w:ascii="Times New Roman" w:hAnsi="Times New Roman"/>
                <w:b/>
                <w:bCs/>
                <w:color w:val="000000" w:themeColor="text1"/>
                <w:sz w:val="21"/>
                <w14:textFill>
                  <w14:solidFill>
                    <w14:schemeClr w14:val="tx1"/>
                  </w14:solidFill>
                </w14:textFill>
              </w:rPr>
              <w:t>相符性</w:t>
            </w:r>
          </w:p>
        </w:tc>
      </w:tr>
      <w:tr w14:paraId="646A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restart"/>
            <w:vAlign w:val="center"/>
          </w:tcPr>
          <w:p w14:paraId="2DB85B74">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《新疆维吾尔自治区生态环境分区管控动态更新成果》（新环环评发（2024）157号）</w:t>
            </w:r>
          </w:p>
        </w:tc>
        <w:tc>
          <w:tcPr>
            <w:tcW w:w="803" w:type="dxa"/>
            <w:vMerge w:val="restart"/>
            <w:vAlign w:val="center"/>
          </w:tcPr>
          <w:p w14:paraId="14994091">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自治区总体管控要求</w:t>
            </w:r>
          </w:p>
        </w:tc>
        <w:tc>
          <w:tcPr>
            <w:tcW w:w="982" w:type="dxa"/>
            <w:vMerge w:val="restart"/>
            <w:vAlign w:val="center"/>
          </w:tcPr>
          <w:p w14:paraId="564EC2D5">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空间布局约束</w:t>
            </w:r>
          </w:p>
        </w:tc>
        <w:tc>
          <w:tcPr>
            <w:tcW w:w="6875" w:type="dxa"/>
            <w:shd w:val="clear" w:color="auto" w:fill="auto"/>
          </w:tcPr>
          <w:p w14:paraId="26953C26">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〔A1.1-3〕禁止在饮用水水源保护区、风景名胜区、自然保护区的核心区和缓冲区、城镇居民区、文化教育科学研究区等人口集中区域以及法律、法规规定的其他禁止养殖区域建设畜禽养殖场、养殖小区。</w:t>
            </w:r>
          </w:p>
        </w:tc>
        <w:tc>
          <w:tcPr>
            <w:tcW w:w="3304" w:type="dxa"/>
            <w:vAlign w:val="center"/>
          </w:tcPr>
          <w:p w14:paraId="46313E51">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本项目为输变电</w:t>
            </w:r>
            <w:r>
              <w:rPr>
                <w:rFonts w:hint="eastAsia" w:ascii="Times New Roman" w:hAnsi="Times New Roman"/>
                <w:color w:val="000000" w:themeColor="text1"/>
                <w:sz w:val="21"/>
                <w14:textFill>
                  <w14:solidFill>
                    <w14:schemeClr w14:val="tx1"/>
                  </w14:solidFill>
                </w14:textFill>
              </w:rPr>
              <w:t>线路</w:t>
            </w:r>
            <w:r>
              <w:rPr>
                <w:rFonts w:ascii="Times New Roman" w:hAnsi="Times New Roman"/>
                <w:color w:val="000000" w:themeColor="text1"/>
                <w:sz w:val="21"/>
                <w14:textFill>
                  <w14:solidFill>
                    <w14:schemeClr w14:val="tx1"/>
                  </w14:solidFill>
                </w14:textFill>
              </w:rPr>
              <w:t>工程，属于电力基础设施项目，不属于养殖业。</w:t>
            </w:r>
          </w:p>
        </w:tc>
        <w:tc>
          <w:tcPr>
            <w:tcW w:w="803" w:type="dxa"/>
            <w:vAlign w:val="center"/>
          </w:tcPr>
          <w:p w14:paraId="6A30925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1329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5FD9F549">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47A3E4AF">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7588EE61">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212DF328">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〔A1.1-4〕禁止在水源涵养区、地下水源、饮用水源、自然保护区、风景名胜区、森林公园、重要湿地及人群密集区等生态敏感区域内进行煤炭、石油、天然气开发。</w:t>
            </w:r>
          </w:p>
        </w:tc>
        <w:tc>
          <w:tcPr>
            <w:tcW w:w="3304" w:type="dxa"/>
            <w:vAlign w:val="center"/>
          </w:tcPr>
          <w:p w14:paraId="7AD5F901">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本项目为输变电</w:t>
            </w:r>
            <w:r>
              <w:rPr>
                <w:rFonts w:hint="eastAsia" w:ascii="Times New Roman" w:hAnsi="Times New Roman"/>
                <w:color w:val="000000" w:themeColor="text1"/>
                <w:sz w:val="21"/>
                <w14:textFill>
                  <w14:solidFill>
                    <w14:schemeClr w14:val="tx1"/>
                  </w14:solidFill>
                </w14:textFill>
              </w:rPr>
              <w:t>线路</w:t>
            </w:r>
            <w:r>
              <w:rPr>
                <w:rFonts w:ascii="Times New Roman" w:hAnsi="Times New Roman"/>
                <w:color w:val="000000" w:themeColor="text1"/>
                <w:sz w:val="21"/>
                <w14:textFill>
                  <w14:solidFill>
                    <w14:schemeClr w14:val="tx1"/>
                  </w14:solidFill>
                </w14:textFill>
              </w:rPr>
              <w:t>工程，属于电力基础设施项目，不属于煤炭、石油、天然气开发行业。</w:t>
            </w:r>
          </w:p>
        </w:tc>
        <w:tc>
          <w:tcPr>
            <w:tcW w:w="803" w:type="dxa"/>
            <w:vAlign w:val="center"/>
          </w:tcPr>
          <w:p w14:paraId="7DBE9365">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58AB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3B906875">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2E041AFC">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6E8BFE26">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0BA1F86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〔A1.1-5〕禁止下列破坏湿地及其生态功能的行为：</w:t>
            </w:r>
          </w:p>
          <w:p w14:paraId="5FC295C0">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一</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开</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围</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垦、排干自然湿地，永久性截断自然湿地水源：</w:t>
            </w:r>
          </w:p>
          <w:p w14:paraId="46F7D1E6">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二</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擅自填埋自然湿地，擅自采砂、采矿、取土；</w:t>
            </w:r>
          </w:p>
          <w:p w14:paraId="2C3C34A8">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三</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排放不符合水污染物排放标准的工业废水、生活污水及其他污染湿地的废水、污水，倾倒、堆放、丢弃、遗撒固体废物：</w:t>
            </w:r>
          </w:p>
          <w:p w14:paraId="1CBCCB2E">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四</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过度放牧或者滥采野生植物，过度捕捞或者灭绝式捕捞，过度施肥、投药、投放饵料等污染湿地的种植养殖行为；</w:t>
            </w:r>
          </w:p>
          <w:p w14:paraId="11CB5564">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五</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其他破坏湿地及其生态功能的行为。</w:t>
            </w:r>
          </w:p>
        </w:tc>
        <w:tc>
          <w:tcPr>
            <w:tcW w:w="3304" w:type="dxa"/>
            <w:vAlign w:val="center"/>
          </w:tcPr>
          <w:p w14:paraId="4097A137">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本项目不属于破坏湿地及其生态功能的行为。</w:t>
            </w:r>
          </w:p>
        </w:tc>
        <w:tc>
          <w:tcPr>
            <w:tcW w:w="803" w:type="dxa"/>
            <w:vAlign w:val="center"/>
          </w:tcPr>
          <w:p w14:paraId="14108430">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147C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56569C07">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53ACA6B0">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2183883A">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4E0DEE30">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〔A1.1-6〕禁止在自治区行政区域内引进能</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水</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耗不符合相关国家标准中准入值要求且污染物排放和环境风险防控不符合国家</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地方</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标准及有关产业准入条件的高污染</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排放</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、高能</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水</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耗、高环境风险的工业项目。</w:t>
            </w:r>
          </w:p>
        </w:tc>
        <w:tc>
          <w:tcPr>
            <w:tcW w:w="3304" w:type="dxa"/>
            <w:vAlign w:val="center"/>
          </w:tcPr>
          <w:p w14:paraId="07778E78">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本项目为输变电线路项目，不涉及变电站，运营期无废水产生。</w:t>
            </w:r>
          </w:p>
        </w:tc>
        <w:tc>
          <w:tcPr>
            <w:tcW w:w="803" w:type="dxa"/>
            <w:vAlign w:val="center"/>
          </w:tcPr>
          <w:p w14:paraId="10A13BB5">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4845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7E7E5DAC">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50DC7B9B">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357EC758">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5BB2533C">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1.1-7〕①坚决遏制高耗能高排放低水平项目盲目发展。严把高耗能高排放低水平项目准入关口，严格落实污染物排放区域削减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3304" w:type="dxa"/>
            <w:vAlign w:val="center"/>
          </w:tcPr>
          <w:p w14:paraId="632FFD96">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本项目为输变电线路项目，不涉及变电站运营期无废水、废气产生。</w:t>
            </w:r>
          </w:p>
        </w:tc>
        <w:tc>
          <w:tcPr>
            <w:tcW w:w="803" w:type="dxa"/>
            <w:vAlign w:val="center"/>
          </w:tcPr>
          <w:p w14:paraId="432046B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4A40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1B3929F3">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7B0AFF9A">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6FFCBD37">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vAlign w:val="center"/>
          </w:tcPr>
          <w:p w14:paraId="4DF3D400">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1.4-3〕石化、化工、煤化工、制药、农药等挥发性有机物排放重点行业建设项目，以及工业涂装、包装印刷、油品储运销等涉VOCs排放的项目，在符合国家产业政策和清洁生产水平要求、满足污染物排放标准以及污染物排放总量控制指标的前提下，必须在依法设立、环境保护基础设施齐全并经规划环评的产业园区内布设。推进工业园区和企业集群建设涉VOCs“绿岛”项目，统筹规划建设一批集中涂装中心、活性炭集中处理中心、溶剂回收中心等，实现VOCs集中高效处理。</w:t>
            </w:r>
          </w:p>
        </w:tc>
        <w:tc>
          <w:tcPr>
            <w:tcW w:w="3304" w:type="dxa"/>
            <w:vAlign w:val="center"/>
          </w:tcPr>
          <w:p w14:paraId="1E18E8EE">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本项目不属于石化、化工、煤化工、制药、农药等挥发性有机物排放重点行业建设项目，以及工业涂装、包装印刷、油品储运销等涉VOCs排放的项目。</w:t>
            </w:r>
          </w:p>
        </w:tc>
        <w:tc>
          <w:tcPr>
            <w:tcW w:w="803" w:type="dxa"/>
            <w:vAlign w:val="center"/>
          </w:tcPr>
          <w:p w14:paraId="3CACBFA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2789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2E4CE6CF">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573F6ED6">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378BE734">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0D31791B">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〔A1.1-9〕严禁新建自治区《禁止、控制和限制危险化学品目录》中淘汰类、禁止类危险化学品化工项目。严格执行生态保护红线、永久基本农田管控要求，禁止新</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改、扩</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含化工集中区</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w:t>
            </w:r>
          </w:p>
        </w:tc>
        <w:tc>
          <w:tcPr>
            <w:tcW w:w="3304" w:type="dxa"/>
            <w:vAlign w:val="center"/>
          </w:tcPr>
          <w:p w14:paraId="3DFFB1AA">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本项目不属于自治区《禁止、控制和限制危险化学品目录》中淘汰类、禁止类危险化学品化工项目。</w:t>
            </w:r>
          </w:p>
        </w:tc>
        <w:tc>
          <w:tcPr>
            <w:tcW w:w="803" w:type="dxa"/>
            <w:vAlign w:val="center"/>
          </w:tcPr>
          <w:p w14:paraId="154F8AB9">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16DD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61C0D1ED">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3D426B62">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381E52DD">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7E5DADF7">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〔A1.2-1〕严格控制缺水地区、水污染严重区域和敏感区域高耗水、高污染行业发展。</w:t>
            </w:r>
          </w:p>
        </w:tc>
        <w:tc>
          <w:tcPr>
            <w:tcW w:w="3304" w:type="dxa"/>
            <w:vAlign w:val="center"/>
          </w:tcPr>
          <w:p w14:paraId="6AE7DA15">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本项目为输变电线路项目，运营期无水资源消耗。</w:t>
            </w:r>
          </w:p>
        </w:tc>
        <w:tc>
          <w:tcPr>
            <w:tcW w:w="803" w:type="dxa"/>
            <w:vAlign w:val="center"/>
          </w:tcPr>
          <w:p w14:paraId="5BA6537C">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05D4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4F41A653">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249698E4">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40743B65">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46175FFE">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3304" w:type="dxa"/>
            <w:vAlign w:val="center"/>
          </w:tcPr>
          <w:p w14:paraId="09CA65FF">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本项目不涉及占用永久基本农田。</w:t>
            </w:r>
          </w:p>
        </w:tc>
        <w:tc>
          <w:tcPr>
            <w:tcW w:w="803" w:type="dxa"/>
            <w:vAlign w:val="center"/>
          </w:tcPr>
          <w:p w14:paraId="34B7AF7E">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532C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3DF541E7">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04EE2253">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3EA770BE">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389CF168">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〔A1.2-3〕以用途变更为住宅、公共管理与公共服务用地的地块为重点，严格建设用地准入管理和风险管控，未依法完成土壤污染状况调查或风险评估的地块，不得开工建设与风险管控和修复无关的项目。</w:t>
            </w:r>
          </w:p>
        </w:tc>
        <w:tc>
          <w:tcPr>
            <w:tcW w:w="3304" w:type="dxa"/>
            <w:vAlign w:val="center"/>
          </w:tcPr>
          <w:p w14:paraId="77E5E816">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本项目不涉及土壤污染地块。</w:t>
            </w:r>
          </w:p>
        </w:tc>
        <w:tc>
          <w:tcPr>
            <w:tcW w:w="803" w:type="dxa"/>
            <w:vAlign w:val="center"/>
          </w:tcPr>
          <w:p w14:paraId="4A0594DE">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25E0F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7E668B25">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3EF50267">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5869FBEA">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74F21952">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〔A1.2-4〕严格控制建设项目占用湿地。因国家和自治区重点建设工程、基础设施建设，以及重点公益性项目建设，确需占用湿地的，应当按照有关法律、法规规定的权限和程序办理批准手续。</w:t>
            </w:r>
          </w:p>
        </w:tc>
        <w:tc>
          <w:tcPr>
            <w:tcW w:w="3304" w:type="dxa"/>
            <w:vAlign w:val="center"/>
          </w:tcPr>
          <w:p w14:paraId="06C24C6A">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本项目未占用湿地。</w:t>
            </w:r>
          </w:p>
        </w:tc>
        <w:tc>
          <w:tcPr>
            <w:tcW w:w="803" w:type="dxa"/>
            <w:vAlign w:val="center"/>
          </w:tcPr>
          <w:p w14:paraId="66FA2817">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2046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41E23E2A">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1F77BAC2">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4F4474B9">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103ECBA8">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〔A1.2-5〕严格管控自然保护地范围内非生态活动，稳妥推进核心区内居民、耕地有序退出，矿权依法依规退出。</w:t>
            </w:r>
          </w:p>
        </w:tc>
        <w:tc>
          <w:tcPr>
            <w:tcW w:w="3304" w:type="dxa"/>
            <w:vAlign w:val="center"/>
          </w:tcPr>
          <w:p w14:paraId="54179577">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本项目未占用自然保护地。</w:t>
            </w:r>
          </w:p>
        </w:tc>
        <w:tc>
          <w:tcPr>
            <w:tcW w:w="803" w:type="dxa"/>
            <w:vAlign w:val="center"/>
          </w:tcPr>
          <w:p w14:paraId="27CDE13B">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6D65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4574EDF8">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31DA1A63">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173312E5">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1D68A73F">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〔A1.3-1〕任何单位和个人不得在水源涵养区、饮用水水源保护区内和河流、湖泊、水库周围建设重化工、涉重金属等工业污染项目；对已建成的工业污染项目，当地人民政府应当组织限期搬迁。</w:t>
            </w:r>
          </w:p>
        </w:tc>
        <w:tc>
          <w:tcPr>
            <w:tcW w:w="3304" w:type="dxa"/>
            <w:vAlign w:val="center"/>
          </w:tcPr>
          <w:p w14:paraId="52E4DD60">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本项目不在水源涵养区、饮用水水源保护区内。</w:t>
            </w:r>
          </w:p>
        </w:tc>
        <w:tc>
          <w:tcPr>
            <w:tcW w:w="803" w:type="dxa"/>
            <w:vAlign w:val="center"/>
          </w:tcPr>
          <w:p w14:paraId="310D7C46">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20AA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650B8655">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062D56B4">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1463F97B">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5A669F1A">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3304" w:type="dxa"/>
            <w:vAlign w:val="center"/>
          </w:tcPr>
          <w:p w14:paraId="2DF283DC">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建设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803" w:type="dxa"/>
            <w:vAlign w:val="center"/>
          </w:tcPr>
          <w:p w14:paraId="4BB9597A">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2854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45206349">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068DB60C">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restart"/>
            <w:vAlign w:val="center"/>
          </w:tcPr>
          <w:p w14:paraId="058DABA0">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污染物排放管控</w:t>
            </w:r>
          </w:p>
        </w:tc>
        <w:tc>
          <w:tcPr>
            <w:tcW w:w="6875" w:type="dxa"/>
            <w:shd w:val="clear" w:color="auto" w:fill="auto"/>
          </w:tcPr>
          <w:p w14:paraId="26FDD49F">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2.1-1〕新、改、扩建重点行业建设项目应符合“三线一单”、产业政策、区域环评、规划环评和行业环境准入管控要求。重点区域的新、改、扩建重点行业建设项目应遵循重点重金属污染物排放“减量替代”原则。</w:t>
            </w:r>
          </w:p>
        </w:tc>
        <w:tc>
          <w:tcPr>
            <w:tcW w:w="3304" w:type="dxa"/>
            <w:vAlign w:val="center"/>
          </w:tcPr>
          <w:p w14:paraId="72D293C7">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本项目符合</w:t>
            </w:r>
            <w:r>
              <w:rPr>
                <w:rFonts w:hint="eastAsia" w:ascii="Times New Roman" w:hAnsi="Times New Roman"/>
                <w:color w:val="000000" w:themeColor="text1"/>
                <w:sz w:val="21"/>
                <w14:textFill>
                  <w14:solidFill>
                    <w14:schemeClr w14:val="tx1"/>
                  </w14:solidFill>
                </w14:textFill>
              </w:rPr>
              <w:t>生态环境分区管控</w:t>
            </w:r>
            <w:r>
              <w:rPr>
                <w:rFonts w:ascii="Times New Roman" w:hAnsi="Times New Roman"/>
                <w:color w:val="000000" w:themeColor="text1"/>
                <w:sz w:val="21"/>
                <w14:textFill>
                  <w14:solidFill>
                    <w14:schemeClr w14:val="tx1"/>
                  </w14:solidFill>
                </w14:textFill>
              </w:rPr>
              <w:t>、产</w:t>
            </w:r>
          </w:p>
          <w:p w14:paraId="137C2618">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业政策、区域环评、规划环评和行业环境准入管控要求。</w:t>
            </w:r>
          </w:p>
        </w:tc>
        <w:tc>
          <w:tcPr>
            <w:tcW w:w="803" w:type="dxa"/>
            <w:vAlign w:val="center"/>
          </w:tcPr>
          <w:p w14:paraId="1CCE104E">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0B3E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45FD6E90">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268773D0">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3572C2D0">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0EA86DA6">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〔A2.1-2〕以石化、化工、涂装、医药、包装印刷、油品储运销等行业领域为重点，安全高效推进挥发性有机物综合治理，实施原辅材料和产品源头替代工程。</w:t>
            </w:r>
          </w:p>
        </w:tc>
        <w:tc>
          <w:tcPr>
            <w:tcW w:w="3304" w:type="dxa"/>
            <w:vAlign w:val="center"/>
          </w:tcPr>
          <w:p w14:paraId="6E8322BD">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本项目不涉及石化、化工、涂装、医药、包装印刷、油品储运销。</w:t>
            </w:r>
          </w:p>
        </w:tc>
        <w:tc>
          <w:tcPr>
            <w:tcW w:w="803" w:type="dxa"/>
            <w:vAlign w:val="center"/>
          </w:tcPr>
          <w:p w14:paraId="37D897A9">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4C4C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089F6057">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653F9A88">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541844B2">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42105314">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大宗货物“公转铁”</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、柴油货车治理、锅炉炉窑综合治理等工程项目。全面推行绿色施工，持续推动城市建成区重污染企业搬迁或关闭退出。</w:t>
            </w:r>
          </w:p>
        </w:tc>
        <w:tc>
          <w:tcPr>
            <w:tcW w:w="3304" w:type="dxa"/>
            <w:vAlign w:val="center"/>
          </w:tcPr>
          <w:p w14:paraId="07500E1F">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本项目运营期无废气、废水排放。</w:t>
            </w:r>
          </w:p>
        </w:tc>
        <w:tc>
          <w:tcPr>
            <w:tcW w:w="803" w:type="dxa"/>
            <w:vAlign w:val="center"/>
          </w:tcPr>
          <w:p w14:paraId="253A654C">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0A35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3DD1EA0C">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390C93BE">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328CC182">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5CE857C4">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〔A2.2-4〕强化用水定额管理。推进地下水超采综合治理。开展河湖生态流量</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水量</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确定工作，强化生态用水保障。</w:t>
            </w:r>
          </w:p>
        </w:tc>
        <w:tc>
          <w:tcPr>
            <w:tcW w:w="3304" w:type="dxa"/>
            <w:vAlign w:val="center"/>
          </w:tcPr>
          <w:p w14:paraId="587BD53D">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本项目运营期无水资源消耗。</w:t>
            </w:r>
          </w:p>
        </w:tc>
        <w:tc>
          <w:tcPr>
            <w:tcW w:w="803" w:type="dxa"/>
            <w:vAlign w:val="center"/>
          </w:tcPr>
          <w:p w14:paraId="21B0799A">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6871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4C16FB0F">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28AA4E95">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289585B1">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0B36AFCB">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2.2-7〕强化重点区域地下水环境风险管控，对化学品生产企业、工业集聚区、尾矿库、矿山开采区、危险废物处置场、垃圾填埋场等地下水污染源及周边区域，逐步开展地下水环境状况调查评估，加强风险管控。</w:t>
            </w:r>
          </w:p>
        </w:tc>
        <w:tc>
          <w:tcPr>
            <w:tcW w:w="3304" w:type="dxa"/>
            <w:vAlign w:val="center"/>
          </w:tcPr>
          <w:p w14:paraId="4C02C614">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本项目不涉及化学品生产企业、</w:t>
            </w:r>
          </w:p>
          <w:p w14:paraId="2175C41C">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工业集聚区、尾矿库、矿山开采区、危险废物处置场、垃圾填埋场等。</w:t>
            </w:r>
          </w:p>
        </w:tc>
        <w:tc>
          <w:tcPr>
            <w:tcW w:w="803" w:type="dxa"/>
            <w:vAlign w:val="center"/>
          </w:tcPr>
          <w:p w14:paraId="3DF12DA7">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3DE9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5C5BAF04">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445611FB">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Align w:val="center"/>
          </w:tcPr>
          <w:p w14:paraId="34FCA8BE">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环境风险防控</w:t>
            </w:r>
          </w:p>
        </w:tc>
        <w:tc>
          <w:tcPr>
            <w:tcW w:w="6875" w:type="dxa"/>
            <w:shd w:val="clear" w:color="auto" w:fill="auto"/>
          </w:tcPr>
          <w:p w14:paraId="5BE263B4">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〔A3.1-1〕建立和完善重污染天气兵地联合应急预案、预报预警应急机制和会商联动机制。“乌一昌一石”区域内可能影响相邻行政区域大气环境的项目，兵地间、城市间必须相互征求意见。</w:t>
            </w:r>
          </w:p>
        </w:tc>
        <w:tc>
          <w:tcPr>
            <w:tcW w:w="3304" w:type="dxa"/>
            <w:vAlign w:val="center"/>
          </w:tcPr>
          <w:p w14:paraId="1717D2B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本项目运营期无废气排放。</w:t>
            </w:r>
          </w:p>
        </w:tc>
        <w:tc>
          <w:tcPr>
            <w:tcW w:w="803" w:type="dxa"/>
            <w:vAlign w:val="center"/>
          </w:tcPr>
          <w:p w14:paraId="07FADC7F">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689D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46F2ADAA">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66FD368F">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restart"/>
            <w:vAlign w:val="center"/>
          </w:tcPr>
          <w:p w14:paraId="1B230A0E">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资源利用要求</w:t>
            </w:r>
          </w:p>
        </w:tc>
        <w:tc>
          <w:tcPr>
            <w:tcW w:w="6875" w:type="dxa"/>
            <w:shd w:val="clear" w:color="auto" w:fill="auto"/>
          </w:tcPr>
          <w:p w14:paraId="2A458976">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〔A4.3-4〕鼓励使用清洁能源或电厂热力、工业余热等替代锅炉、炉窑燃料用煤。</w:t>
            </w:r>
          </w:p>
        </w:tc>
        <w:tc>
          <w:tcPr>
            <w:tcW w:w="3304" w:type="dxa"/>
            <w:vAlign w:val="center"/>
          </w:tcPr>
          <w:p w14:paraId="48B74D8E">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不涉及锅炉、炉窑。</w:t>
            </w:r>
          </w:p>
        </w:tc>
        <w:tc>
          <w:tcPr>
            <w:tcW w:w="803" w:type="dxa"/>
            <w:vAlign w:val="center"/>
          </w:tcPr>
          <w:p w14:paraId="3B272AAF">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31EA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780D87BA">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3A1CE3BB">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01594BD6">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59BF0E7B">
            <w:pPr>
              <w:pStyle w:val="41"/>
              <w:spacing w:line="240" w:lineRule="auto"/>
              <w:ind w:firstLineChars="0"/>
              <w:rPr>
                <w:rFonts w:ascii="Times New Roman" w:hAnsi="Times New Roman"/>
                <w:color w:val="000000" w:themeColor="text1"/>
                <w:sz w:val="21"/>
                <w:lang w:eastAsia="en-US"/>
                <w14:textFill>
                  <w14:solidFill>
                    <w14:schemeClr w14:val="tx1"/>
                  </w14:solidFill>
                </w14:textFill>
              </w:rPr>
            </w:pPr>
            <w:r>
              <w:rPr>
                <w:rFonts w:ascii="Times New Roman" w:hAnsi="Times New Roman"/>
                <w:color w:val="000000" w:themeColor="text1"/>
                <w:sz w:val="21"/>
                <w14:textFill>
                  <w14:solidFill>
                    <w14:schemeClr w14:val="tx1"/>
                  </w14:solidFill>
                </w14:textFill>
              </w:rPr>
              <w:t>〔A4.3-6〕深入推进碳达峰碳中和行动。推动能源清洁低碳转型，加强能耗“双控”管理，优化能源消费结构。新增原料用能不纳入能源消费总量控制。持续推进散煤整治。</w:t>
            </w:r>
          </w:p>
        </w:tc>
        <w:tc>
          <w:tcPr>
            <w:tcW w:w="3304" w:type="dxa"/>
            <w:vAlign w:val="center"/>
          </w:tcPr>
          <w:p w14:paraId="119B784D">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不涉及碳排放。</w:t>
            </w:r>
          </w:p>
        </w:tc>
        <w:tc>
          <w:tcPr>
            <w:tcW w:w="803" w:type="dxa"/>
            <w:vAlign w:val="center"/>
          </w:tcPr>
          <w:p w14:paraId="1462EB55">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1503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1721D33E">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07B1BA0F">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Merge w:val="continue"/>
            <w:vAlign w:val="center"/>
          </w:tcPr>
          <w:p w14:paraId="483B7E55">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6875" w:type="dxa"/>
            <w:shd w:val="clear" w:color="auto" w:fill="auto"/>
          </w:tcPr>
          <w:p w14:paraId="2D6A5527">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〔A4.5-1〕加强固体废物源头减量、资源化利用和无害化处置，最</w:t>
            </w:r>
          </w:p>
          <w:p w14:paraId="63517D9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市</w:t>
            </w:r>
            <w:r>
              <w:rPr>
                <w:rFonts w:hint="eastAsia" w:ascii="Times New Roman" w:hAnsi="Times New Roman"/>
                <w:color w:val="000000" w:themeColor="text1"/>
                <w:sz w:val="21"/>
                <w14:textFill>
                  <w14:solidFill>
                    <w14:schemeClr w14:val="tx1"/>
                  </w14:solidFill>
                </w14:textFill>
              </w:rPr>
              <w:t>）</w:t>
            </w:r>
            <w:r>
              <w:rPr>
                <w:rFonts w:ascii="Times New Roman" w:hAnsi="Times New Roman"/>
                <w:color w:val="000000" w:themeColor="text1"/>
                <w:sz w:val="21"/>
                <w14:textFill>
                  <w14:solidFill>
                    <w14:schemeClr w14:val="tx1"/>
                  </w14:solidFill>
                </w14:textFill>
              </w:rPr>
              <w:t>生活垃圾处理设施，到2025年，全疆城市生活垃圾无害化处理率达到99%以上。</w:t>
            </w:r>
          </w:p>
        </w:tc>
        <w:tc>
          <w:tcPr>
            <w:tcW w:w="3304" w:type="dxa"/>
            <w:vAlign w:val="center"/>
          </w:tcPr>
          <w:p w14:paraId="484B6A6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本项目为线路工程，不涉及变电站，运营期无固废产生。</w:t>
            </w:r>
          </w:p>
        </w:tc>
        <w:tc>
          <w:tcPr>
            <w:tcW w:w="803" w:type="dxa"/>
            <w:vAlign w:val="center"/>
          </w:tcPr>
          <w:p w14:paraId="103D26B8">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符合</w:t>
            </w:r>
          </w:p>
        </w:tc>
      </w:tr>
      <w:tr w14:paraId="7376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restart"/>
            <w:vAlign w:val="center"/>
          </w:tcPr>
          <w:p w14:paraId="31A285CD">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《新疆维吾尔自治区七大片区“三线一单”生态环境分区管控要求》（新环环评发〔2021〕16</w:t>
            </w:r>
            <w:r>
              <w:rPr>
                <w:rFonts w:hint="eastAsia" w:ascii="Times New Roman" w:hAnsi="Times New Roman"/>
                <w:color w:val="000000" w:themeColor="text1"/>
                <w:sz w:val="21"/>
                <w14:textFill>
                  <w14:solidFill>
                    <w14:schemeClr w14:val="tx1"/>
                  </w14:solidFill>
                </w14:textFill>
              </w:rPr>
              <w:t>2</w:t>
            </w:r>
            <w:r>
              <w:rPr>
                <w:rFonts w:ascii="Times New Roman" w:hAnsi="Times New Roman"/>
                <w:color w:val="000000" w:themeColor="text1"/>
                <w:sz w:val="21"/>
                <w14:textFill>
                  <w14:solidFill>
                    <w14:schemeClr w14:val="tx1"/>
                  </w14:solidFill>
                </w14:textFill>
              </w:rPr>
              <w:t>号）</w:t>
            </w:r>
          </w:p>
        </w:tc>
        <w:tc>
          <w:tcPr>
            <w:tcW w:w="803" w:type="dxa"/>
            <w:vMerge w:val="restart"/>
            <w:vAlign w:val="center"/>
          </w:tcPr>
          <w:p w14:paraId="42F3C69D">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总体要求</w:t>
            </w:r>
          </w:p>
        </w:tc>
        <w:tc>
          <w:tcPr>
            <w:tcW w:w="982" w:type="dxa"/>
            <w:vAlign w:val="center"/>
          </w:tcPr>
          <w:p w14:paraId="1D175745">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空间布局约束</w:t>
            </w:r>
          </w:p>
        </w:tc>
        <w:tc>
          <w:tcPr>
            <w:tcW w:w="6875" w:type="dxa"/>
            <w:shd w:val="clear" w:color="auto" w:fill="auto"/>
          </w:tcPr>
          <w:p w14:paraId="237BAA90">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严格执行国家、自治区产业政策和环境准入要求，严禁“三高”项目进新疆，坚决遏制“两高”项目盲目发展。不得在水源涵养区、饮用水水源保护区内和河流、湖泊、水库周围建设重化工、涉重金属等工业污染项目。推动项目集聚发展，新建、改建、扩建工业项目原则上应布置于由县级及以上人民政府批准建立、环境保护基础设施完善的产业园区、工业聚集区或规划矿区，并且符合相关规划和规划环评要求。</w:t>
            </w:r>
          </w:p>
        </w:tc>
        <w:tc>
          <w:tcPr>
            <w:tcW w:w="3304" w:type="dxa"/>
            <w:vAlign w:val="center"/>
          </w:tcPr>
          <w:p w14:paraId="5A4B2E80">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本项目属《产业结构调整指导目录（2024年本）》中鼓励类，符合国家产业政策。本项目的建设，将有效加强地区电网的调峰能力，进一步提高新能源的消纳水平。本项目不涉及水源涵养区、饮用水水源保护区内和河流、湖泊、水库周围。</w:t>
            </w:r>
          </w:p>
        </w:tc>
        <w:tc>
          <w:tcPr>
            <w:tcW w:w="803" w:type="dxa"/>
            <w:vAlign w:val="center"/>
          </w:tcPr>
          <w:p w14:paraId="1143DCB0">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符合</w:t>
            </w:r>
          </w:p>
        </w:tc>
      </w:tr>
      <w:tr w14:paraId="4341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12D9BFE7">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46A3CD92">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Align w:val="center"/>
          </w:tcPr>
          <w:p w14:paraId="15122CEA">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污染物排放管控</w:t>
            </w:r>
          </w:p>
        </w:tc>
        <w:tc>
          <w:tcPr>
            <w:tcW w:w="6875" w:type="dxa"/>
            <w:shd w:val="clear" w:color="auto" w:fill="auto"/>
          </w:tcPr>
          <w:p w14:paraId="7551BC6F">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深化行业污染源头治理，深入开展火电行业减排，全力推进钢铁行业超低排放改造，有序推进石化行业“泄漏检测与修复”技术改造。强化煤化工、石化、有机化工、表面涂装、包装印刷等重点行业挥发性有机物控制。深入开展燃煤锅炉污染综合整治，深化工业炉窑综合治理。加强“散乱污”企业综合整治。优化区域交通运输结构，加快货物运输绿色转型，做好车油联合管控。以改善流域水环境质量为核心，强化源头控制，“一河（湖）一策”精准施治，减少水污染物排放，持续改善水环境质量。强化园区（工业集聚区）水污染防治，不断提高工业用水重复利用率。加快实施城镇污水处理设施提质增效，补齐生活污水收集和处理设施短板，提高再生水回用比例。持续推进农业农村污染防治。提升土壤环境监管能力，加强污染地块安全利用监管。强化工矿用地管理，严格建设用地土壤环境风险管控。加强农用地土壤污染源头控制，科学施用化肥农药，提高农膜回收率。</w:t>
            </w:r>
          </w:p>
        </w:tc>
        <w:tc>
          <w:tcPr>
            <w:tcW w:w="3304" w:type="dxa"/>
            <w:vAlign w:val="center"/>
          </w:tcPr>
          <w:p w14:paraId="5BB6EDB3">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项目不属于火电、钢铁、石化等行业，不涉及</w:t>
            </w:r>
            <w:r>
              <w:rPr>
                <w:rFonts w:ascii="Times New Roman" w:hAnsi="Times New Roman"/>
                <w:color w:val="000000" w:themeColor="text1"/>
                <w:sz w:val="21"/>
                <w14:textFill>
                  <w14:solidFill>
                    <w14:schemeClr w14:val="tx1"/>
                  </w14:solidFill>
                </w14:textFill>
              </w:rPr>
              <w:t>挥发性有机物</w:t>
            </w:r>
            <w:r>
              <w:rPr>
                <w:rFonts w:hint="eastAsia" w:ascii="Times New Roman" w:hAnsi="Times New Roman"/>
                <w:color w:val="000000" w:themeColor="text1"/>
                <w:sz w:val="21"/>
                <w14:textFill>
                  <w14:solidFill>
                    <w14:schemeClr w14:val="tx1"/>
                  </w14:solidFill>
                </w14:textFill>
              </w:rPr>
              <w:t>排放，不涉及燃煤锅炉、工业炉窑，不涉及园区，不涉及农业农村污染防治，不涉及土壤污染，不涉及使用化肥农药、农膜。</w:t>
            </w:r>
          </w:p>
        </w:tc>
        <w:tc>
          <w:tcPr>
            <w:tcW w:w="803" w:type="dxa"/>
            <w:vAlign w:val="center"/>
          </w:tcPr>
          <w:p w14:paraId="13C9E424">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符合</w:t>
            </w:r>
          </w:p>
        </w:tc>
      </w:tr>
      <w:tr w14:paraId="3DAF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5416EA01">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0E1C1ADB">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Align w:val="center"/>
          </w:tcPr>
          <w:p w14:paraId="673F0C03">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环境风险防控</w:t>
            </w:r>
          </w:p>
        </w:tc>
        <w:tc>
          <w:tcPr>
            <w:tcW w:w="6875" w:type="dxa"/>
            <w:shd w:val="clear" w:color="auto" w:fill="auto"/>
          </w:tcPr>
          <w:p w14:paraId="78BCC1BA">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禁止在化工园区外新建、扩建危险化学品生产项目。严格落实危险废物处置相关要求。加强重点流域水环境风险管控，保障水环境安全。</w:t>
            </w:r>
          </w:p>
        </w:tc>
        <w:tc>
          <w:tcPr>
            <w:tcW w:w="3304" w:type="dxa"/>
            <w:vAlign w:val="center"/>
          </w:tcPr>
          <w:p w14:paraId="7C60F953">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本项目不涉及危险化学品生产。</w:t>
            </w:r>
            <w:r>
              <w:rPr>
                <w:rFonts w:ascii="Times New Roman" w:hAnsi="Times New Roman"/>
                <w:color w:val="000000" w:themeColor="text1"/>
                <w:sz w:val="21"/>
                <w14:textFill>
                  <w14:solidFill>
                    <w14:schemeClr w14:val="tx1"/>
                  </w14:solidFill>
                </w14:textFill>
              </w:rPr>
              <w:t>项目运营期无废水排放</w:t>
            </w:r>
            <w:r>
              <w:rPr>
                <w:rFonts w:hint="eastAsia" w:ascii="Times New Roman" w:hAnsi="Times New Roman"/>
                <w:color w:val="000000" w:themeColor="text1"/>
                <w:sz w:val="21"/>
                <w14:textFill>
                  <w14:solidFill>
                    <w14:schemeClr w14:val="tx1"/>
                  </w14:solidFill>
                </w14:textFill>
              </w:rPr>
              <w:t>。</w:t>
            </w:r>
          </w:p>
        </w:tc>
        <w:tc>
          <w:tcPr>
            <w:tcW w:w="803" w:type="dxa"/>
            <w:vAlign w:val="center"/>
          </w:tcPr>
          <w:p w14:paraId="2F49CFA0">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符合</w:t>
            </w:r>
          </w:p>
        </w:tc>
      </w:tr>
      <w:tr w14:paraId="0272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0" w:type="dxa"/>
            <w:vMerge w:val="continue"/>
            <w:vAlign w:val="center"/>
          </w:tcPr>
          <w:p w14:paraId="7F51BBE6">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803" w:type="dxa"/>
            <w:vMerge w:val="continue"/>
            <w:vAlign w:val="center"/>
          </w:tcPr>
          <w:p w14:paraId="7DA25D76">
            <w:pPr>
              <w:pStyle w:val="41"/>
              <w:spacing w:line="240" w:lineRule="auto"/>
              <w:ind w:firstLineChars="0"/>
              <w:rPr>
                <w:rFonts w:ascii="Times New Roman" w:hAnsi="Times New Roman"/>
                <w:color w:val="000000" w:themeColor="text1"/>
                <w:sz w:val="21"/>
                <w14:textFill>
                  <w14:solidFill>
                    <w14:schemeClr w14:val="tx1"/>
                  </w14:solidFill>
                </w14:textFill>
              </w:rPr>
            </w:pPr>
          </w:p>
        </w:tc>
        <w:tc>
          <w:tcPr>
            <w:tcW w:w="982" w:type="dxa"/>
            <w:vAlign w:val="center"/>
          </w:tcPr>
          <w:p w14:paraId="58E88242">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资源利用效率要求</w:t>
            </w:r>
          </w:p>
        </w:tc>
        <w:tc>
          <w:tcPr>
            <w:tcW w:w="6875" w:type="dxa"/>
            <w:shd w:val="clear" w:color="auto" w:fill="auto"/>
          </w:tcPr>
          <w:p w14:paraId="6ADA0AB2">
            <w:pPr>
              <w:pStyle w:val="41"/>
              <w:spacing w:line="240" w:lineRule="auto"/>
              <w:ind w:firstLineChars="0"/>
              <w:rPr>
                <w:rFonts w:ascii="Times New Roman" w:hAnsi="Times New Roman"/>
                <w:color w:val="000000" w:themeColor="text1"/>
                <w:sz w:val="21"/>
                <w14:textFill>
                  <w14:solidFill>
                    <w14:schemeClr w14:val="tx1"/>
                  </w14:solidFill>
                </w14:textFill>
              </w:rPr>
            </w:pPr>
            <w:r>
              <w:rPr>
                <w:rFonts w:ascii="Times New Roman" w:hAnsi="Times New Roman"/>
                <w:color w:val="000000" w:themeColor="text1"/>
                <w:sz w:val="21"/>
                <w14:textFill>
                  <w14:solidFill>
                    <w14:schemeClr w14:val="tx1"/>
                  </w14:solidFill>
                </w14:textFill>
              </w:rPr>
              <w:t>优化能源结构，控制煤炭等化石能源使用量，鼓励使用清洁能源，协同推进减污降碳。全面实施节水工程，合理开发利用水资源，提升水资源利用效率，保障生态用水，严防地下水超采。</w:t>
            </w:r>
          </w:p>
        </w:tc>
        <w:tc>
          <w:tcPr>
            <w:tcW w:w="3304" w:type="dxa"/>
            <w:vAlign w:val="center"/>
          </w:tcPr>
          <w:p w14:paraId="49D93E02">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本项目不涉及使用</w:t>
            </w:r>
            <w:r>
              <w:rPr>
                <w:rFonts w:ascii="Times New Roman" w:hAnsi="Times New Roman"/>
                <w:color w:val="000000" w:themeColor="text1"/>
                <w:sz w:val="21"/>
                <w14:textFill>
                  <w14:solidFill>
                    <w14:schemeClr w14:val="tx1"/>
                  </w14:solidFill>
                </w14:textFill>
              </w:rPr>
              <w:t>煤炭等化石能源</w:t>
            </w:r>
            <w:r>
              <w:rPr>
                <w:rFonts w:hint="eastAsia" w:ascii="Times New Roman" w:hAnsi="Times New Roman"/>
                <w:color w:val="000000" w:themeColor="text1"/>
                <w:sz w:val="21"/>
                <w14:textFill>
                  <w14:solidFill>
                    <w14:schemeClr w14:val="tx1"/>
                  </w14:solidFill>
                </w14:textFill>
              </w:rPr>
              <w:t>，项目不涉及碳排放，不涉及水资源的利用开发。</w:t>
            </w:r>
          </w:p>
        </w:tc>
        <w:tc>
          <w:tcPr>
            <w:tcW w:w="803" w:type="dxa"/>
            <w:vAlign w:val="center"/>
          </w:tcPr>
          <w:p w14:paraId="2E2CA992">
            <w:pPr>
              <w:pStyle w:val="41"/>
              <w:spacing w:line="240" w:lineRule="auto"/>
              <w:ind w:firstLineChars="0"/>
              <w:rPr>
                <w:rFonts w:ascii="Times New Roman" w:hAnsi="Times New Roman"/>
                <w:color w:val="000000" w:themeColor="text1"/>
                <w:sz w:val="21"/>
                <w14:textFill>
                  <w14:solidFill>
                    <w14:schemeClr w14:val="tx1"/>
                  </w14:solidFill>
                </w14:textFill>
              </w:rPr>
            </w:pPr>
            <w:r>
              <w:rPr>
                <w:rFonts w:hint="eastAsia" w:ascii="Times New Roman" w:hAnsi="Times New Roman"/>
                <w:color w:val="000000" w:themeColor="text1"/>
                <w:sz w:val="21"/>
                <w14:textFill>
                  <w14:solidFill>
                    <w14:schemeClr w14:val="tx1"/>
                  </w14:solidFill>
                </w14:textFill>
              </w:rPr>
              <w:t>符合</w:t>
            </w:r>
          </w:p>
        </w:tc>
      </w:tr>
    </w:tbl>
    <w:p w14:paraId="6C7D8C18">
      <w:pPr>
        <w:pStyle w:val="38"/>
        <w:spacing w:before="156"/>
        <w:ind w:firstLine="422"/>
        <w:rPr>
          <w:bCs/>
          <w:color w:val="000000" w:themeColor="text1"/>
          <w14:textFill>
            <w14:solidFill>
              <w14:schemeClr w14:val="tx1"/>
            </w14:solidFill>
          </w14:textFill>
        </w:rPr>
      </w:pPr>
      <w:r>
        <w:rPr>
          <w:bCs/>
          <w:color w:val="000000" w:themeColor="text1"/>
          <w14:textFill>
            <w14:solidFill>
              <w14:schemeClr w14:val="tx1"/>
            </w14:solidFill>
          </w14:textFill>
        </w:rPr>
        <w:t>表3.2-</w:t>
      </w:r>
      <w:r>
        <w:rPr>
          <w:rFonts w:hint="eastAsia"/>
          <w:bCs/>
          <w:color w:val="000000" w:themeColor="text1"/>
          <w:lang w:val="en-US" w:eastAsia="zh-CN"/>
          <w14:textFill>
            <w14:solidFill>
              <w14:schemeClr w14:val="tx1"/>
            </w14:solidFill>
          </w14:textFill>
        </w:rPr>
        <w:t>5</w:t>
      </w:r>
      <w:r>
        <w:rPr>
          <w:bCs/>
          <w:color w:val="000000" w:themeColor="text1"/>
          <w14:textFill>
            <w14:solidFill>
              <w14:schemeClr w14:val="tx1"/>
            </w14:solidFill>
          </w14:textFill>
        </w:rPr>
        <w:t xml:space="preserve">  本项目与巴音郭楞蒙古自治州生态环境准入清单符合性分析一览表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1075"/>
        <w:gridCol w:w="1125"/>
        <w:gridCol w:w="762"/>
        <w:gridCol w:w="6032"/>
        <w:gridCol w:w="3018"/>
        <w:gridCol w:w="1032"/>
      </w:tblGrid>
      <w:tr w14:paraId="6110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Align w:val="center"/>
          </w:tcPr>
          <w:p w14:paraId="27745A53">
            <w:pPr>
              <w:widowControl/>
              <w:spacing w:line="240" w:lineRule="auto"/>
              <w:ind w:firstLine="0" w:firstLineChars="0"/>
              <w:jc w:val="center"/>
              <w:rPr>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环境管控单元编码</w:t>
            </w:r>
          </w:p>
        </w:tc>
        <w:tc>
          <w:tcPr>
            <w:tcW w:w="1075" w:type="dxa"/>
            <w:vAlign w:val="center"/>
          </w:tcPr>
          <w:p w14:paraId="35B9F865">
            <w:pPr>
              <w:widowControl/>
              <w:spacing w:line="240" w:lineRule="auto"/>
              <w:ind w:firstLine="0" w:firstLineChars="0"/>
              <w:jc w:val="center"/>
              <w:rPr>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环境管控单元名称</w:t>
            </w:r>
          </w:p>
        </w:tc>
        <w:tc>
          <w:tcPr>
            <w:tcW w:w="1125" w:type="dxa"/>
            <w:vAlign w:val="center"/>
          </w:tcPr>
          <w:p w14:paraId="3A7B1727">
            <w:pPr>
              <w:widowControl/>
              <w:spacing w:line="240" w:lineRule="auto"/>
              <w:ind w:firstLine="0" w:firstLineChars="0"/>
              <w:jc w:val="center"/>
              <w:rPr>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环境管控单元类别</w:t>
            </w:r>
          </w:p>
        </w:tc>
        <w:tc>
          <w:tcPr>
            <w:tcW w:w="6794" w:type="dxa"/>
            <w:gridSpan w:val="2"/>
            <w:vAlign w:val="center"/>
          </w:tcPr>
          <w:p w14:paraId="1F34128E">
            <w:pPr>
              <w:spacing w:line="240" w:lineRule="auto"/>
              <w:ind w:firstLine="422"/>
              <w:jc w:val="center"/>
              <w:rPr>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管控要求</w:t>
            </w:r>
          </w:p>
        </w:tc>
        <w:tc>
          <w:tcPr>
            <w:tcW w:w="3018" w:type="dxa"/>
            <w:vAlign w:val="center"/>
          </w:tcPr>
          <w:p w14:paraId="2BB88DD4">
            <w:pPr>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本项目</w:t>
            </w:r>
          </w:p>
        </w:tc>
        <w:tc>
          <w:tcPr>
            <w:tcW w:w="1032" w:type="dxa"/>
            <w:vAlign w:val="center"/>
          </w:tcPr>
          <w:p w14:paraId="6225D95A">
            <w:pPr>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相符性</w:t>
            </w:r>
          </w:p>
        </w:tc>
      </w:tr>
      <w:tr w14:paraId="0647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restart"/>
            <w:vAlign w:val="center"/>
          </w:tcPr>
          <w:p w14:paraId="46CCFCA3">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ZH65282430001</w:t>
            </w:r>
          </w:p>
        </w:tc>
        <w:tc>
          <w:tcPr>
            <w:tcW w:w="1075" w:type="dxa"/>
            <w:vMerge w:val="restart"/>
            <w:vAlign w:val="center"/>
          </w:tcPr>
          <w:p w14:paraId="4104CEEF">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若羌县一般管控区</w:t>
            </w:r>
          </w:p>
        </w:tc>
        <w:tc>
          <w:tcPr>
            <w:tcW w:w="1125" w:type="dxa"/>
            <w:vMerge w:val="restart"/>
            <w:vAlign w:val="center"/>
          </w:tcPr>
          <w:p w14:paraId="708378DE">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一般管控单元</w:t>
            </w:r>
          </w:p>
        </w:tc>
        <w:tc>
          <w:tcPr>
            <w:tcW w:w="762" w:type="dxa"/>
            <w:vAlign w:val="center"/>
          </w:tcPr>
          <w:p w14:paraId="7EC0D8E0">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空间布局约束</w:t>
            </w:r>
          </w:p>
        </w:tc>
        <w:tc>
          <w:tcPr>
            <w:tcW w:w="6032" w:type="dxa"/>
            <w:vAlign w:val="center"/>
          </w:tcPr>
          <w:p w14:paraId="474D0FDF">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1.建设项目用地原则上不得占用基本农田，确需占用基本农田的建设项目须符合《中华人民共和国基本农田保护条例》中相关要求，占用耕地、林地或草地的建设项目须按照国家、自治区相关补偿要求进行补偿。</w:t>
            </w:r>
          </w:p>
          <w:p w14:paraId="7266B9A5">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2.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p w14:paraId="69ECF4C3">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3.永久基本农田集中区域禁止规划新建可能造成土壤污染的建设项目。涉及有毒有害物质可能造成土壤污染的新（改、扩）建项目，提出并落实土壤和地下水污染防治要求。</w:t>
            </w:r>
          </w:p>
          <w:p w14:paraId="4276C690">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4.严格执行畜禽养殖禁养区规定，根据区域用地和消纳水平，合理确定养殖规模。</w:t>
            </w:r>
          </w:p>
          <w:p w14:paraId="61AC6777">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5.禁止向沙漠、滩涂、盐碱地、沼泽地等非法排污、倾倒有毒有害物质。</w:t>
            </w:r>
          </w:p>
          <w:p w14:paraId="2E0A2250">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6.禁止利用渗坑、裂隙、溶洞或者采用稀释等方法处置危险废物。</w:t>
            </w:r>
          </w:p>
          <w:p w14:paraId="55D327FC">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7.金属和非金属矿山采选企业新建、改建、扩建执行《新疆维吾尔自治区重点行业环境准入条件（修订）》相关要求。</w:t>
            </w:r>
          </w:p>
        </w:tc>
        <w:tc>
          <w:tcPr>
            <w:tcW w:w="3018" w:type="dxa"/>
            <w:vAlign w:val="center"/>
          </w:tcPr>
          <w:p w14:paraId="20B1CEFB">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1.本项目不占用基本农田。项目占用其他草地和</w:t>
            </w:r>
            <w:r>
              <w:rPr>
                <w:rFonts w:hint="eastAsia"/>
                <w:color w:val="000000" w:themeColor="text1"/>
                <w:sz w:val="21"/>
                <w:szCs w:val="21"/>
                <w:lang w:val="en-US" w:eastAsia="zh-CN"/>
                <w14:textFill>
                  <w14:solidFill>
                    <w14:schemeClr w14:val="tx1"/>
                  </w14:solidFill>
                </w14:textFill>
              </w:rPr>
              <w:t>裸地</w:t>
            </w:r>
            <w:r>
              <w:rPr>
                <w:rFonts w:hint="eastAsia"/>
                <w:color w:val="000000" w:themeColor="text1"/>
                <w:sz w:val="21"/>
                <w:szCs w:val="21"/>
                <w14:textFill>
                  <w14:solidFill>
                    <w14:schemeClr w14:val="tx1"/>
                  </w14:solidFill>
                </w14:textFill>
              </w:rPr>
              <w:t>，环评要求建设单位须</w:t>
            </w:r>
            <w:r>
              <w:rPr>
                <w:rFonts w:hint="eastAsia" w:ascii="宋体" w:hAnsi="宋体" w:cs="宋体"/>
                <w:color w:val="000000" w:themeColor="text1"/>
                <w:kern w:val="0"/>
                <w:sz w:val="20"/>
                <w:szCs w:val="20"/>
                <w:lang w:bidi="ar"/>
                <w14:textFill>
                  <w14:solidFill>
                    <w14:schemeClr w14:val="tx1"/>
                  </w14:solidFill>
                </w14:textFill>
              </w:rPr>
              <w:t>按照国家、自治区相关补偿要求进行补偿</w:t>
            </w:r>
            <w:r>
              <w:rPr>
                <w:rFonts w:hint="eastAsia"/>
                <w:color w:val="000000" w:themeColor="text1"/>
                <w:sz w:val="21"/>
                <w:szCs w:val="21"/>
                <w14:textFill>
                  <w14:solidFill>
                    <w14:schemeClr w14:val="tx1"/>
                  </w14:solidFill>
                </w14:textFill>
              </w:rPr>
              <w:t>。</w:t>
            </w:r>
          </w:p>
          <w:p w14:paraId="605E4441">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2.本项目不属于露天矿山项目。</w:t>
            </w:r>
          </w:p>
          <w:p w14:paraId="1B6D5FFC">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3.本项目不涉及占用永久基本农田。</w:t>
            </w:r>
          </w:p>
          <w:p w14:paraId="4E080F60">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4.本项目不属于畜禽养殖项目。</w:t>
            </w:r>
          </w:p>
          <w:p w14:paraId="2642C4FF">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5.本项目不涉及有毒有害物质。</w:t>
            </w:r>
          </w:p>
          <w:p w14:paraId="6A8C2C6C">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6.本项目会产生建筑垃圾和生活垃圾，均会妥善处置，不属于危险废物。</w:t>
            </w:r>
          </w:p>
          <w:p w14:paraId="1E911782">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7.本项目不属于金属和非金属矿山采选项目。</w:t>
            </w:r>
          </w:p>
        </w:tc>
        <w:tc>
          <w:tcPr>
            <w:tcW w:w="1032" w:type="dxa"/>
            <w:vAlign w:val="center"/>
          </w:tcPr>
          <w:p w14:paraId="3F3F9BC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3F4F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continue"/>
            <w:vAlign w:val="center"/>
          </w:tcPr>
          <w:p w14:paraId="78F73ED9">
            <w:pPr>
              <w:spacing w:line="240" w:lineRule="auto"/>
              <w:ind w:firstLine="420"/>
              <w:jc w:val="center"/>
              <w:rPr>
                <w:color w:val="000000" w:themeColor="text1"/>
                <w:sz w:val="21"/>
                <w:szCs w:val="21"/>
                <w14:textFill>
                  <w14:solidFill>
                    <w14:schemeClr w14:val="tx1"/>
                  </w14:solidFill>
                </w14:textFill>
              </w:rPr>
            </w:pPr>
          </w:p>
        </w:tc>
        <w:tc>
          <w:tcPr>
            <w:tcW w:w="1075" w:type="dxa"/>
            <w:vMerge w:val="continue"/>
            <w:vAlign w:val="center"/>
          </w:tcPr>
          <w:p w14:paraId="40330CFC">
            <w:pPr>
              <w:spacing w:line="240" w:lineRule="auto"/>
              <w:ind w:firstLine="420"/>
              <w:jc w:val="center"/>
              <w:rPr>
                <w:color w:val="000000" w:themeColor="text1"/>
                <w:sz w:val="21"/>
                <w:szCs w:val="21"/>
                <w14:textFill>
                  <w14:solidFill>
                    <w14:schemeClr w14:val="tx1"/>
                  </w14:solidFill>
                </w14:textFill>
              </w:rPr>
            </w:pPr>
          </w:p>
        </w:tc>
        <w:tc>
          <w:tcPr>
            <w:tcW w:w="1125" w:type="dxa"/>
            <w:vMerge w:val="continue"/>
            <w:vAlign w:val="center"/>
          </w:tcPr>
          <w:p w14:paraId="0185E6A8">
            <w:pPr>
              <w:spacing w:line="240" w:lineRule="auto"/>
              <w:ind w:firstLine="420"/>
              <w:jc w:val="center"/>
              <w:rPr>
                <w:color w:val="000000" w:themeColor="text1"/>
                <w:sz w:val="21"/>
                <w:szCs w:val="21"/>
                <w14:textFill>
                  <w14:solidFill>
                    <w14:schemeClr w14:val="tx1"/>
                  </w14:solidFill>
                </w14:textFill>
              </w:rPr>
            </w:pPr>
          </w:p>
        </w:tc>
        <w:tc>
          <w:tcPr>
            <w:tcW w:w="762" w:type="dxa"/>
            <w:vAlign w:val="center"/>
          </w:tcPr>
          <w:p w14:paraId="08EE7CF9">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污染物排放管控</w:t>
            </w:r>
          </w:p>
        </w:tc>
        <w:tc>
          <w:tcPr>
            <w:tcW w:w="6032" w:type="dxa"/>
            <w:vAlign w:val="center"/>
          </w:tcPr>
          <w:p w14:paraId="403D09F1">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1.强化畜禽粪污资源化利用，改善养殖场通风环境，提高畜禽粪污综合利用率，减少氨挥发排放。鼓励和支持散养密集区实行畜禽粪污分户收集、集中处理。</w:t>
            </w:r>
          </w:p>
          <w:p w14:paraId="00B32B59">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2.严格控制林地、草地、园地农药使用量，禁止使用高毒、高残留农药。</w:t>
            </w:r>
          </w:p>
          <w:p w14:paraId="7492A762">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3.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p w14:paraId="392C4155">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4.对化学品生产企业、工业集聚区、尾矿库、矿山开采区、危险废物处置场、垃圾填埋场等地下水污染源及周边区域，逐步开展地下水环境状况调查评估，加强风险管控。</w:t>
            </w:r>
          </w:p>
          <w:p w14:paraId="71D31A17">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5.严控土壤重金属污染，加强油（气）田开发土壤污染防治，以历史遗留工业企业污染场地为重点，开展土壤污染风险管控与修复工程。</w:t>
            </w:r>
          </w:p>
          <w:p w14:paraId="4A9CD7BF">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6.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w:t>
            </w:r>
          </w:p>
          <w:p w14:paraId="7E0D89BB">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矿山采选污染物排放执行相应行业标准。稳步推进废水循环利用技术改造升级。采选产生废水排放有行业标准的执行行业标准，否则执行《污水综合排放标准》（GB8978）。采选活动矿石转运、破碎、筛分等粉尘产生工序，应配备抑尘、除尘设备，除尘效率不低于99%，有效控制无组织粉尘排放。采选矿各环节废气排放有行业标准的执行行业标准，否则执行《大气污染物综合排放标准》（GB16297）。一般固体废弃物应根据《一般工业固体废物贮存、处置场污染控制标准》（GB18599）进行管理，属危险废物的按危险废物相关要求依法进行管理，其贮存设施须符合《危险废物贮存污染控制标准》（GB18597）。矿山生态环境保护和恢复要达到《矿山生态环境保护与恢复治理技术规范》（HJ651）及其他有关环保法律法规的相关要求。</w:t>
            </w:r>
          </w:p>
        </w:tc>
        <w:tc>
          <w:tcPr>
            <w:tcW w:w="3018" w:type="dxa"/>
            <w:vAlign w:val="center"/>
          </w:tcPr>
          <w:p w14:paraId="6869D8D8">
            <w:pPr>
              <w:spacing w:line="240" w:lineRule="auto"/>
              <w:ind w:firstLine="0" w:firstLineChars="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1.本项目不属于畜禽养殖项目。</w:t>
            </w:r>
          </w:p>
          <w:p w14:paraId="3FB0D7DF">
            <w:pPr>
              <w:spacing w:line="240" w:lineRule="auto"/>
              <w:ind w:firstLine="0" w:firstLineChars="0"/>
              <w:rPr>
                <w:color w:val="000000" w:themeColor="text1"/>
                <w:kern w:val="0"/>
                <w:sz w:val="21"/>
                <w:szCs w:val="21"/>
                <w:lang w:bidi="ar"/>
                <w14:textFill>
                  <w14:solidFill>
                    <w14:schemeClr w14:val="tx1"/>
                  </w14:solidFill>
                </w14:textFill>
              </w:rPr>
            </w:pPr>
            <w:r>
              <w:rPr>
                <w:color w:val="000000" w:themeColor="text1"/>
                <w:sz w:val="21"/>
                <w:szCs w:val="21"/>
                <w14:textFill>
                  <w14:solidFill>
                    <w14:schemeClr w14:val="tx1"/>
                  </w14:solidFill>
                </w14:textFill>
              </w:rPr>
              <w:t>2.本项目不涉及使用农药</w:t>
            </w:r>
            <w:r>
              <w:rPr>
                <w:color w:val="000000" w:themeColor="text1"/>
                <w:kern w:val="0"/>
                <w:sz w:val="21"/>
                <w:szCs w:val="21"/>
                <w:lang w:bidi="ar"/>
                <w14:textFill>
                  <w14:solidFill>
                    <w14:schemeClr w14:val="tx1"/>
                  </w14:solidFill>
                </w14:textFill>
              </w:rPr>
              <w:t>。</w:t>
            </w:r>
          </w:p>
          <w:p w14:paraId="7E565415">
            <w:pPr>
              <w:spacing w:line="240" w:lineRule="auto"/>
              <w:ind w:firstLine="0" w:firstLineChars="0"/>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3.本项目不属于种植业。</w:t>
            </w:r>
          </w:p>
          <w:p w14:paraId="50E4B42C">
            <w:pPr>
              <w:spacing w:line="240" w:lineRule="auto"/>
              <w:ind w:firstLine="0" w:firstLineChars="0"/>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4.本项目不涉及污染地下水。</w:t>
            </w:r>
          </w:p>
          <w:p w14:paraId="70E0D047">
            <w:pPr>
              <w:spacing w:line="240" w:lineRule="auto"/>
              <w:ind w:firstLine="0" w:firstLineChars="0"/>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5.本项目不涉及重金属。</w:t>
            </w:r>
          </w:p>
          <w:p w14:paraId="7BA31AE4">
            <w:pPr>
              <w:spacing w:line="240" w:lineRule="auto"/>
              <w:ind w:firstLine="0" w:firstLineChars="0"/>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6.本项目不涉及农村厕所革命、农村生活污水治理、农药使用和农膜回收、秸秆综合利用等。</w:t>
            </w:r>
          </w:p>
          <w:p w14:paraId="3B4B9AA2">
            <w:pPr>
              <w:spacing w:line="240" w:lineRule="auto"/>
              <w:ind w:firstLine="0" w:firstLineChars="0"/>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7.本项目不属于矿山采选项目。</w:t>
            </w:r>
          </w:p>
        </w:tc>
        <w:tc>
          <w:tcPr>
            <w:tcW w:w="1032" w:type="dxa"/>
            <w:vAlign w:val="center"/>
          </w:tcPr>
          <w:p w14:paraId="5E7811C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1FFD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continue"/>
            <w:vAlign w:val="center"/>
          </w:tcPr>
          <w:p w14:paraId="63A9F028">
            <w:pPr>
              <w:spacing w:line="240" w:lineRule="auto"/>
              <w:ind w:firstLine="420"/>
              <w:jc w:val="center"/>
              <w:rPr>
                <w:color w:val="000000" w:themeColor="text1"/>
                <w:sz w:val="21"/>
                <w:szCs w:val="21"/>
                <w14:textFill>
                  <w14:solidFill>
                    <w14:schemeClr w14:val="tx1"/>
                  </w14:solidFill>
                </w14:textFill>
              </w:rPr>
            </w:pPr>
          </w:p>
        </w:tc>
        <w:tc>
          <w:tcPr>
            <w:tcW w:w="1075" w:type="dxa"/>
            <w:vMerge w:val="continue"/>
            <w:vAlign w:val="center"/>
          </w:tcPr>
          <w:p w14:paraId="096F1EA1">
            <w:pPr>
              <w:spacing w:line="240" w:lineRule="auto"/>
              <w:ind w:firstLine="420"/>
              <w:jc w:val="center"/>
              <w:rPr>
                <w:color w:val="000000" w:themeColor="text1"/>
                <w:sz w:val="21"/>
                <w:szCs w:val="21"/>
                <w14:textFill>
                  <w14:solidFill>
                    <w14:schemeClr w14:val="tx1"/>
                  </w14:solidFill>
                </w14:textFill>
              </w:rPr>
            </w:pPr>
          </w:p>
        </w:tc>
        <w:tc>
          <w:tcPr>
            <w:tcW w:w="1125" w:type="dxa"/>
            <w:vMerge w:val="continue"/>
            <w:vAlign w:val="center"/>
          </w:tcPr>
          <w:p w14:paraId="06F6AFC7">
            <w:pPr>
              <w:spacing w:line="240" w:lineRule="auto"/>
              <w:ind w:firstLine="420"/>
              <w:jc w:val="center"/>
              <w:rPr>
                <w:color w:val="000000" w:themeColor="text1"/>
                <w:sz w:val="21"/>
                <w:szCs w:val="21"/>
                <w14:textFill>
                  <w14:solidFill>
                    <w14:schemeClr w14:val="tx1"/>
                  </w14:solidFill>
                </w14:textFill>
              </w:rPr>
            </w:pPr>
          </w:p>
        </w:tc>
        <w:tc>
          <w:tcPr>
            <w:tcW w:w="762" w:type="dxa"/>
            <w:vAlign w:val="center"/>
          </w:tcPr>
          <w:p w14:paraId="40C21BFE">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环境风险防控</w:t>
            </w:r>
          </w:p>
        </w:tc>
        <w:tc>
          <w:tcPr>
            <w:tcW w:w="6032" w:type="dxa"/>
            <w:vAlign w:val="center"/>
          </w:tcPr>
          <w:p w14:paraId="71B8A9AD">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1.加强对矿山、油田等矿产资源开采影响区域内未利用地的环境监管，发现土壤污染问题的，要坚决查处，并及时督促有关单位采取有效防治措施消除或减轻污染。</w:t>
            </w:r>
          </w:p>
          <w:p w14:paraId="545239D9">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2.对排查出的危库和病库以及风险评估有严重环境安全隐患的尾矿库，要求企业完善污染治理设施、进行治理和修复。全面整治历史遗留尾矿库，完善覆膜、压土、排洪、堤坝加固等隐患治理和闭库措施。</w:t>
            </w:r>
          </w:p>
          <w:p w14:paraId="7182182A">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3.依法推行农用地分类管理制度，强化受污染耕地安全利用和风险管控。因地制宜制定实施安全利用方案，鼓励采取种植结构调整等措施，确保受污染耕地全部实现安全利用。</w:t>
            </w:r>
          </w:p>
          <w:p w14:paraId="26E5F766">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4.定期对企业及周边土壤进行监测；对不符合法律法规和相关标准要求的，应当根据监测结果，要求运营单位采取相应改进措施。土壤环境监管重点行业企业拆除生产设施设备、构筑物和污染治理设施，要事先制定残留污染物清理和安全处置方案，并报所在地县级生态环境、工业和信息化部门备案；要严格按照有关规定实施安全处理处置，防范拆除活动污染土壤。</w:t>
            </w:r>
          </w:p>
        </w:tc>
        <w:tc>
          <w:tcPr>
            <w:tcW w:w="3018" w:type="dxa"/>
            <w:vAlign w:val="center"/>
          </w:tcPr>
          <w:p w14:paraId="5F50CC82">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w:t>
            </w:r>
            <w:r>
              <w:rPr>
                <w:color w:val="000000" w:themeColor="text1"/>
                <w:sz w:val="21"/>
                <w:szCs w:val="21"/>
                <w14:textFill>
                  <w14:solidFill>
                    <w14:schemeClr w14:val="tx1"/>
                  </w14:solidFill>
                </w14:textFill>
              </w:rPr>
              <w:t>本项目</w:t>
            </w:r>
            <w:r>
              <w:rPr>
                <w:rFonts w:hint="eastAsia"/>
                <w:color w:val="000000" w:themeColor="text1"/>
                <w:sz w:val="21"/>
                <w:szCs w:val="21"/>
                <w14:textFill>
                  <w14:solidFill>
                    <w14:schemeClr w14:val="tx1"/>
                  </w14:solidFill>
                </w14:textFill>
              </w:rPr>
              <w:t>不属于矿山、油田等矿产资源开采项目</w:t>
            </w:r>
            <w:r>
              <w:rPr>
                <w:color w:val="000000" w:themeColor="text1"/>
                <w:sz w:val="21"/>
                <w:szCs w:val="21"/>
                <w14:textFill>
                  <w14:solidFill>
                    <w14:schemeClr w14:val="tx1"/>
                  </w14:solidFill>
                </w14:textFill>
              </w:rPr>
              <w:t>。</w:t>
            </w:r>
          </w:p>
          <w:p w14:paraId="39C289DE">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2.本项目不属于尾矿库项目。</w:t>
            </w:r>
          </w:p>
          <w:p w14:paraId="772FE00A">
            <w:pPr>
              <w:spacing w:line="240" w:lineRule="auto"/>
              <w:ind w:firstLine="0" w:firstLineChars="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3.本项目不涉及污染土壤。</w:t>
            </w:r>
          </w:p>
        </w:tc>
        <w:tc>
          <w:tcPr>
            <w:tcW w:w="1032" w:type="dxa"/>
            <w:vAlign w:val="center"/>
          </w:tcPr>
          <w:p w14:paraId="02B2CA0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0E1F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continue"/>
            <w:vAlign w:val="center"/>
          </w:tcPr>
          <w:p w14:paraId="5826EBB7">
            <w:pPr>
              <w:spacing w:line="240" w:lineRule="auto"/>
              <w:ind w:firstLine="420"/>
              <w:jc w:val="center"/>
              <w:rPr>
                <w:color w:val="000000" w:themeColor="text1"/>
                <w:sz w:val="21"/>
                <w:szCs w:val="21"/>
                <w14:textFill>
                  <w14:solidFill>
                    <w14:schemeClr w14:val="tx1"/>
                  </w14:solidFill>
                </w14:textFill>
              </w:rPr>
            </w:pPr>
          </w:p>
        </w:tc>
        <w:tc>
          <w:tcPr>
            <w:tcW w:w="1075" w:type="dxa"/>
            <w:vMerge w:val="continue"/>
            <w:vAlign w:val="center"/>
          </w:tcPr>
          <w:p w14:paraId="682DB6C7">
            <w:pPr>
              <w:spacing w:line="240" w:lineRule="auto"/>
              <w:ind w:firstLine="420"/>
              <w:jc w:val="center"/>
              <w:rPr>
                <w:color w:val="000000" w:themeColor="text1"/>
                <w:sz w:val="21"/>
                <w:szCs w:val="21"/>
                <w14:textFill>
                  <w14:solidFill>
                    <w14:schemeClr w14:val="tx1"/>
                  </w14:solidFill>
                </w14:textFill>
              </w:rPr>
            </w:pPr>
          </w:p>
        </w:tc>
        <w:tc>
          <w:tcPr>
            <w:tcW w:w="1125" w:type="dxa"/>
            <w:vMerge w:val="continue"/>
            <w:vAlign w:val="center"/>
          </w:tcPr>
          <w:p w14:paraId="3CC9CE54">
            <w:pPr>
              <w:spacing w:line="240" w:lineRule="auto"/>
              <w:ind w:firstLine="420"/>
              <w:jc w:val="center"/>
              <w:rPr>
                <w:color w:val="000000" w:themeColor="text1"/>
                <w:sz w:val="21"/>
                <w:szCs w:val="21"/>
                <w14:textFill>
                  <w14:solidFill>
                    <w14:schemeClr w14:val="tx1"/>
                  </w14:solidFill>
                </w14:textFill>
              </w:rPr>
            </w:pPr>
          </w:p>
        </w:tc>
        <w:tc>
          <w:tcPr>
            <w:tcW w:w="762" w:type="dxa"/>
            <w:vAlign w:val="center"/>
          </w:tcPr>
          <w:p w14:paraId="24FD44C8">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资源利用效率</w:t>
            </w:r>
          </w:p>
        </w:tc>
        <w:tc>
          <w:tcPr>
            <w:tcW w:w="6032" w:type="dxa"/>
            <w:vAlign w:val="center"/>
          </w:tcPr>
          <w:p w14:paraId="23448573">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1.全面推进秸秆综合利用，鼓励秸秆资源化、饲料化、肥料化利用，推动秸秆还田与离田收集。</w:t>
            </w:r>
          </w:p>
          <w:p w14:paraId="16C0499F">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2.减少化肥农药使用量，增加有机肥使用量，实现化肥农药使用量负增长。</w:t>
            </w:r>
          </w:p>
          <w:p w14:paraId="69D51F1E">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3.推广渠道防渗、管道输水、喷灌、微灌等节水灌溉技术，完善灌溉用水计量设施。推进规模化高效节水灌溉，推广农作物节水抗旱技术。建立灌区墒情测报网络，提高农业用水效率，降低农业用水比重。</w:t>
            </w:r>
          </w:p>
          <w:p w14:paraId="3017B13E">
            <w:pPr>
              <w:widowControl/>
              <w:spacing w:line="240" w:lineRule="auto"/>
              <w:ind w:firstLine="0" w:firstLineChars="0"/>
              <w:jc w:val="left"/>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4.废石综合回用、尾矿砂利用率参考《新疆维吾尔自治区重点行业环境准入条件（修订）》等相关文件要求。</w:t>
            </w:r>
          </w:p>
        </w:tc>
        <w:tc>
          <w:tcPr>
            <w:tcW w:w="3018" w:type="dxa"/>
            <w:vAlign w:val="center"/>
          </w:tcPr>
          <w:p w14:paraId="17F76E38">
            <w:pPr>
              <w:spacing w:line="240" w:lineRule="auto"/>
              <w:ind w:firstLine="0" w:firstLineChars="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1.本项目不涉及秸秆综合利用。</w:t>
            </w:r>
          </w:p>
          <w:p w14:paraId="0A4C13E4">
            <w:pPr>
              <w:spacing w:line="240" w:lineRule="auto"/>
              <w:ind w:firstLine="0" w:firstLineChars="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2.本项目不涉及农药使用。</w:t>
            </w:r>
          </w:p>
          <w:p w14:paraId="23A3D87D">
            <w:pPr>
              <w:spacing w:line="240" w:lineRule="auto"/>
              <w:ind w:firstLine="0" w:firstLineChars="0"/>
              <w:jc w:val="left"/>
              <w:rPr>
                <w:rFonts w:hint="eastAsia" w:ascii="宋体" w:hAnsi="宋体" w:cs="宋体"/>
                <w:color w:val="000000" w:themeColor="text1"/>
                <w:kern w:val="0"/>
                <w:sz w:val="21"/>
                <w:szCs w:val="21"/>
                <w:lang w:bidi="ar"/>
                <w14:textFill>
                  <w14:solidFill>
                    <w14:schemeClr w14:val="tx1"/>
                  </w14:solidFill>
                </w14:textFill>
              </w:rPr>
            </w:pPr>
            <w:r>
              <w:rPr>
                <w:rFonts w:hint="eastAsia"/>
                <w:color w:val="000000" w:themeColor="text1"/>
                <w:sz w:val="21"/>
                <w:szCs w:val="21"/>
                <w14:textFill>
                  <w14:solidFill>
                    <w14:schemeClr w14:val="tx1"/>
                  </w14:solidFill>
                </w14:textFill>
              </w:rPr>
              <w:t>3.本项目不涉及</w:t>
            </w:r>
            <w:r>
              <w:rPr>
                <w:rFonts w:hint="eastAsia" w:ascii="宋体" w:hAnsi="宋体" w:cs="宋体"/>
                <w:color w:val="000000" w:themeColor="text1"/>
                <w:kern w:val="0"/>
                <w:sz w:val="21"/>
                <w:szCs w:val="21"/>
                <w:lang w:bidi="ar"/>
                <w14:textFill>
                  <w14:solidFill>
                    <w14:schemeClr w14:val="tx1"/>
                  </w14:solidFill>
                </w14:textFill>
              </w:rPr>
              <w:t>渠道防渗、管道输水、喷灌、微灌等节水灌溉技术。</w:t>
            </w:r>
          </w:p>
          <w:p w14:paraId="5FB4F1E6">
            <w:pPr>
              <w:spacing w:line="240" w:lineRule="auto"/>
              <w:ind w:firstLine="0" w:firstLineChars="0"/>
              <w:jc w:val="left"/>
              <w:rPr>
                <w:rFonts w:hint="eastAsia" w:ascii="宋体" w:hAnsi="宋体" w:cs="宋体"/>
                <w:color w:val="000000" w:themeColor="text1"/>
                <w:kern w:val="0"/>
                <w:sz w:val="20"/>
                <w:szCs w:val="20"/>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4.本项目不涉及废石综合回用、尾矿砂利用。</w:t>
            </w:r>
          </w:p>
        </w:tc>
        <w:tc>
          <w:tcPr>
            <w:tcW w:w="1032" w:type="dxa"/>
            <w:vAlign w:val="center"/>
          </w:tcPr>
          <w:p w14:paraId="3BB0F120">
            <w:pPr>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符合</w:t>
            </w:r>
          </w:p>
        </w:tc>
      </w:tr>
    </w:tbl>
    <w:p w14:paraId="5F0223D7">
      <w:pPr>
        <w:ind w:firstLine="480"/>
        <w:rPr>
          <w:color w:val="000000" w:themeColor="text1"/>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r>
        <w:rPr>
          <w:color w:val="000000" w:themeColor="text1"/>
          <w14:textFill>
            <w14:solidFill>
              <w14:schemeClr w14:val="tx1"/>
            </w14:solidFill>
          </w14:textFill>
        </w:rPr>
        <w:t>根据表3.2-</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、表3.2-</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表3.2-</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分析结果，本项目建设符合</w:t>
      </w:r>
      <w:r>
        <w:rPr>
          <w:rFonts w:hint="eastAsia"/>
          <w:color w:val="000000" w:themeColor="text1"/>
          <w14:textFill>
            <w14:solidFill>
              <w14:schemeClr w14:val="tx1"/>
            </w14:solidFill>
          </w14:textFill>
        </w:rPr>
        <w:t>生态环境分区管控</w:t>
      </w:r>
      <w:r>
        <w:rPr>
          <w:color w:val="000000" w:themeColor="text1"/>
          <w14:textFill>
            <w14:solidFill>
              <w14:schemeClr w14:val="tx1"/>
            </w14:solidFill>
          </w14:textFill>
        </w:rPr>
        <w:t>要求。</w:t>
      </w:r>
    </w:p>
    <w:p w14:paraId="7025CE43">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524" w:name="_Toc24757"/>
      <w:bookmarkStart w:id="525" w:name="_Toc19198"/>
      <w:bookmarkStart w:id="526" w:name="_Toc4840"/>
      <w:bookmarkStart w:id="527" w:name="_Toc3731"/>
      <w:bookmarkStart w:id="528" w:name="_Toc16675"/>
      <w:bookmarkStart w:id="529" w:name="_Toc17709"/>
      <w:bookmarkStart w:id="530" w:name="_Toc21102"/>
      <w:bookmarkStart w:id="531" w:name="_Toc9"/>
      <w:bookmarkStart w:id="532" w:name="_Toc26818"/>
      <w:r>
        <w:rPr>
          <w:color w:val="000000" w:themeColor="text1"/>
          <w:sz w:val="28"/>
          <w:szCs w:val="28"/>
          <w14:textFill>
            <w14:solidFill>
              <w14:schemeClr w14:val="tx1"/>
            </w14:solidFill>
          </w14:textFill>
        </w:rPr>
        <w:t>3.2.</w:t>
      </w:r>
      <w:r>
        <w:rPr>
          <w:rFonts w:hint="eastAsia"/>
          <w:color w:val="000000" w:themeColor="text1"/>
          <w:sz w:val="28"/>
          <w:szCs w:val="28"/>
          <w:lang w:val="en-US" w:eastAsia="zh-CN"/>
          <w14:textFill>
            <w14:solidFill>
              <w14:schemeClr w14:val="tx1"/>
            </w14:solidFill>
          </w14:textFill>
        </w:rPr>
        <w:t>10</w:t>
      </w:r>
      <w:r>
        <w:rPr>
          <w:color w:val="000000" w:themeColor="text1"/>
          <w:sz w:val="28"/>
          <w:szCs w:val="28"/>
          <w14:textFill>
            <w14:solidFill>
              <w14:schemeClr w14:val="tx1"/>
            </w14:solidFill>
          </w14:textFill>
        </w:rPr>
        <w:t>《输变电建设项目环境保护技术要求》相符性分析</w:t>
      </w:r>
      <w:bookmarkEnd w:id="524"/>
      <w:bookmarkEnd w:id="525"/>
      <w:bookmarkEnd w:id="526"/>
      <w:bookmarkEnd w:id="527"/>
      <w:bookmarkEnd w:id="528"/>
      <w:bookmarkEnd w:id="529"/>
      <w:bookmarkEnd w:id="530"/>
      <w:bookmarkEnd w:id="531"/>
      <w:bookmarkEnd w:id="532"/>
    </w:p>
    <w:p w14:paraId="7566D467">
      <w:pPr>
        <w:adjustRightInd w:val="0"/>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本</w:t>
      </w:r>
      <w:r>
        <w:rPr>
          <w:rFonts w:hint="eastAsia"/>
          <w:color w:val="000000" w:themeColor="text1"/>
          <w14:textFill>
            <w14:solidFill>
              <w14:schemeClr w14:val="tx1"/>
            </w14:solidFill>
          </w14:textFill>
        </w:rPr>
        <w:t>项目与</w:t>
      </w:r>
      <w:r>
        <w:rPr>
          <w:color w:val="000000" w:themeColor="text1"/>
          <w14:textFill>
            <w14:solidFill>
              <w14:schemeClr w14:val="tx1"/>
            </w14:solidFill>
          </w14:textFill>
        </w:rPr>
        <w:t>《输变电建设项目环境保护技术要求》（HJ1113-2020）</w:t>
      </w:r>
      <w:r>
        <w:rPr>
          <w:rFonts w:hint="eastAsia"/>
          <w:color w:val="000000" w:themeColor="text1"/>
          <w14:textFill>
            <w14:solidFill>
              <w14:schemeClr w14:val="tx1"/>
            </w14:solidFill>
          </w14:textFill>
        </w:rPr>
        <w:t>相符性分析</w:t>
      </w:r>
      <w:r>
        <w:rPr>
          <w:color w:val="000000" w:themeColor="text1"/>
          <w14:textFill>
            <w14:solidFill>
              <w14:schemeClr w14:val="tx1"/>
            </w14:solidFill>
          </w14:textFill>
        </w:rPr>
        <w:t>见表3.2-</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w:t>
      </w:r>
    </w:p>
    <w:p w14:paraId="04EF5B33">
      <w:pPr>
        <w:pStyle w:val="7"/>
        <w:adjustRightInd/>
        <w:snapToGrid/>
        <w:spacing w:before="0" w:line="360" w:lineRule="auto"/>
        <w:ind w:firstLine="422"/>
        <w:rPr>
          <w:rFonts w:ascii="Times New Roman" w:hAnsi="Times New Roman" w:eastAsia="宋体" w:cs="Times New Roman"/>
          <w:color w:val="000000" w:themeColor="text1"/>
          <w:spacing w:val="0"/>
          <w:sz w:val="21"/>
          <w:szCs w:val="21"/>
          <w14:textFill>
            <w14:solidFill>
              <w14:schemeClr w14:val="tx1"/>
            </w14:solidFill>
          </w14:textFill>
        </w:rPr>
      </w:pPr>
      <w:r>
        <w:rPr>
          <w:rFonts w:ascii="Times New Roman" w:hAnsi="Times New Roman" w:eastAsia="宋体" w:cs="Times New Roman"/>
          <w:color w:val="000000" w:themeColor="text1"/>
          <w:spacing w:val="0"/>
          <w:sz w:val="21"/>
          <w:szCs w:val="21"/>
          <w14:textFill>
            <w14:solidFill>
              <w14:schemeClr w14:val="tx1"/>
            </w14:solidFill>
          </w14:textFill>
        </w:rPr>
        <w:t>表3.2-</w:t>
      </w:r>
      <w:r>
        <w:rPr>
          <w:rFonts w:hint="eastAsia" w:ascii="Times New Roman" w:hAnsi="Times New Roman" w:eastAsia="宋体" w:cs="Times New Roman"/>
          <w:color w:val="000000" w:themeColor="text1"/>
          <w:spacing w:val="0"/>
          <w:sz w:val="21"/>
          <w:szCs w:val="21"/>
          <w:lang w:val="en-US" w:eastAsia="zh-CN"/>
          <w14:textFill>
            <w14:solidFill>
              <w14:schemeClr w14:val="tx1"/>
            </w14:solidFill>
          </w14:textFill>
        </w:rPr>
        <w:t>6</w:t>
      </w:r>
      <w:r>
        <w:rPr>
          <w:rFonts w:ascii="Times New Roman" w:hAnsi="Times New Roman" w:eastAsia="宋体" w:cs="Times New Roman"/>
          <w:color w:val="000000" w:themeColor="text1"/>
          <w:spacing w:val="0"/>
          <w:sz w:val="21"/>
          <w:szCs w:val="21"/>
          <w14:textFill>
            <w14:solidFill>
              <w14:schemeClr w14:val="tx1"/>
            </w14:solidFill>
          </w14:textFill>
        </w:rPr>
        <w:t xml:space="preserve">  本工程与《输变电建设项目环境保护技术要求》相符性分析一览表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423"/>
        <w:gridCol w:w="4183"/>
        <w:gridCol w:w="2752"/>
        <w:gridCol w:w="728"/>
      </w:tblGrid>
      <w:tr w14:paraId="116F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255" w:type="pct"/>
            <w:vAlign w:val="center"/>
          </w:tcPr>
          <w:p w14:paraId="6D8A56AB">
            <w:pPr>
              <w:autoSpaceDE w:val="0"/>
              <w:autoSpaceDN w:val="0"/>
              <w:adjustRightInd w:val="0"/>
              <w:snapToGrid w:val="0"/>
              <w:spacing w:line="240" w:lineRule="auto"/>
              <w:ind w:firstLine="0" w:firstLineChars="0"/>
              <w:jc w:val="center"/>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序号</w:t>
            </w:r>
          </w:p>
        </w:tc>
        <w:tc>
          <w:tcPr>
            <w:tcW w:w="2702" w:type="pct"/>
            <w:gridSpan w:val="2"/>
            <w:vAlign w:val="center"/>
          </w:tcPr>
          <w:p w14:paraId="6F2BBF3A">
            <w:pPr>
              <w:autoSpaceDE w:val="0"/>
              <w:autoSpaceDN w:val="0"/>
              <w:adjustRightInd w:val="0"/>
              <w:snapToGrid w:val="0"/>
              <w:spacing w:line="240" w:lineRule="auto"/>
              <w:ind w:firstLine="0" w:firstLineChars="0"/>
              <w:jc w:val="center"/>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要求</w:t>
            </w:r>
          </w:p>
        </w:tc>
        <w:tc>
          <w:tcPr>
            <w:tcW w:w="1614" w:type="pct"/>
            <w:vAlign w:val="center"/>
          </w:tcPr>
          <w:p w14:paraId="7C53FD7E">
            <w:pPr>
              <w:autoSpaceDE w:val="0"/>
              <w:autoSpaceDN w:val="0"/>
              <w:adjustRightInd w:val="0"/>
              <w:snapToGrid w:val="0"/>
              <w:spacing w:line="240" w:lineRule="auto"/>
              <w:ind w:firstLine="0" w:firstLineChars="0"/>
              <w:jc w:val="center"/>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本项目</w:t>
            </w:r>
          </w:p>
        </w:tc>
        <w:tc>
          <w:tcPr>
            <w:tcW w:w="427" w:type="pct"/>
            <w:vAlign w:val="center"/>
          </w:tcPr>
          <w:p w14:paraId="3D30BA7E">
            <w:pPr>
              <w:autoSpaceDE w:val="0"/>
              <w:autoSpaceDN w:val="0"/>
              <w:adjustRightInd w:val="0"/>
              <w:snapToGrid w:val="0"/>
              <w:spacing w:line="240" w:lineRule="auto"/>
              <w:ind w:firstLine="0" w:firstLineChars="0"/>
              <w:jc w:val="center"/>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相符性</w:t>
            </w:r>
          </w:p>
        </w:tc>
      </w:tr>
      <w:tr w14:paraId="717C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255" w:type="pct"/>
            <w:vAlign w:val="center"/>
          </w:tcPr>
          <w:p w14:paraId="75045D16">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w:t>
            </w:r>
          </w:p>
        </w:tc>
        <w:tc>
          <w:tcPr>
            <w:tcW w:w="248" w:type="pct"/>
            <w:vMerge w:val="restart"/>
            <w:vAlign w:val="center"/>
          </w:tcPr>
          <w:p w14:paraId="4373FFC4">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选址选线</w:t>
            </w:r>
          </w:p>
        </w:tc>
        <w:tc>
          <w:tcPr>
            <w:tcW w:w="2453" w:type="pct"/>
            <w:vAlign w:val="center"/>
          </w:tcPr>
          <w:p w14:paraId="5427D5E6">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1614" w:type="pct"/>
            <w:vAlign w:val="center"/>
          </w:tcPr>
          <w:p w14:paraId="1745AE47">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本工程不涉及生态保护红线、饮用水源保护区等环境敏感区，选址选线符合相关法律法规及管理要求。</w:t>
            </w:r>
          </w:p>
        </w:tc>
        <w:tc>
          <w:tcPr>
            <w:tcW w:w="427" w:type="pct"/>
            <w:vAlign w:val="center"/>
          </w:tcPr>
          <w:p w14:paraId="673B8579">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6A30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255" w:type="pct"/>
            <w:shd w:val="clear" w:color="auto" w:fill="auto"/>
            <w:vAlign w:val="center"/>
          </w:tcPr>
          <w:p w14:paraId="4DC2646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2</w:t>
            </w:r>
          </w:p>
        </w:tc>
        <w:tc>
          <w:tcPr>
            <w:tcW w:w="248" w:type="pct"/>
            <w:vMerge w:val="continue"/>
            <w:vAlign w:val="center"/>
          </w:tcPr>
          <w:p w14:paraId="359350F0">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shd w:val="clear" w:color="auto" w:fill="auto"/>
            <w:vAlign w:val="center"/>
          </w:tcPr>
          <w:p w14:paraId="6F94C886">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户外变电工程及规划架空进出线选址选线时，应关注以居住、医疗卫生、文化教育、科研、行政办公等为主要功能的区域，采取综合措施，减少电磁和声环境影响。</w:t>
            </w:r>
          </w:p>
        </w:tc>
        <w:tc>
          <w:tcPr>
            <w:tcW w:w="1614" w:type="pct"/>
            <w:shd w:val="clear" w:color="auto" w:fill="auto"/>
            <w:vAlign w:val="center"/>
          </w:tcPr>
          <w:p w14:paraId="39DDA581">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本项目进出线规划时考虑了以居住、医疗卫生、文化教育、科研、行政办公等为主要功能的区域分布情况，避让了上述区域，并采取措施减少了电磁环境和声环境影响。</w:t>
            </w:r>
          </w:p>
        </w:tc>
        <w:tc>
          <w:tcPr>
            <w:tcW w:w="427" w:type="pct"/>
            <w:vAlign w:val="center"/>
          </w:tcPr>
          <w:p w14:paraId="07232434">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0C46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255" w:type="pct"/>
            <w:shd w:val="clear" w:color="auto" w:fill="auto"/>
            <w:vAlign w:val="center"/>
          </w:tcPr>
          <w:p w14:paraId="629D26A4">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w:t>
            </w:r>
          </w:p>
        </w:tc>
        <w:tc>
          <w:tcPr>
            <w:tcW w:w="248" w:type="pct"/>
            <w:vMerge w:val="continue"/>
            <w:vAlign w:val="center"/>
          </w:tcPr>
          <w:p w14:paraId="41E0464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vAlign w:val="center"/>
          </w:tcPr>
          <w:p w14:paraId="53F516CA">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原则上避免在0类声环境功能区建设变电工程。</w:t>
            </w:r>
          </w:p>
        </w:tc>
        <w:tc>
          <w:tcPr>
            <w:tcW w:w="1614" w:type="pct"/>
            <w:vAlign w:val="center"/>
          </w:tcPr>
          <w:p w14:paraId="7C782D07">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本工程不涉及新建变电站。</w:t>
            </w:r>
          </w:p>
        </w:tc>
        <w:tc>
          <w:tcPr>
            <w:tcW w:w="427" w:type="pct"/>
            <w:vAlign w:val="center"/>
          </w:tcPr>
          <w:p w14:paraId="29646A1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符合</w:t>
            </w:r>
          </w:p>
        </w:tc>
      </w:tr>
      <w:tr w14:paraId="2DB4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255" w:type="pct"/>
            <w:shd w:val="clear" w:color="auto" w:fill="auto"/>
            <w:vAlign w:val="center"/>
          </w:tcPr>
          <w:p w14:paraId="153E505F">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4</w:t>
            </w:r>
          </w:p>
        </w:tc>
        <w:tc>
          <w:tcPr>
            <w:tcW w:w="248" w:type="pct"/>
            <w:vMerge w:val="continue"/>
            <w:vAlign w:val="center"/>
          </w:tcPr>
          <w:p w14:paraId="129E05F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shd w:val="clear" w:color="auto" w:fill="auto"/>
            <w:vAlign w:val="center"/>
          </w:tcPr>
          <w:p w14:paraId="5358543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输电线路宜避让集中林区，以减少树木砍伐，保护生态环境。</w:t>
            </w:r>
          </w:p>
        </w:tc>
        <w:tc>
          <w:tcPr>
            <w:tcW w:w="1614" w:type="pct"/>
            <w:shd w:val="clear" w:color="auto" w:fill="auto"/>
            <w:vAlign w:val="center"/>
          </w:tcPr>
          <w:p w14:paraId="7EA46AC5">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本项目输电线路未经过集中林区，不涉及林木砍伐。</w:t>
            </w:r>
          </w:p>
        </w:tc>
        <w:tc>
          <w:tcPr>
            <w:tcW w:w="427" w:type="pct"/>
            <w:shd w:val="clear" w:color="auto" w:fill="auto"/>
            <w:vAlign w:val="center"/>
          </w:tcPr>
          <w:p w14:paraId="04A0F3C4">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0444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255" w:type="pct"/>
            <w:shd w:val="clear" w:color="auto" w:fill="auto"/>
            <w:vAlign w:val="center"/>
          </w:tcPr>
          <w:p w14:paraId="7C8AA6BD">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5</w:t>
            </w:r>
          </w:p>
        </w:tc>
        <w:tc>
          <w:tcPr>
            <w:tcW w:w="248" w:type="pct"/>
            <w:vMerge w:val="continue"/>
            <w:vAlign w:val="center"/>
          </w:tcPr>
          <w:p w14:paraId="6E2BA44F">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shd w:val="clear" w:color="auto" w:fill="auto"/>
            <w:vAlign w:val="center"/>
          </w:tcPr>
          <w:p w14:paraId="1B4B4A16">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进入自然保护区的输电线路，应按照HJ19的要求开展生态现状调查，避让保护对象的集中分布区。</w:t>
            </w:r>
          </w:p>
        </w:tc>
        <w:tc>
          <w:tcPr>
            <w:tcW w:w="1614" w:type="pct"/>
            <w:shd w:val="clear" w:color="auto" w:fill="auto"/>
            <w:vAlign w:val="center"/>
          </w:tcPr>
          <w:p w14:paraId="3265EA50">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本项目占地不涉及自然保护区。</w:t>
            </w:r>
          </w:p>
        </w:tc>
        <w:tc>
          <w:tcPr>
            <w:tcW w:w="427" w:type="pct"/>
            <w:shd w:val="clear" w:color="auto" w:fill="auto"/>
            <w:vAlign w:val="center"/>
          </w:tcPr>
          <w:p w14:paraId="0ADABB02">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3BE7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255" w:type="pct"/>
            <w:shd w:val="clear" w:color="auto" w:fill="auto"/>
            <w:vAlign w:val="center"/>
          </w:tcPr>
          <w:p w14:paraId="65655ADE">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w:t>
            </w:r>
          </w:p>
        </w:tc>
        <w:tc>
          <w:tcPr>
            <w:tcW w:w="248" w:type="pct"/>
            <w:vMerge w:val="restart"/>
            <w:vAlign w:val="center"/>
          </w:tcPr>
          <w:p w14:paraId="7C5BEF34">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设计</w:t>
            </w:r>
          </w:p>
        </w:tc>
        <w:tc>
          <w:tcPr>
            <w:tcW w:w="2453" w:type="pct"/>
            <w:vAlign w:val="center"/>
          </w:tcPr>
          <w:p w14:paraId="6DF4A80E">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工程设计应对产生的工频电场、工频磁场、直流合成电场等电磁环境影响因子进行验算，采取相应防护措施，确保电磁环境影响满足国家标准要求。</w:t>
            </w:r>
          </w:p>
        </w:tc>
        <w:tc>
          <w:tcPr>
            <w:tcW w:w="1614" w:type="pct"/>
            <w:vAlign w:val="center"/>
          </w:tcPr>
          <w:p w14:paraId="5DE01F30">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本项目对产生的工频电场、工频磁场进行了预测，根据电磁环境影响预测结果及本次环评提出的要求，本项目电磁环境影响能满足国家标准要求。</w:t>
            </w:r>
          </w:p>
        </w:tc>
        <w:tc>
          <w:tcPr>
            <w:tcW w:w="427" w:type="pct"/>
            <w:vAlign w:val="center"/>
          </w:tcPr>
          <w:p w14:paraId="7A19693F">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3CC9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255" w:type="pct"/>
            <w:shd w:val="clear" w:color="auto" w:fill="auto"/>
            <w:vAlign w:val="center"/>
          </w:tcPr>
          <w:p w14:paraId="3F7B5669">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w:t>
            </w:r>
          </w:p>
        </w:tc>
        <w:tc>
          <w:tcPr>
            <w:tcW w:w="248" w:type="pct"/>
            <w:vMerge w:val="continue"/>
            <w:vAlign w:val="center"/>
          </w:tcPr>
          <w:p w14:paraId="79AEC3B9">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vAlign w:val="center"/>
          </w:tcPr>
          <w:p w14:paraId="4097784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输电线路设计应因地制宜选择线路型式、架设高度、杆塔塔型、导线参数、相序布置等，减少电磁环境影响。</w:t>
            </w:r>
          </w:p>
        </w:tc>
        <w:tc>
          <w:tcPr>
            <w:tcW w:w="1614" w:type="pct"/>
            <w:vAlign w:val="center"/>
          </w:tcPr>
          <w:p w14:paraId="0DEE478A">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根据电磁环境影响预测结果，本项目选择的输电线路型式、架设高度、杆塔塔型、导线参数、相序布置方式等，均可以使工程的电磁环境影响满足国家标准要求。</w:t>
            </w:r>
          </w:p>
        </w:tc>
        <w:tc>
          <w:tcPr>
            <w:tcW w:w="427" w:type="pct"/>
            <w:vAlign w:val="center"/>
          </w:tcPr>
          <w:p w14:paraId="093B2365">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1806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255" w:type="pct"/>
            <w:shd w:val="clear" w:color="auto" w:fill="auto"/>
            <w:vAlign w:val="center"/>
          </w:tcPr>
          <w:p w14:paraId="1DC8DECF">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w:t>
            </w:r>
          </w:p>
        </w:tc>
        <w:tc>
          <w:tcPr>
            <w:tcW w:w="248" w:type="pct"/>
            <w:vMerge w:val="continue"/>
            <w:vAlign w:val="center"/>
          </w:tcPr>
          <w:p w14:paraId="3E1871B5">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vAlign w:val="center"/>
          </w:tcPr>
          <w:p w14:paraId="4ACF03A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架空输电线路经过电磁环境敏感目标时，应采取避让或增加导线对地高度等措施，减少电磁环境影响。</w:t>
            </w:r>
          </w:p>
        </w:tc>
        <w:tc>
          <w:tcPr>
            <w:tcW w:w="1614" w:type="pct"/>
            <w:vAlign w:val="center"/>
          </w:tcPr>
          <w:p w14:paraId="02CCABF0">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本工程已提出增加导线对地高度的要求。</w:t>
            </w:r>
          </w:p>
        </w:tc>
        <w:tc>
          <w:tcPr>
            <w:tcW w:w="427" w:type="pct"/>
            <w:vAlign w:val="center"/>
          </w:tcPr>
          <w:p w14:paraId="00ECD07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1312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55" w:type="pct"/>
            <w:shd w:val="clear" w:color="auto" w:fill="auto"/>
            <w:vAlign w:val="center"/>
          </w:tcPr>
          <w:p w14:paraId="5B7F2066">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9</w:t>
            </w:r>
          </w:p>
        </w:tc>
        <w:tc>
          <w:tcPr>
            <w:tcW w:w="248" w:type="pct"/>
            <w:vMerge w:val="continue"/>
            <w:vAlign w:val="center"/>
          </w:tcPr>
          <w:p w14:paraId="370ABD2E">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vAlign w:val="center"/>
          </w:tcPr>
          <w:p w14:paraId="32086EBF">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变电工程的布置设计应考虑进出线对周围电磁环境的影响。</w:t>
            </w:r>
          </w:p>
        </w:tc>
        <w:tc>
          <w:tcPr>
            <w:tcW w:w="1614" w:type="pct"/>
            <w:vAlign w:val="center"/>
          </w:tcPr>
          <w:p w14:paraId="088D517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本工程不涉及变电站工程。</w:t>
            </w:r>
          </w:p>
        </w:tc>
        <w:tc>
          <w:tcPr>
            <w:tcW w:w="427" w:type="pct"/>
            <w:vAlign w:val="center"/>
          </w:tcPr>
          <w:p w14:paraId="307BA916">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0DF0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7" w:hRule="atLeast"/>
        </w:trPr>
        <w:tc>
          <w:tcPr>
            <w:tcW w:w="255" w:type="pct"/>
            <w:shd w:val="clear" w:color="auto" w:fill="auto"/>
            <w:vAlign w:val="center"/>
          </w:tcPr>
          <w:p w14:paraId="474B573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10</w:t>
            </w:r>
          </w:p>
        </w:tc>
        <w:tc>
          <w:tcPr>
            <w:tcW w:w="248" w:type="pct"/>
            <w:vMerge w:val="continue"/>
            <w:vAlign w:val="center"/>
          </w:tcPr>
          <w:p w14:paraId="305E758F">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vAlign w:val="center"/>
          </w:tcPr>
          <w:p w14:paraId="32D0C3D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330kV及以上电压等级的输电线路出现交叉跨越或并行时，应考虑其对电磁环境敏感目标的综合影响。</w:t>
            </w:r>
          </w:p>
        </w:tc>
        <w:tc>
          <w:tcPr>
            <w:tcW w:w="1614" w:type="pct"/>
            <w:vAlign w:val="center"/>
          </w:tcPr>
          <w:p w14:paraId="0DF6079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本工程不涉及330kV及以上电压等级的输电线路交叉。</w:t>
            </w:r>
          </w:p>
        </w:tc>
        <w:tc>
          <w:tcPr>
            <w:tcW w:w="427" w:type="pct"/>
            <w:vAlign w:val="center"/>
          </w:tcPr>
          <w:p w14:paraId="328E08B1">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68CB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255" w:type="pct"/>
            <w:shd w:val="clear" w:color="auto" w:fill="auto"/>
            <w:vAlign w:val="center"/>
          </w:tcPr>
          <w:p w14:paraId="5659FB42">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11</w:t>
            </w:r>
          </w:p>
        </w:tc>
        <w:tc>
          <w:tcPr>
            <w:tcW w:w="248" w:type="pct"/>
            <w:vMerge w:val="continue"/>
            <w:vAlign w:val="center"/>
          </w:tcPr>
          <w:p w14:paraId="5508F030">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vAlign w:val="center"/>
          </w:tcPr>
          <w:p w14:paraId="52F339C7">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输变电建设项目在设计过程中应按照避让、减缓、恢复的次序提出生态影响防护与恢复的措施。</w:t>
            </w:r>
          </w:p>
        </w:tc>
        <w:tc>
          <w:tcPr>
            <w:tcW w:w="1614" w:type="pct"/>
            <w:vAlign w:val="center"/>
          </w:tcPr>
          <w:p w14:paraId="57FC670D">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本项目环评按照避让、减缓、恢复的次序提出生态影响防护与恢复的措施。</w:t>
            </w:r>
          </w:p>
        </w:tc>
        <w:tc>
          <w:tcPr>
            <w:tcW w:w="427" w:type="pct"/>
            <w:vAlign w:val="center"/>
          </w:tcPr>
          <w:p w14:paraId="090A3CCF">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0B7B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5" w:type="pct"/>
            <w:shd w:val="clear" w:color="auto" w:fill="auto"/>
            <w:vAlign w:val="center"/>
          </w:tcPr>
          <w:p w14:paraId="6590714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12</w:t>
            </w:r>
          </w:p>
        </w:tc>
        <w:tc>
          <w:tcPr>
            <w:tcW w:w="248" w:type="pct"/>
            <w:vMerge w:val="continue"/>
            <w:vAlign w:val="center"/>
          </w:tcPr>
          <w:p w14:paraId="7156BF9B">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vAlign w:val="center"/>
          </w:tcPr>
          <w:p w14:paraId="28017F1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输变电建设项目临时占地，应因地制宜进行土地功能恢复设计。</w:t>
            </w:r>
          </w:p>
        </w:tc>
        <w:tc>
          <w:tcPr>
            <w:tcW w:w="1614" w:type="pct"/>
            <w:vAlign w:val="center"/>
          </w:tcPr>
          <w:p w14:paraId="5C7570D7">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本项目施工临时占地将进行恢复。</w:t>
            </w:r>
          </w:p>
        </w:tc>
        <w:tc>
          <w:tcPr>
            <w:tcW w:w="427" w:type="pct"/>
            <w:vAlign w:val="center"/>
          </w:tcPr>
          <w:p w14:paraId="2076DFFE">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7815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255" w:type="pct"/>
            <w:shd w:val="clear" w:color="auto" w:fill="auto"/>
            <w:vAlign w:val="center"/>
          </w:tcPr>
          <w:p w14:paraId="2A1C5C0A">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13</w:t>
            </w:r>
          </w:p>
        </w:tc>
        <w:tc>
          <w:tcPr>
            <w:tcW w:w="248" w:type="pct"/>
            <w:vMerge w:val="continue"/>
            <w:vAlign w:val="center"/>
          </w:tcPr>
          <w:p w14:paraId="1D03B6A3">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vAlign w:val="center"/>
          </w:tcPr>
          <w:p w14:paraId="32825E3D">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进入自然保护区的输电线路，应根据生态现状调查结果，制定相应的保护方案。塔基定位应避让珍稀濒危物种、保护植物和保护动物的栖息地，根据保护对象的特性设计相应的生态环境保护措施、设施等。</w:t>
            </w:r>
          </w:p>
        </w:tc>
        <w:tc>
          <w:tcPr>
            <w:tcW w:w="1614" w:type="pct"/>
            <w:vAlign w:val="center"/>
          </w:tcPr>
          <w:p w14:paraId="4E660787">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本项目输电线路不涉及自然保护区。</w:t>
            </w:r>
          </w:p>
        </w:tc>
        <w:tc>
          <w:tcPr>
            <w:tcW w:w="427" w:type="pct"/>
            <w:vAlign w:val="center"/>
          </w:tcPr>
          <w:p w14:paraId="3B3B96D1">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4814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255" w:type="pct"/>
            <w:shd w:val="clear" w:color="auto" w:fill="auto"/>
            <w:vAlign w:val="center"/>
          </w:tcPr>
          <w:p w14:paraId="7104E28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14</w:t>
            </w:r>
          </w:p>
        </w:tc>
        <w:tc>
          <w:tcPr>
            <w:tcW w:w="248" w:type="pct"/>
            <w:vMerge w:val="restart"/>
            <w:vAlign w:val="center"/>
          </w:tcPr>
          <w:p w14:paraId="6374027A">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施工</w:t>
            </w:r>
          </w:p>
        </w:tc>
        <w:tc>
          <w:tcPr>
            <w:tcW w:w="2453" w:type="pct"/>
            <w:vAlign w:val="center"/>
          </w:tcPr>
          <w:p w14:paraId="748FF8A1">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输变电建设项目施工应落实设计文件、环境影响评价文件及其审批部门审批决定中提出的环境保护要求。设备采购和施工合同中应明确环境保护要求，环境保护措施的实施和环境保护设施的施工安装质量应符合设计和技术协议书、相关标准的要求。</w:t>
            </w:r>
          </w:p>
        </w:tc>
        <w:tc>
          <w:tcPr>
            <w:tcW w:w="1614" w:type="pct"/>
            <w:vAlign w:val="center"/>
          </w:tcPr>
          <w:p w14:paraId="5242316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本环评要求在项目施工过程中应落实施工设计文件、</w:t>
            </w:r>
            <w:r>
              <w:rPr>
                <w:rFonts w:hint="eastAsia"/>
                <w:color w:val="000000" w:themeColor="text1"/>
                <w:kern w:val="0"/>
                <w:sz w:val="21"/>
                <w:szCs w:val="21"/>
                <w:lang w:val="en-US" w:eastAsia="zh-CN"/>
                <w14:textFill>
                  <w14:solidFill>
                    <w14:schemeClr w14:val="tx1"/>
                  </w14:solidFill>
                </w14:textFill>
              </w:rPr>
              <w:t>生态</w:t>
            </w:r>
            <w:r>
              <w:rPr>
                <w:rFonts w:hint="eastAsia"/>
                <w:color w:val="000000" w:themeColor="text1"/>
                <w:kern w:val="0"/>
                <w:sz w:val="21"/>
                <w:szCs w:val="21"/>
                <w14:textFill>
                  <w14:solidFill>
                    <w14:schemeClr w14:val="tx1"/>
                  </w14:solidFill>
                </w14:textFill>
              </w:rPr>
              <w:t>环境影响评价文件及其审批部门审批决定中提出的环境保护要求，并按照审批部门的文件做好施工期的环境保护要求。</w:t>
            </w:r>
          </w:p>
        </w:tc>
        <w:tc>
          <w:tcPr>
            <w:tcW w:w="427" w:type="pct"/>
            <w:vAlign w:val="center"/>
          </w:tcPr>
          <w:p w14:paraId="506EDCAB">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7741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255" w:type="pct"/>
            <w:shd w:val="clear" w:color="auto" w:fill="auto"/>
            <w:vAlign w:val="center"/>
          </w:tcPr>
          <w:p w14:paraId="50480F2B">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15</w:t>
            </w:r>
          </w:p>
        </w:tc>
        <w:tc>
          <w:tcPr>
            <w:tcW w:w="248" w:type="pct"/>
            <w:vMerge w:val="continue"/>
            <w:vAlign w:val="center"/>
          </w:tcPr>
          <w:p w14:paraId="777AD3D0">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shd w:val="clear" w:color="auto" w:fill="auto"/>
            <w:vAlign w:val="center"/>
          </w:tcPr>
          <w:p w14:paraId="3E1CC1AE">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施工现场使用带油料的机械器具，应采取措施防止油料跑、冒、滴、漏，防止对土壤和水体造成污染。施工结束后，应及时清理施工现场，因地制宜进行土地功能恢复。</w:t>
            </w:r>
          </w:p>
        </w:tc>
        <w:tc>
          <w:tcPr>
            <w:tcW w:w="1614" w:type="pct"/>
            <w:shd w:val="clear" w:color="auto" w:fill="auto"/>
            <w:vAlign w:val="center"/>
          </w:tcPr>
          <w:p w14:paraId="703F186F">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本环评要求在项目施工过程中，项目施工期应做好施工机械合理摆放，定期对施工机械进行保养，禁止出现油料跑、冒、滴、漏。施工结束后，及时恢复施工迹地。</w:t>
            </w:r>
          </w:p>
        </w:tc>
        <w:tc>
          <w:tcPr>
            <w:tcW w:w="427" w:type="pct"/>
            <w:shd w:val="clear" w:color="auto" w:fill="auto"/>
            <w:vAlign w:val="center"/>
          </w:tcPr>
          <w:p w14:paraId="3F994D90">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6D54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255" w:type="pct"/>
            <w:shd w:val="clear" w:color="auto" w:fill="auto"/>
            <w:vAlign w:val="center"/>
          </w:tcPr>
          <w:p w14:paraId="253B7C87">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16</w:t>
            </w:r>
          </w:p>
        </w:tc>
        <w:tc>
          <w:tcPr>
            <w:tcW w:w="248" w:type="pct"/>
            <w:vMerge w:val="continue"/>
            <w:vAlign w:val="center"/>
          </w:tcPr>
          <w:p w14:paraId="76251916">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shd w:val="clear" w:color="auto" w:fill="auto"/>
            <w:vAlign w:val="center"/>
          </w:tcPr>
          <w:p w14:paraId="08405D3A">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施工期间禁止向水体排放、倾倒垃圾、弃土、弃渣，禁止排放未经处理的钻浆等废弃物。</w:t>
            </w:r>
          </w:p>
        </w:tc>
        <w:tc>
          <w:tcPr>
            <w:tcW w:w="1614" w:type="pct"/>
            <w:shd w:val="clear" w:color="auto" w:fill="auto"/>
            <w:vAlign w:val="center"/>
          </w:tcPr>
          <w:p w14:paraId="284533D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本项目施工期间</w:t>
            </w:r>
            <w:r>
              <w:rPr>
                <w:rFonts w:hint="eastAsia"/>
                <w:color w:val="000000" w:themeColor="text1"/>
                <w:kern w:val="0"/>
                <w:sz w:val="21"/>
                <w:szCs w:val="21"/>
                <w:lang w:val="en-US" w:eastAsia="zh-CN"/>
                <w14:textFill>
                  <w14:solidFill>
                    <w14:schemeClr w14:val="tx1"/>
                  </w14:solidFill>
                </w14:textFill>
              </w:rPr>
              <w:t>生活污水</w:t>
            </w:r>
            <w:r>
              <w:rPr>
                <w:rFonts w:hint="eastAsia"/>
                <w:color w:val="000000" w:themeColor="text1"/>
                <w:kern w:val="0"/>
                <w:sz w:val="21"/>
                <w:szCs w:val="21"/>
                <w14:textFill>
                  <w14:solidFill>
                    <w14:schemeClr w14:val="tx1"/>
                  </w14:solidFill>
                </w14:textFill>
              </w:rPr>
              <w:t>、固体废物均能得到合理处置。</w:t>
            </w:r>
          </w:p>
        </w:tc>
        <w:tc>
          <w:tcPr>
            <w:tcW w:w="427" w:type="pct"/>
            <w:shd w:val="clear" w:color="auto" w:fill="auto"/>
            <w:vAlign w:val="center"/>
          </w:tcPr>
          <w:p w14:paraId="01E29AA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61A5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 w:hRule="atLeast"/>
        </w:trPr>
        <w:tc>
          <w:tcPr>
            <w:tcW w:w="255" w:type="pct"/>
            <w:vAlign w:val="center"/>
          </w:tcPr>
          <w:p w14:paraId="5A8AD05E">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17</w:t>
            </w:r>
          </w:p>
        </w:tc>
        <w:tc>
          <w:tcPr>
            <w:tcW w:w="248" w:type="pct"/>
            <w:vMerge w:val="continue"/>
            <w:vAlign w:val="center"/>
          </w:tcPr>
          <w:p w14:paraId="1A689412">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shd w:val="clear" w:color="auto" w:fill="auto"/>
            <w:vAlign w:val="center"/>
          </w:tcPr>
          <w:p w14:paraId="39053BEC">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施工过程中，对易起尘的临时堆土、运输过程中的土石方等应采用密闭式防尘布（网）进行苫盖，施工面集中且有条件的地方宜采取洒水降尘等有效措施，减少易造成大气污染的施工作业。</w:t>
            </w:r>
          </w:p>
        </w:tc>
        <w:tc>
          <w:tcPr>
            <w:tcW w:w="1614" w:type="pct"/>
            <w:shd w:val="clear" w:color="auto" w:fill="auto"/>
            <w:vAlign w:val="center"/>
          </w:tcPr>
          <w:p w14:paraId="18D8AE3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项目加强对施工现场和物料运输的管理，保持道路清洁，管控料堆和渣土堆放，洒水降尘防止扬尘污染；施工单位应当对施工开挖后的裸露地面进行覆盖；施工现场禁止将包装物、可燃垃圾等固体废弃物就地焚烧。</w:t>
            </w:r>
          </w:p>
        </w:tc>
        <w:tc>
          <w:tcPr>
            <w:tcW w:w="427" w:type="pct"/>
            <w:shd w:val="clear" w:color="auto" w:fill="auto"/>
            <w:vAlign w:val="center"/>
          </w:tcPr>
          <w:p w14:paraId="4BA059E2">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r w14:paraId="45F6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255" w:type="pct"/>
            <w:vAlign w:val="center"/>
          </w:tcPr>
          <w:p w14:paraId="141C4928">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18</w:t>
            </w:r>
          </w:p>
        </w:tc>
        <w:tc>
          <w:tcPr>
            <w:tcW w:w="248" w:type="pct"/>
            <w:vMerge w:val="continue"/>
            <w:vAlign w:val="center"/>
          </w:tcPr>
          <w:p w14:paraId="1C2F4159">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p>
        </w:tc>
        <w:tc>
          <w:tcPr>
            <w:tcW w:w="2453" w:type="pct"/>
            <w:shd w:val="clear" w:color="auto" w:fill="auto"/>
            <w:vAlign w:val="center"/>
          </w:tcPr>
          <w:p w14:paraId="5BEAC78D">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施工过程中产生的土石方、建筑垃圾、生活垃圾应分类集中收集，并按国家和地方有关规定定期进行清运处置，施工完成后及时做好迹地清理工作。</w:t>
            </w:r>
          </w:p>
        </w:tc>
        <w:tc>
          <w:tcPr>
            <w:tcW w:w="1614" w:type="pct"/>
            <w:shd w:val="clear" w:color="auto" w:fill="auto"/>
            <w:vAlign w:val="center"/>
          </w:tcPr>
          <w:p w14:paraId="58F64C5B">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施工期产生活垃圾集中收集后交由</w:t>
            </w:r>
            <w:r>
              <w:rPr>
                <w:rFonts w:hint="eastAsia"/>
                <w:color w:val="000000" w:themeColor="text1"/>
                <w:kern w:val="0"/>
                <w:sz w:val="21"/>
                <w:szCs w:val="21"/>
                <w14:textFill>
                  <w14:solidFill>
                    <w14:schemeClr w14:val="tx1"/>
                  </w14:solidFill>
                </w14:textFill>
              </w:rPr>
              <w:t>当地</w:t>
            </w:r>
            <w:r>
              <w:rPr>
                <w:color w:val="000000" w:themeColor="text1"/>
                <w:kern w:val="0"/>
                <w:sz w:val="21"/>
                <w:szCs w:val="21"/>
                <w14:textFill>
                  <w14:solidFill>
                    <w14:schemeClr w14:val="tx1"/>
                  </w14:solidFill>
                </w14:textFill>
              </w:rPr>
              <w:t>环卫部门清运，禁止随地堆放。</w:t>
            </w:r>
            <w:r>
              <w:rPr>
                <w:rFonts w:hint="eastAsia"/>
                <w:color w:val="000000" w:themeColor="text1"/>
                <w:kern w:val="0"/>
                <w:sz w:val="21"/>
                <w:szCs w:val="21"/>
                <w14:textFill>
                  <w14:solidFill>
                    <w14:schemeClr w14:val="tx1"/>
                  </w14:solidFill>
                </w14:textFill>
              </w:rPr>
              <w:t>本项目无弃方产生，</w:t>
            </w:r>
            <w:r>
              <w:rPr>
                <w:color w:val="000000" w:themeColor="text1"/>
                <w:kern w:val="0"/>
                <w:sz w:val="21"/>
                <w:szCs w:val="21"/>
                <w14:textFill>
                  <w14:solidFill>
                    <w14:schemeClr w14:val="tx1"/>
                  </w14:solidFill>
                </w14:textFill>
              </w:rPr>
              <w:t>施工产生的土方</w:t>
            </w:r>
            <w:r>
              <w:rPr>
                <w:rFonts w:hint="eastAsia"/>
                <w:color w:val="000000" w:themeColor="text1"/>
                <w:kern w:val="0"/>
                <w:sz w:val="21"/>
                <w:szCs w:val="21"/>
                <w14:textFill>
                  <w14:solidFill>
                    <w14:schemeClr w14:val="tx1"/>
                  </w14:solidFill>
                </w14:textFill>
              </w:rPr>
              <w:t>用于塔坑回填及就近摊平，</w:t>
            </w:r>
            <w:r>
              <w:rPr>
                <w:color w:val="000000" w:themeColor="text1"/>
                <w:kern w:val="0"/>
                <w:sz w:val="21"/>
                <w:szCs w:val="21"/>
                <w14:textFill>
                  <w14:solidFill>
                    <w14:schemeClr w14:val="tx1"/>
                  </w14:solidFill>
                </w14:textFill>
              </w:rPr>
              <w:t>建筑垃圾</w:t>
            </w:r>
            <w:r>
              <w:rPr>
                <w:rFonts w:hint="eastAsia"/>
                <w:color w:val="000000" w:themeColor="text1"/>
                <w:kern w:val="0"/>
                <w:sz w:val="21"/>
                <w:szCs w:val="21"/>
                <w14:textFill>
                  <w14:solidFill>
                    <w14:schemeClr w14:val="tx1"/>
                  </w14:solidFill>
                </w14:textFill>
              </w:rPr>
              <w:t>明确要求施工过程中的建筑垃圾及生活垃圾应分别堆放，并安排专人专车及时或定期清运，建筑垃圾运至指定场所处理。</w:t>
            </w:r>
            <w:r>
              <w:rPr>
                <w:color w:val="000000" w:themeColor="text1"/>
                <w:kern w:val="0"/>
                <w:sz w:val="21"/>
                <w:szCs w:val="21"/>
                <w14:textFill>
                  <w14:solidFill>
                    <w14:schemeClr w14:val="tx1"/>
                  </w14:solidFill>
                </w14:textFill>
              </w:rPr>
              <w:t>施工结束后，临时场地不许堆放固体废物，对临时场地按之前地貌进行恢复。</w:t>
            </w:r>
          </w:p>
        </w:tc>
        <w:tc>
          <w:tcPr>
            <w:tcW w:w="427" w:type="pct"/>
            <w:vAlign w:val="center"/>
          </w:tcPr>
          <w:p w14:paraId="7BDC1A9E">
            <w:pPr>
              <w:autoSpaceDE w:val="0"/>
              <w:autoSpaceDN w:val="0"/>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符合</w:t>
            </w:r>
          </w:p>
        </w:tc>
      </w:tr>
    </w:tbl>
    <w:p w14:paraId="0DF36B06">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综上所述，本工程评价范围内不涉及</w:t>
      </w:r>
      <w:r>
        <w:rPr>
          <w:rFonts w:hint="eastAsia"/>
          <w:color w:val="000000" w:themeColor="text1"/>
          <w:lang w:val="en-US"/>
          <w14:textFill>
            <w14:solidFill>
              <w14:schemeClr w14:val="tx1"/>
            </w14:solidFill>
          </w14:textFill>
        </w:rPr>
        <w:t>《</w:t>
      </w:r>
      <w:r>
        <w:rPr>
          <w:color w:val="000000" w:themeColor="text1"/>
          <w:lang w:val="en-US"/>
          <w14:textFill>
            <w14:solidFill>
              <w14:schemeClr w14:val="tx1"/>
            </w14:solidFill>
          </w14:textFill>
        </w:rPr>
        <w:t>建设项目环境影响评价分类管理名录（2021年版）</w:t>
      </w:r>
      <w:r>
        <w:rPr>
          <w:rFonts w:hint="eastAsia"/>
          <w:color w:val="000000" w:themeColor="text1"/>
          <w:lang w:val="en-US"/>
          <w14:textFill>
            <w14:solidFill>
              <w14:schemeClr w14:val="tx1"/>
            </w14:solidFill>
          </w14:textFill>
        </w:rPr>
        <w:t>》中第三条（一）中的全部区域；第三条（三）中的以居住、医疗卫生、文化教育、科研、行政办公等为主要功能的区域</w:t>
      </w:r>
      <w:r>
        <w:rPr>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线路选址</w:t>
      </w:r>
      <w:r>
        <w:rPr>
          <w:color w:val="000000" w:themeColor="text1"/>
          <w14:textFill>
            <w14:solidFill>
              <w14:schemeClr w14:val="tx1"/>
            </w14:solidFill>
          </w14:textFill>
        </w:rPr>
        <w:t>也不在《声环境质量标准》（GB3096-2008）规定的0类声环境功能区，电磁环境评价范围内没有以居住、医疗卫生、文化教育、</w:t>
      </w:r>
      <w:r>
        <w:rPr>
          <w:rFonts w:hint="eastAsia"/>
          <w:color w:val="000000" w:themeColor="text1"/>
          <w14:textFill>
            <w14:solidFill>
              <w14:schemeClr w14:val="tx1"/>
            </w14:solidFill>
          </w14:textFill>
        </w:rPr>
        <w:t>科</w:t>
      </w:r>
      <w:r>
        <w:rPr>
          <w:color w:val="000000" w:themeColor="text1"/>
          <w14:textFill>
            <w14:solidFill>
              <w14:schemeClr w14:val="tx1"/>
            </w14:solidFill>
          </w14:textFill>
        </w:rPr>
        <w:t>研、行政办公等为主要功能的区域，符合《输变电建设项目环境保护技术要求》（HJ1113-2020）</w:t>
      </w:r>
      <w:r>
        <w:rPr>
          <w:rFonts w:hint="eastAsia"/>
          <w:color w:val="000000" w:themeColor="text1"/>
          <w14:textFill>
            <w14:solidFill>
              <w14:schemeClr w14:val="tx1"/>
            </w14:solidFill>
          </w14:textFill>
        </w:rPr>
        <w:t>、</w:t>
      </w:r>
      <w:r>
        <w:rPr>
          <w:rFonts w:hint="eastAsia"/>
          <w:color w:val="000000" w:themeColor="text1"/>
          <w:lang w:val="en-US"/>
          <w14:textFill>
            <w14:solidFill>
              <w14:schemeClr w14:val="tx1"/>
            </w14:solidFill>
          </w14:textFill>
        </w:rPr>
        <w:t>《危险废物贮存污染控制标准》（GB18597-2023）</w:t>
      </w:r>
      <w:r>
        <w:rPr>
          <w:color w:val="000000" w:themeColor="text1"/>
          <w14:textFill>
            <w14:solidFill>
              <w14:schemeClr w14:val="tx1"/>
            </w14:solidFill>
          </w14:textFill>
        </w:rPr>
        <w:t>，站址选择合理可行。</w:t>
      </w:r>
    </w:p>
    <w:p w14:paraId="4E5D7CA0">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本工程在设计、施工和运行期均采取了一系列环境保护措施，从电磁环境防护、声环境保护、水环境保护、施工期环境空气污染控制、固废处置、生态保护等方面降低工程的环境影响。</w:t>
      </w:r>
    </w:p>
    <w:p w14:paraId="7382EFD9">
      <w:pPr>
        <w:pStyle w:val="42"/>
        <w:ind w:firstLine="480"/>
        <w:rPr>
          <w:color w:val="000000" w:themeColor="text1"/>
          <w14:textFill>
            <w14:solidFill>
              <w14:schemeClr w14:val="tx1"/>
            </w14:solidFill>
          </w14:textFill>
        </w:rPr>
      </w:pPr>
      <w:r>
        <w:rPr>
          <w:color w:val="000000" w:themeColor="text1"/>
          <w14:textFill>
            <w14:solidFill>
              <w14:schemeClr w14:val="tx1"/>
            </w14:solidFill>
          </w14:textFill>
        </w:rPr>
        <w:t>综上，本工程与《输变电建设项目环境保护技术要求》是相符的。</w:t>
      </w:r>
    </w:p>
    <w:p w14:paraId="01383CFD">
      <w:pPr>
        <w:pStyle w:val="4"/>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3.2.1</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与新疆维吾尔自治区实施《中华人民共和国防沙治沙法》办法符合性分析</w:t>
      </w:r>
    </w:p>
    <w:p w14:paraId="658871C7">
      <w:pPr>
        <w:pStyle w:val="42"/>
        <w:ind w:firstLine="480"/>
        <w:rPr>
          <w:color w:val="000000" w:themeColor="text1"/>
          <w:lang w:val="en-US"/>
          <w14:textFill>
            <w14:solidFill>
              <w14:schemeClr w14:val="tx1"/>
            </w14:solidFill>
          </w14:textFill>
        </w:rPr>
      </w:pPr>
      <w:r>
        <w:rPr>
          <w:rFonts w:hint="eastAsia"/>
          <w:color w:val="000000" w:themeColor="text1"/>
          <w:lang w:val="en-US"/>
          <w14:textFill>
            <w14:solidFill>
              <w14:schemeClr w14:val="tx1"/>
            </w14:solidFill>
          </w14:textFill>
        </w:rPr>
        <w:t>本项目与新疆维吾尔自治区实施《中华人民共和国防沙治沙法》办法的符合性分析见表3.2-</w:t>
      </w:r>
      <w:r>
        <w:rPr>
          <w:rFonts w:hint="eastAsia"/>
          <w:color w:val="000000" w:themeColor="text1"/>
          <w:lang w:val="en-US" w:eastAsia="zh-CN"/>
          <w14:textFill>
            <w14:solidFill>
              <w14:schemeClr w14:val="tx1"/>
            </w14:solidFill>
          </w14:textFill>
        </w:rPr>
        <w:t>7</w:t>
      </w:r>
      <w:r>
        <w:rPr>
          <w:rFonts w:hint="eastAsia"/>
          <w:color w:val="000000" w:themeColor="text1"/>
          <w:lang w:val="en-US"/>
          <w14:textFill>
            <w14:solidFill>
              <w14:schemeClr w14:val="tx1"/>
            </w14:solidFill>
          </w14:textFill>
        </w:rPr>
        <w:t>。</w:t>
      </w:r>
    </w:p>
    <w:p w14:paraId="3E81BE27">
      <w:pPr>
        <w:pStyle w:val="42"/>
        <w:ind w:firstLine="0" w:firstLineChars="0"/>
        <w:jc w:val="center"/>
        <w:rPr>
          <w:b/>
          <w:bCs/>
          <w:color w:val="000000" w:themeColor="text1"/>
          <w:sz w:val="21"/>
          <w:szCs w:val="21"/>
          <w:lang w:val="en-US"/>
          <w14:textFill>
            <w14:solidFill>
              <w14:schemeClr w14:val="tx1"/>
            </w14:solidFill>
          </w14:textFill>
        </w:rPr>
      </w:pPr>
      <w:r>
        <w:rPr>
          <w:rFonts w:hint="eastAsia"/>
          <w:b/>
          <w:bCs/>
          <w:color w:val="000000" w:themeColor="text1"/>
          <w:sz w:val="21"/>
          <w:szCs w:val="21"/>
          <w:lang w:val="en-US"/>
          <w14:textFill>
            <w14:solidFill>
              <w14:schemeClr w14:val="tx1"/>
            </w14:solidFill>
          </w14:textFill>
        </w:rPr>
        <w:t>表3.2-</w:t>
      </w:r>
      <w:r>
        <w:rPr>
          <w:rFonts w:hint="eastAsia"/>
          <w:b/>
          <w:bCs/>
          <w:color w:val="000000" w:themeColor="text1"/>
          <w:sz w:val="21"/>
          <w:szCs w:val="21"/>
          <w:lang w:val="en-US" w:eastAsia="zh-CN"/>
          <w14:textFill>
            <w14:solidFill>
              <w14:schemeClr w14:val="tx1"/>
            </w14:solidFill>
          </w14:textFill>
        </w:rPr>
        <w:t>7</w:t>
      </w:r>
      <w:r>
        <w:rPr>
          <w:rFonts w:hint="eastAsia"/>
          <w:b/>
          <w:bCs/>
          <w:color w:val="000000" w:themeColor="text1"/>
          <w:sz w:val="21"/>
          <w:szCs w:val="21"/>
          <w:lang w:val="en-US"/>
          <w14:textFill>
            <w14:solidFill>
              <w14:schemeClr w14:val="tx1"/>
            </w14:solidFill>
          </w14:textFill>
        </w:rPr>
        <w:t xml:space="preserve">  项目与新疆维吾尔自治区实施《中华人民共和国防沙治沙法》办法的符合性分析一览表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
        <w:gridCol w:w="3266"/>
        <w:gridCol w:w="3139"/>
        <w:gridCol w:w="1123"/>
      </w:tblGrid>
      <w:tr w14:paraId="5F69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Pr>
          <w:p w14:paraId="1268C1D3">
            <w:pPr>
              <w:pStyle w:val="42"/>
              <w:spacing w:line="240" w:lineRule="auto"/>
              <w:ind w:firstLine="0" w:firstLineChars="0"/>
              <w:jc w:val="center"/>
              <w:rPr>
                <w:b/>
                <w:bCs/>
                <w:color w:val="000000" w:themeColor="text1"/>
                <w:sz w:val="21"/>
                <w:szCs w:val="21"/>
                <w:lang w:val="en-US"/>
                <w14:textFill>
                  <w14:solidFill>
                    <w14:schemeClr w14:val="tx1"/>
                  </w14:solidFill>
                </w14:textFill>
              </w:rPr>
            </w:pPr>
            <w:r>
              <w:rPr>
                <w:rFonts w:hint="eastAsia"/>
                <w:b/>
                <w:bCs/>
                <w:color w:val="000000" w:themeColor="text1"/>
                <w:sz w:val="21"/>
                <w:szCs w:val="21"/>
                <w:lang w:val="en-US"/>
                <w14:textFill>
                  <w14:solidFill>
                    <w14:schemeClr w14:val="tx1"/>
                  </w14:solidFill>
                </w14:textFill>
              </w:rPr>
              <w:t>序号</w:t>
            </w:r>
          </w:p>
        </w:tc>
        <w:tc>
          <w:tcPr>
            <w:tcW w:w="3266" w:type="dxa"/>
          </w:tcPr>
          <w:p w14:paraId="57E08575">
            <w:pPr>
              <w:pStyle w:val="42"/>
              <w:spacing w:line="240" w:lineRule="auto"/>
              <w:ind w:firstLine="0" w:firstLineChars="0"/>
              <w:jc w:val="center"/>
              <w:rPr>
                <w:b/>
                <w:bCs/>
                <w:color w:val="000000" w:themeColor="text1"/>
                <w:sz w:val="21"/>
                <w:szCs w:val="21"/>
                <w:lang w:val="en-US"/>
                <w14:textFill>
                  <w14:solidFill>
                    <w14:schemeClr w14:val="tx1"/>
                  </w14:solidFill>
                </w14:textFill>
              </w:rPr>
            </w:pPr>
            <w:r>
              <w:rPr>
                <w:rFonts w:hint="eastAsia"/>
                <w:b/>
                <w:bCs/>
                <w:color w:val="000000" w:themeColor="text1"/>
                <w:sz w:val="21"/>
                <w:szCs w:val="21"/>
                <w:lang w:val="en-US"/>
                <w14:textFill>
                  <w14:solidFill>
                    <w14:schemeClr w14:val="tx1"/>
                  </w14:solidFill>
                </w14:textFill>
              </w:rPr>
              <w:t>办法内容</w:t>
            </w:r>
          </w:p>
        </w:tc>
        <w:tc>
          <w:tcPr>
            <w:tcW w:w="3139" w:type="dxa"/>
          </w:tcPr>
          <w:p w14:paraId="5B6CB01F">
            <w:pPr>
              <w:pStyle w:val="42"/>
              <w:spacing w:line="240" w:lineRule="auto"/>
              <w:ind w:firstLine="0" w:firstLineChars="0"/>
              <w:jc w:val="center"/>
              <w:rPr>
                <w:b/>
                <w:bCs/>
                <w:color w:val="000000" w:themeColor="text1"/>
                <w:sz w:val="21"/>
                <w:szCs w:val="21"/>
                <w:lang w:val="en-US"/>
                <w14:textFill>
                  <w14:solidFill>
                    <w14:schemeClr w14:val="tx1"/>
                  </w14:solidFill>
                </w14:textFill>
              </w:rPr>
            </w:pPr>
            <w:r>
              <w:rPr>
                <w:rFonts w:hint="eastAsia"/>
                <w:b/>
                <w:bCs/>
                <w:color w:val="000000" w:themeColor="text1"/>
                <w:sz w:val="21"/>
                <w:szCs w:val="21"/>
                <w:lang w:val="en-US"/>
                <w14:textFill>
                  <w14:solidFill>
                    <w14:schemeClr w14:val="tx1"/>
                  </w14:solidFill>
                </w14:textFill>
              </w:rPr>
              <w:t>本项目</w:t>
            </w:r>
          </w:p>
        </w:tc>
        <w:tc>
          <w:tcPr>
            <w:tcW w:w="1123" w:type="dxa"/>
          </w:tcPr>
          <w:p w14:paraId="73AD6E33">
            <w:pPr>
              <w:pStyle w:val="42"/>
              <w:spacing w:line="240" w:lineRule="auto"/>
              <w:ind w:firstLine="0" w:firstLineChars="0"/>
              <w:jc w:val="center"/>
              <w:rPr>
                <w:b/>
                <w:bCs/>
                <w:color w:val="000000" w:themeColor="text1"/>
                <w:sz w:val="21"/>
                <w:szCs w:val="21"/>
                <w:lang w:val="en-US"/>
                <w14:textFill>
                  <w14:solidFill>
                    <w14:schemeClr w14:val="tx1"/>
                  </w14:solidFill>
                </w14:textFill>
              </w:rPr>
            </w:pPr>
            <w:r>
              <w:rPr>
                <w:rFonts w:hint="eastAsia"/>
                <w:b/>
                <w:bCs/>
                <w:color w:val="000000" w:themeColor="text1"/>
                <w:sz w:val="21"/>
                <w:szCs w:val="21"/>
                <w:lang w:val="en-US"/>
                <w14:textFill>
                  <w14:solidFill>
                    <w14:schemeClr w14:val="tx1"/>
                  </w14:solidFill>
                </w14:textFill>
              </w:rPr>
              <w:t>符合性</w:t>
            </w:r>
          </w:p>
        </w:tc>
      </w:tr>
      <w:tr w14:paraId="775F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vAlign w:val="center"/>
          </w:tcPr>
          <w:p w14:paraId="6F2003BF">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1</w:t>
            </w:r>
          </w:p>
        </w:tc>
        <w:tc>
          <w:tcPr>
            <w:tcW w:w="3266" w:type="dxa"/>
            <w:vAlign w:val="center"/>
          </w:tcPr>
          <w:p w14:paraId="3A3CB46B">
            <w:pPr>
              <w:pStyle w:val="42"/>
              <w:spacing w:line="240" w:lineRule="auto"/>
              <w:ind w:firstLine="0" w:firstLineChars="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防沙治沙工作应当坚持预防为主、保护优先、因地制宜、突出重点、分区施策、以水定绿、科学防治、合理利用的原则，统筹推进山水林田湖草沙系统治理，实现生态效益、经济效益和社会效益相统一。建立健全党委领导、政府负责、部门协同、兵地联动、社会参与的防沙治沙工作机制。</w:t>
            </w:r>
          </w:p>
        </w:tc>
        <w:tc>
          <w:tcPr>
            <w:tcW w:w="3139" w:type="dxa"/>
            <w:vAlign w:val="center"/>
          </w:tcPr>
          <w:p w14:paraId="45E2346D">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本项目以</w:t>
            </w:r>
            <w:r>
              <w:rPr>
                <w:color w:val="000000" w:themeColor="text1"/>
                <w:sz w:val="21"/>
                <w:szCs w:val="21"/>
                <w:lang w:val="en-US"/>
                <w14:textFill>
                  <w14:solidFill>
                    <w14:schemeClr w14:val="tx1"/>
                  </w14:solidFill>
                </w14:textFill>
              </w:rPr>
              <w:t>预防为主，保护优先</w:t>
            </w:r>
            <w:r>
              <w:rPr>
                <w:rFonts w:hint="eastAsia"/>
                <w:color w:val="000000" w:themeColor="text1"/>
                <w:sz w:val="21"/>
                <w:szCs w:val="21"/>
                <w:lang w:val="en-US"/>
                <w14:textFill>
                  <w14:solidFill>
                    <w14:schemeClr w14:val="tx1"/>
                  </w14:solidFill>
                </w14:textFill>
              </w:rPr>
              <w:t>、</w:t>
            </w:r>
            <w:r>
              <w:rPr>
                <w:color w:val="000000" w:themeColor="text1"/>
                <w:sz w:val="21"/>
                <w:szCs w:val="21"/>
                <w:lang w:val="en-US"/>
                <w14:textFill>
                  <w14:solidFill>
                    <w14:schemeClr w14:val="tx1"/>
                  </w14:solidFill>
                </w14:textFill>
              </w:rPr>
              <w:t>因地制宜，分区施策</w:t>
            </w:r>
            <w:r>
              <w:rPr>
                <w:rFonts w:hint="eastAsia"/>
                <w:color w:val="000000" w:themeColor="text1"/>
                <w:sz w:val="21"/>
                <w:szCs w:val="21"/>
                <w:lang w:val="en-US"/>
                <w14:textFill>
                  <w14:solidFill>
                    <w14:schemeClr w14:val="tx1"/>
                  </w14:solidFill>
                </w14:textFill>
              </w:rPr>
              <w:t>、</w:t>
            </w:r>
            <w:r>
              <w:rPr>
                <w:color w:val="000000" w:themeColor="text1"/>
                <w:sz w:val="21"/>
                <w:szCs w:val="21"/>
                <w:lang w:val="en-US"/>
                <w14:textFill>
                  <w14:solidFill>
                    <w14:schemeClr w14:val="tx1"/>
                  </w14:solidFill>
                </w14:textFill>
              </w:rPr>
              <w:t>科学防治，合理利用</w:t>
            </w:r>
            <w:r>
              <w:rPr>
                <w:rFonts w:hint="eastAsia"/>
                <w:color w:val="000000" w:themeColor="text1"/>
                <w:sz w:val="21"/>
                <w:szCs w:val="21"/>
                <w:lang w:val="en-US"/>
                <w14:textFill>
                  <w14:solidFill>
                    <w14:schemeClr w14:val="tx1"/>
                  </w14:solidFill>
                </w14:textFill>
              </w:rPr>
              <w:t>、</w:t>
            </w:r>
            <w:r>
              <w:rPr>
                <w:color w:val="000000" w:themeColor="text1"/>
                <w:sz w:val="21"/>
                <w:szCs w:val="21"/>
                <w:lang w:val="en-US"/>
                <w14:textFill>
                  <w14:solidFill>
                    <w14:schemeClr w14:val="tx1"/>
                  </w14:solidFill>
                </w14:textFill>
              </w:rPr>
              <w:t>统筹推进，综合效益</w:t>
            </w:r>
            <w:r>
              <w:rPr>
                <w:rFonts w:hint="eastAsia"/>
                <w:color w:val="000000" w:themeColor="text1"/>
                <w:sz w:val="21"/>
                <w:szCs w:val="21"/>
                <w:lang w:val="en-US"/>
                <w14:textFill>
                  <w14:solidFill>
                    <w14:schemeClr w14:val="tx1"/>
                  </w14:solidFill>
                </w14:textFill>
              </w:rPr>
              <w:t>为原则开展防沙治沙措施，具体见7.1.2 施工期环境保护措施章节。</w:t>
            </w:r>
          </w:p>
        </w:tc>
        <w:tc>
          <w:tcPr>
            <w:tcW w:w="1123" w:type="dxa"/>
            <w:vAlign w:val="center"/>
          </w:tcPr>
          <w:p w14:paraId="12022559">
            <w:pPr>
              <w:pStyle w:val="42"/>
              <w:spacing w:line="240" w:lineRule="auto"/>
              <w:ind w:firstLine="42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符合</w:t>
            </w:r>
          </w:p>
        </w:tc>
      </w:tr>
      <w:tr w14:paraId="5F61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vAlign w:val="center"/>
          </w:tcPr>
          <w:p w14:paraId="261C5BAF">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2</w:t>
            </w:r>
          </w:p>
        </w:tc>
        <w:tc>
          <w:tcPr>
            <w:tcW w:w="3266" w:type="dxa"/>
            <w:vAlign w:val="center"/>
          </w:tcPr>
          <w:p w14:paraId="28F5FD40">
            <w:pPr>
              <w:pStyle w:val="42"/>
              <w:spacing w:line="240" w:lineRule="auto"/>
              <w:ind w:firstLine="0" w:firstLineChars="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在沙化土地范围内从事开发建设活动的，应当依法进行环境影响评价和水资源论证。</w:t>
            </w:r>
          </w:p>
        </w:tc>
        <w:tc>
          <w:tcPr>
            <w:tcW w:w="3139" w:type="dxa"/>
            <w:vAlign w:val="center"/>
          </w:tcPr>
          <w:p w14:paraId="00014E54">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本项目严格按照要求进行</w:t>
            </w:r>
            <w:r>
              <w:rPr>
                <w:rFonts w:hint="eastAsia"/>
                <w:color w:val="000000" w:themeColor="text1"/>
                <w:sz w:val="21"/>
                <w:szCs w:val="21"/>
                <w:lang w:val="en-US" w:eastAsia="zh-CN"/>
                <w14:textFill>
                  <w14:solidFill>
                    <w14:schemeClr w14:val="tx1"/>
                  </w14:solidFill>
                </w14:textFill>
              </w:rPr>
              <w:t>生态</w:t>
            </w:r>
            <w:r>
              <w:rPr>
                <w:color w:val="000000" w:themeColor="text1"/>
                <w:sz w:val="21"/>
                <w:szCs w:val="21"/>
                <w:lang w:val="en-US"/>
                <w14:textFill>
                  <w14:solidFill>
                    <w14:schemeClr w14:val="tx1"/>
                  </w14:solidFill>
                </w14:textFill>
              </w:rPr>
              <w:t>环境影响评价和水资源论证</w:t>
            </w:r>
            <w:r>
              <w:rPr>
                <w:rFonts w:hint="eastAsia"/>
                <w:color w:val="000000" w:themeColor="text1"/>
                <w:sz w:val="21"/>
                <w:szCs w:val="21"/>
                <w:lang w:val="en-US"/>
                <w14:textFill>
                  <w14:solidFill>
                    <w14:schemeClr w14:val="tx1"/>
                  </w14:solidFill>
                </w14:textFill>
              </w:rPr>
              <w:t>。</w:t>
            </w:r>
          </w:p>
        </w:tc>
        <w:tc>
          <w:tcPr>
            <w:tcW w:w="1123" w:type="dxa"/>
            <w:vAlign w:val="center"/>
          </w:tcPr>
          <w:p w14:paraId="4D26AA55">
            <w:pPr>
              <w:pStyle w:val="42"/>
              <w:spacing w:line="240" w:lineRule="auto"/>
              <w:ind w:firstLine="42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符合</w:t>
            </w:r>
          </w:p>
        </w:tc>
      </w:tr>
      <w:tr w14:paraId="40F8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vAlign w:val="center"/>
          </w:tcPr>
          <w:p w14:paraId="33BDD414">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3</w:t>
            </w:r>
          </w:p>
        </w:tc>
        <w:tc>
          <w:tcPr>
            <w:tcW w:w="3266" w:type="dxa"/>
            <w:vAlign w:val="center"/>
          </w:tcPr>
          <w:p w14:paraId="147DCF9F">
            <w:pPr>
              <w:pStyle w:val="42"/>
              <w:spacing w:line="240" w:lineRule="auto"/>
              <w:ind w:firstLine="0" w:firstLineChars="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沙化土地所在地区的县级以上人民政府应当依法将沙化土地上具有特殊生态和景观价值的沙漠、戈壁、雅丹、古迹，以及典型自然人文景观、沙生植被、珍稀濒危野生动物集中分布的区域逐步纳入自然保护地体系，加强保护和科学管理。</w:t>
            </w:r>
          </w:p>
        </w:tc>
        <w:tc>
          <w:tcPr>
            <w:tcW w:w="3139" w:type="dxa"/>
            <w:vAlign w:val="center"/>
          </w:tcPr>
          <w:p w14:paraId="3992BDC3">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本项目区域属于沙化土地中的戈壁，不属于</w:t>
            </w:r>
            <w:r>
              <w:rPr>
                <w:color w:val="000000" w:themeColor="text1"/>
                <w:sz w:val="21"/>
                <w:szCs w:val="21"/>
                <w:lang w:val="en-US"/>
                <w14:textFill>
                  <w14:solidFill>
                    <w14:schemeClr w14:val="tx1"/>
                  </w14:solidFill>
                </w14:textFill>
              </w:rPr>
              <w:t>具有特殊生态和景观价值的沙漠、戈壁、雅丹、古迹，以及典型自然人文景观、沙生植被、珍稀濒危野生动物集中分布的区域</w:t>
            </w:r>
            <w:r>
              <w:rPr>
                <w:rFonts w:hint="eastAsia"/>
                <w:color w:val="000000" w:themeColor="text1"/>
                <w:sz w:val="21"/>
                <w:szCs w:val="21"/>
                <w:lang w:val="en-US"/>
                <w14:textFill>
                  <w14:solidFill>
                    <w14:schemeClr w14:val="tx1"/>
                  </w14:solidFill>
                </w14:textFill>
              </w:rPr>
              <w:t>。</w:t>
            </w:r>
          </w:p>
        </w:tc>
        <w:tc>
          <w:tcPr>
            <w:tcW w:w="1123" w:type="dxa"/>
            <w:vAlign w:val="center"/>
          </w:tcPr>
          <w:p w14:paraId="4D86A1C1">
            <w:pPr>
              <w:pStyle w:val="42"/>
              <w:spacing w:line="240" w:lineRule="auto"/>
              <w:ind w:firstLine="42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符合</w:t>
            </w:r>
          </w:p>
        </w:tc>
      </w:tr>
      <w:tr w14:paraId="05D5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vAlign w:val="center"/>
          </w:tcPr>
          <w:p w14:paraId="0ED44053">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4</w:t>
            </w:r>
          </w:p>
        </w:tc>
        <w:tc>
          <w:tcPr>
            <w:tcW w:w="3266" w:type="dxa"/>
            <w:vAlign w:val="center"/>
          </w:tcPr>
          <w:p w14:paraId="7FB46FD6">
            <w:pPr>
              <w:pStyle w:val="42"/>
              <w:spacing w:line="240" w:lineRule="auto"/>
              <w:ind w:firstLine="0" w:firstLineChars="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沙化土地治理应当坚持统筹森林、草原、湿地、荒漠生态系统保护，以沙漠、戈壁边缘及绿洲、流域、山系等为防治单元，实施固定半固定沙漠提升工程；对规划重点治理的沙化土地，因地制宜采取工程和生物相结合的措施，科学配置林草植物类型和密度，提升生态系统质量和稳定性。</w:t>
            </w:r>
          </w:p>
        </w:tc>
        <w:tc>
          <w:tcPr>
            <w:tcW w:w="3139" w:type="dxa"/>
            <w:vAlign w:val="center"/>
          </w:tcPr>
          <w:p w14:paraId="48337414">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本项目区域属于沙化土地中的戈壁，项目已进行水土保持方案编制，本环评也相应提出已提出防沙治沙措施。</w:t>
            </w:r>
          </w:p>
        </w:tc>
        <w:tc>
          <w:tcPr>
            <w:tcW w:w="1123" w:type="dxa"/>
            <w:vAlign w:val="center"/>
          </w:tcPr>
          <w:p w14:paraId="78F90F89">
            <w:pPr>
              <w:pStyle w:val="42"/>
              <w:spacing w:line="240" w:lineRule="auto"/>
              <w:ind w:firstLine="0" w:firstLineChars="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t>符合</w:t>
            </w:r>
          </w:p>
        </w:tc>
      </w:tr>
    </w:tbl>
    <w:p w14:paraId="79FEF72C">
      <w:pPr>
        <w:pStyle w:val="4"/>
        <w:spacing w:before="156"/>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3.2.1</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工程选址、选线的环境可行性分析</w:t>
      </w:r>
    </w:p>
    <w:p w14:paraId="455D5702">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3.2.1</w:t>
      </w:r>
      <w:r>
        <w:rPr>
          <w:rFonts w:hint="eastAsia"/>
          <w:color w:val="000000" w:themeColor="text1"/>
          <w:sz w:val="28"/>
          <w:szCs w:val="28"/>
          <w:lang w:val="en-US" w:eastAsia="zh-CN"/>
          <w14:textFill>
            <w14:solidFill>
              <w14:schemeClr w14:val="tx1"/>
            </w14:solidFill>
          </w14:textFill>
        </w:rPr>
        <w:t>2</w:t>
      </w:r>
      <w:r>
        <w:rPr>
          <w:rFonts w:hint="eastAsia"/>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线路路径选择原则</w:t>
      </w:r>
    </w:p>
    <w:p w14:paraId="28DFC3AA">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针对本工程线路的具体特点，特制定了以下选线原则：</w:t>
      </w:r>
    </w:p>
    <w:p w14:paraId="2B6225BA">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1）根据电力系统规划要求，综合考虑线路长度、地形地貌、地质、水文气象、冰区、交通、林木、矿产、地震地磁台站、油气管线和其他障碍设施，以及交叉跨越、施工、运行及地方政府意见等因素，进行多方案比较，使路径走向安全可靠，经济合理。</w:t>
      </w:r>
    </w:p>
    <w:p w14:paraId="6F4E29A8">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（2）充分征求沿线各地方政府的意见，避开机场、军事设施、城镇规划、大型工矿企业及重要通信设施，减少线路工程建设对地方经济发展的影响。</w:t>
      </w:r>
    </w:p>
    <w:p w14:paraId="24A1111D">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（3）在经济合理的前提下尽量避开移动沙漠、恶劣地质区、已有的各种矿产采空区、开采区、规划开采区及险恶地形、水网、不良地质地段，尽量避让林木密集覆盖区。</w:t>
      </w:r>
    </w:p>
    <w:p w14:paraId="521A3B68">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（4）合理利用现有国道、省道、县道及乡村公路，改善交通条件，方便施工和运行。</w:t>
      </w:r>
    </w:p>
    <w:p w14:paraId="5365F59F">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（5）在路径选择中，应尽量避开城镇规划区和工业区、人口密集区，尽量减少房屋拆迁，减少对生态环境、群众生产、生活的影响，充分体现以人为本、保护环境的意识。</w:t>
      </w:r>
    </w:p>
    <w:p w14:paraId="098CC3BC">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6）减少交叉跨越已建送电线路，特别是高电压等级的送电线路，以降低施工过程中的停电损失，提高运行的安全可靠性。路径选择应充分考虑到特高压、500kV、220kV电力线的规划，既保证工程线路的经济合理，同时应兼顾同期或远期其他线路路径的走向。</w:t>
      </w:r>
    </w:p>
    <w:p w14:paraId="783DB725">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（7）综合协调本线路与公路、铁路及油气管线及其它设施之间的关系，统筹考虑线路路径方案。</w:t>
      </w:r>
    </w:p>
    <w:p w14:paraId="72A7FAF4">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（8）尽量利用省、市分界地区，城镇、乡镇之间结合部，利用率较低的土地。</w:t>
      </w:r>
    </w:p>
    <w:p w14:paraId="31534DDD">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w:t>
      </w:r>
      <w:r>
        <w:rPr>
          <w:rFonts w:hint="eastAsia"/>
          <w:color w:val="000000" w:themeColor="text1"/>
          <w:kern w:val="0"/>
          <w:lang w:val="en-US" w:eastAsia="zh-CN" w:bidi="ar"/>
          <w14:textFill>
            <w14:solidFill>
              <w14:schemeClr w14:val="tx1"/>
            </w14:solidFill>
          </w14:textFill>
        </w:rPr>
        <w:t>9</w:t>
      </w:r>
      <w:r>
        <w:rPr>
          <w:color w:val="000000" w:themeColor="text1"/>
          <w:kern w:val="0"/>
          <w:lang w:bidi="ar"/>
          <w14:textFill>
            <w14:solidFill>
              <w14:schemeClr w14:val="tx1"/>
            </w14:solidFill>
          </w14:textFill>
        </w:rPr>
        <w:t>）在路径选择中，考虑到房屋拆迁费用高，且经常影响施工工期、易引起纠纷等现实情况，对房屋特别是相对比较集中的房屋，一般应尽量避让。若条件许可，应尽量远离居民住宅。对局部地段房屋较多且需要拆迁的地方，应充分进行技术经济比较，在投资相同或相近的条件下，做到尽量少拆房屋以减少施工中的麻烦。</w:t>
      </w:r>
    </w:p>
    <w:p w14:paraId="63DEEE6D">
      <w:pPr>
        <w:ind w:firstLine="480"/>
        <w:rPr>
          <w:color w:val="000000" w:themeColor="text1"/>
          <w:kern w:val="0"/>
          <w:lang w:bidi="ar"/>
          <w14:textFill>
            <w14:solidFill>
              <w14:schemeClr w14:val="tx1"/>
            </w14:solidFill>
          </w14:textFill>
        </w:rPr>
      </w:pPr>
      <w:r>
        <w:rPr>
          <w:color w:val="000000" w:themeColor="text1"/>
          <w:kern w:val="0"/>
          <w:lang w:bidi="ar"/>
          <w14:textFill>
            <w14:solidFill>
              <w14:schemeClr w14:val="tx1"/>
            </w14:solidFill>
          </w14:textFill>
        </w:rPr>
        <w:t>（11）针对本工程跨越铁路、高速公路、国道及电力线较多的特点，应尽量选好交叉跨越点，在保证线路运行安全可靠的前提下，力求减少工程投资；对标准轨距铁路、高速公路等重要设施时，应注意跨越点的选择，为施工、运行创造条件，并且采用独立耐张段跨越。</w:t>
      </w:r>
    </w:p>
    <w:p w14:paraId="7A6DAEF3">
      <w:pPr>
        <w:pStyle w:val="34"/>
        <w:spacing w:line="360" w:lineRule="auto"/>
        <w:ind w:firstLine="480" w:firstLineChars="200"/>
        <w:rPr>
          <w:rFonts w:hint="eastAsia"/>
          <w:color w:val="000000" w:themeColor="text1"/>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（12）</w:t>
      </w:r>
      <w:r>
        <w:rPr>
          <w:rFonts w:hint="eastAsia"/>
          <w:color w:val="000000" w:themeColor="text1"/>
          <w:sz w:val="24"/>
          <w:lang w:val="en-US"/>
          <w14:textFill>
            <w14:solidFill>
              <w14:schemeClr w14:val="tx1"/>
            </w14:solidFill>
          </w14:textFill>
        </w:rPr>
        <w:t>尽量避让国家公园、自然保护区、自然公园、生态保护红线、饮用水水源保护区等环境敏感区，若因自然地理条件等因素限制确实无法避让环境敏感区，必须避让环境敏感区的核心保护范围，尽量选择生态价值较低的区域经过，同时优化设计方案，尽可能减少穿越环境敏感区的输电线路长度和塔基数量，减缓工程建设造成的生态影响。</w:t>
      </w:r>
    </w:p>
    <w:p w14:paraId="5CDD9AEF">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3.2.1</w:t>
      </w:r>
      <w:r>
        <w:rPr>
          <w:rFonts w:hint="eastAsia"/>
          <w:color w:val="000000" w:themeColor="text1"/>
          <w:sz w:val="28"/>
          <w:szCs w:val="28"/>
          <w:lang w:val="en-US" w:eastAsia="zh-CN"/>
          <w14:textFill>
            <w14:solidFill>
              <w14:schemeClr w14:val="tx1"/>
            </w14:solidFill>
          </w14:textFill>
        </w:rPr>
        <w:t>2</w:t>
      </w:r>
      <w:r>
        <w:rPr>
          <w:rFonts w:hint="eastAsia"/>
          <w:color w:val="000000" w:themeColor="text1"/>
          <w:sz w:val="28"/>
          <w:szCs w:val="28"/>
          <w14:textFill>
            <w14:solidFill>
              <w14:schemeClr w14:val="tx1"/>
            </w14:solidFill>
          </w14:textFill>
        </w:rPr>
        <w:t>.2比选方案</w:t>
      </w:r>
    </w:p>
    <w:p w14:paraId="3C8DAA00">
      <w:pPr>
        <w:widowControl/>
        <w:ind w:firstLine="480"/>
        <w:jc w:val="left"/>
        <w:rPr>
          <w:color w:val="000000" w:themeColor="text1"/>
          <w14:textFill>
            <w14:solidFill>
              <w14:schemeClr w14:val="tx1"/>
            </w14:solidFill>
          </w14:textFill>
        </w:rPr>
      </w:pPr>
      <w:r>
        <w:rPr>
          <w:rFonts w:ascii="瀹嬩綋" w:hAnsi="瀹嬩綋" w:eastAsia="瀹嬩綋" w:cs="瀹嬩綋"/>
          <w:color w:val="000000" w:themeColor="text1"/>
          <w:kern w:val="0"/>
          <w:lang w:bidi="ar"/>
          <w14:textFill>
            <w14:solidFill>
              <w14:schemeClr w14:val="tx1"/>
            </w14:solidFill>
          </w14:textFill>
        </w:rPr>
        <w:t>根据上述原则及沿线路径的实际情况，通过现场踏勘和收资调查并结合路径协议要求，本工程拟定了南、北两个路径方案，其中</w:t>
      </w:r>
      <w:r>
        <w:rPr>
          <w:rFonts w:hint="eastAsia" w:ascii="瀹嬩綋" w:hAnsi="瀹嬩綋" w:eastAsia="瀹嬩綋" w:cs="瀹嬩綋"/>
          <w:color w:val="000000" w:themeColor="text1"/>
          <w:kern w:val="0"/>
          <w:lang w:bidi="ar"/>
          <w14:textFill>
            <w14:solidFill>
              <w14:schemeClr w14:val="tx1"/>
            </w14:solidFill>
          </w14:textFill>
        </w:rPr>
        <w:t>南</w:t>
      </w:r>
      <w:r>
        <w:rPr>
          <w:rFonts w:ascii="瀹嬩綋" w:hAnsi="瀹嬩綋" w:eastAsia="瀹嬩綋" w:cs="瀹嬩綋"/>
          <w:color w:val="000000" w:themeColor="text1"/>
          <w:kern w:val="0"/>
          <w:lang w:bidi="ar"/>
          <w14:textFill>
            <w14:solidFill>
              <w14:schemeClr w14:val="tx1"/>
            </w14:solidFill>
          </w14:textFill>
        </w:rPr>
        <w:t>方案作为比选方案。</w:t>
      </w:r>
    </w:p>
    <w:p w14:paraId="21BFA069">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1）南方案（比选方案）</w:t>
      </w:r>
    </w:p>
    <w:p w14:paraId="4F79B0E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线路从若羌火电厂750kV间隔向西出线，3回线路均采用单回路终端塔向西出线。线路向西走线约1.2公里后，线路向北至密集电力廊道南侧后，平行已有110kV、220kV线路走线约6.2km至换流站南侧，线路右转依次跨越</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条电路线路、格库铁路/罗若铁路、G0612西和高速、G315国道、地埋光缆、110kV塔东六一线后至线路终端塔，右转接入若羌换流站。</w:t>
      </w:r>
    </w:p>
    <w:p w14:paraId="0A83DF04">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2）北方案（推荐方案）</w:t>
      </w:r>
    </w:p>
    <w:p w14:paraId="000F5B2C">
      <w:pPr>
        <w:ind w:firstLine="48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线路从若羌火电厂750kV间隔向西出线，3回线路均采用单回路终端塔向西出线。线路向西走线约1.2公里后，3线路向北至密集电力廊道南侧后，向北跨越</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条电力线路廊道，线路向西北走线跨越格库铁路以及在建罗若铁路，继续西北走线，跨越G0612西和高速以及G315国道后，3回平行线路左转西，线路平行G315国道走线约4.4公里，在若羌换流站南侧跨越换流站进站道路，线路右转往北，跨越6条地埋光缆以及110kV塔东六一线后右转接入若羌换流站。两个路径方案对比情况见表3.2-</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，两个路径方案路径图详见图3.2-4。</w:t>
      </w:r>
    </w:p>
    <w:p w14:paraId="68295BBB">
      <w:pPr>
        <w:ind w:firstLine="422"/>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w:t>
      </w:r>
      <w:r>
        <w:rPr>
          <w:rFonts w:hint="eastAsia"/>
          <w:b/>
          <w:bCs/>
          <w:color w:val="000000" w:themeColor="text1"/>
          <w:sz w:val="21"/>
          <w:szCs w:val="21"/>
          <w14:textFill>
            <w14:solidFill>
              <w14:schemeClr w14:val="tx1"/>
            </w14:solidFill>
          </w14:textFill>
        </w:rPr>
        <w:t>3.2-</w:t>
      </w:r>
      <w:r>
        <w:rPr>
          <w:rFonts w:hint="eastAsia"/>
          <w:b/>
          <w:bCs/>
          <w:color w:val="000000" w:themeColor="text1"/>
          <w:sz w:val="21"/>
          <w:szCs w:val="21"/>
          <w:lang w:val="en-US" w:eastAsia="zh-CN"/>
          <w14:textFill>
            <w14:solidFill>
              <w14:schemeClr w14:val="tx1"/>
            </w14:solidFill>
          </w14:textFill>
        </w:rPr>
        <w:t>8</w:t>
      </w:r>
      <w:r>
        <w:rPr>
          <w:rFonts w:hint="eastAsia"/>
          <w:b/>
          <w:bCs/>
          <w:color w:val="000000" w:themeColor="text1"/>
          <w:sz w:val="21"/>
          <w:szCs w:val="21"/>
          <w14:textFill>
            <w14:solidFill>
              <w14:schemeClr w14:val="tx1"/>
            </w14:solidFill>
          </w14:textFill>
        </w:rPr>
        <w:t xml:space="preserve"> </w:t>
      </w:r>
      <w:r>
        <w:rPr>
          <w:b/>
          <w:bCs/>
          <w:color w:val="000000" w:themeColor="text1"/>
          <w:sz w:val="21"/>
          <w:szCs w:val="21"/>
          <w14:textFill>
            <w14:solidFill>
              <w14:schemeClr w14:val="tx1"/>
            </w14:solidFill>
          </w14:textFill>
        </w:rPr>
        <w:t xml:space="preserve"> 线路路径方案比选情况表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2550"/>
        <w:gridCol w:w="2848"/>
        <w:gridCol w:w="1091"/>
      </w:tblGrid>
      <w:tr w14:paraId="5B6A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2033"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E708262">
            <w:pPr>
              <w:snapToGrid w:val="0"/>
              <w:spacing w:line="240" w:lineRule="auto"/>
              <w:ind w:firstLine="0" w:firstLineChars="0"/>
              <w:rPr>
                <w:rFonts w:hint="eastAsia"/>
                <w:b/>
                <w:bCs/>
                <w:color w:val="000000" w:themeColor="text1"/>
                <w:sz w:val="21"/>
                <w:szCs w:val="21"/>
                <w14:textFill>
                  <w14:solidFill>
                    <w14:schemeClr w14:val="tx1"/>
                  </w14:solidFill>
                </w14:textFill>
              </w:rPr>
            </w:pPr>
          </w:p>
          <w:p w14:paraId="3E1CA3DA">
            <w:pPr>
              <w:snapToGrid w:val="0"/>
              <w:spacing w:line="240" w:lineRule="auto"/>
              <w:ind w:firstLine="0" w:firstLineChars="0"/>
              <w:rPr>
                <w:rFonts w:hint="eastAsia"/>
                <w:b/>
                <w:bCs/>
                <w:color w:val="000000" w:themeColor="text1"/>
                <w:sz w:val="21"/>
                <w:szCs w:val="21"/>
                <w14:textFill>
                  <w14:solidFill>
                    <w14:schemeClr w14:val="tx1"/>
                  </w14:solidFill>
                </w14:textFill>
              </w:rPr>
            </w:pPr>
          </w:p>
          <w:p w14:paraId="44CCC74D">
            <w:pPr>
              <w:snapToGrid w:val="0"/>
              <w:spacing w:line="240" w:lineRule="auto"/>
              <w:ind w:firstLine="0" w:firstLineChars="0"/>
              <mc:AlternateContent>
                <mc:Choice Requires="wpsCustomData">
                  <wpsCustomData:diagonalParaType/>
                </mc:Choice>
              </mc:AlternateContent>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比选项目</w:t>
            </w:r>
          </w:p>
          <w:p w14:paraId="2B2312B2">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路径方案</w:t>
            </w:r>
          </w:p>
        </w:tc>
        <w:tc>
          <w:tcPr>
            <w:tcW w:w="2550" w:type="dxa"/>
            <w:vAlign w:val="center"/>
          </w:tcPr>
          <w:p w14:paraId="7F06ABD0">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南方案</w:t>
            </w:r>
          </w:p>
        </w:tc>
        <w:tc>
          <w:tcPr>
            <w:tcW w:w="2848" w:type="dxa"/>
            <w:vAlign w:val="center"/>
          </w:tcPr>
          <w:p w14:paraId="3DFA3868">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北方案</w:t>
            </w:r>
          </w:p>
        </w:tc>
        <w:tc>
          <w:tcPr>
            <w:tcW w:w="1091" w:type="dxa"/>
            <w:vAlign w:val="center"/>
          </w:tcPr>
          <w:p w14:paraId="4352D2B6">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比选结果</w:t>
            </w:r>
          </w:p>
        </w:tc>
      </w:tr>
      <w:tr w14:paraId="12B3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1A89E38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路径长度（km）</w:t>
            </w:r>
          </w:p>
        </w:tc>
        <w:tc>
          <w:tcPr>
            <w:tcW w:w="2550" w:type="dxa"/>
            <w:vAlign w:val="center"/>
          </w:tcPr>
          <w:p w14:paraId="36EAB7B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r>
              <w:rPr>
                <w:rFonts w:ascii="Arial" w:hAnsi="Arial" w:cs="Arial"/>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12.8</w:t>
            </w:r>
          </w:p>
        </w:tc>
        <w:tc>
          <w:tcPr>
            <w:tcW w:w="2848" w:type="dxa"/>
            <w:vAlign w:val="center"/>
          </w:tcPr>
          <w:p w14:paraId="6596C31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12.8</w:t>
            </w:r>
          </w:p>
        </w:tc>
        <w:tc>
          <w:tcPr>
            <w:tcW w:w="1091" w:type="dxa"/>
            <w:vAlign w:val="center"/>
          </w:tcPr>
          <w:p w14:paraId="63C8355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096E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16E4971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航空距离（km）</w:t>
            </w:r>
          </w:p>
        </w:tc>
        <w:tc>
          <w:tcPr>
            <w:tcW w:w="2550" w:type="dxa"/>
            <w:vAlign w:val="center"/>
          </w:tcPr>
          <w:p w14:paraId="5A84517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9.7</w:t>
            </w:r>
          </w:p>
        </w:tc>
        <w:tc>
          <w:tcPr>
            <w:tcW w:w="2848" w:type="dxa"/>
            <w:vAlign w:val="center"/>
          </w:tcPr>
          <w:p w14:paraId="21376BA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9.7</w:t>
            </w:r>
          </w:p>
        </w:tc>
        <w:tc>
          <w:tcPr>
            <w:tcW w:w="1091" w:type="dxa"/>
            <w:vAlign w:val="center"/>
          </w:tcPr>
          <w:p w14:paraId="662A8CF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54D9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712F142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曲折系数</w:t>
            </w:r>
          </w:p>
        </w:tc>
        <w:tc>
          <w:tcPr>
            <w:tcW w:w="2550" w:type="dxa"/>
            <w:vAlign w:val="center"/>
          </w:tcPr>
          <w:p w14:paraId="3624952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1.32</w:t>
            </w:r>
          </w:p>
        </w:tc>
        <w:tc>
          <w:tcPr>
            <w:tcW w:w="2848" w:type="dxa"/>
            <w:vAlign w:val="center"/>
          </w:tcPr>
          <w:p w14:paraId="3479C3C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1.32</w:t>
            </w:r>
          </w:p>
        </w:tc>
        <w:tc>
          <w:tcPr>
            <w:tcW w:w="1091" w:type="dxa"/>
            <w:vAlign w:val="center"/>
          </w:tcPr>
          <w:p w14:paraId="3E58198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7877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30F4CCA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地形比例（平地%）</w:t>
            </w:r>
          </w:p>
        </w:tc>
        <w:tc>
          <w:tcPr>
            <w:tcW w:w="2550" w:type="dxa"/>
            <w:vAlign w:val="center"/>
          </w:tcPr>
          <w:p w14:paraId="3A5AED9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100</w:t>
            </w:r>
          </w:p>
        </w:tc>
        <w:tc>
          <w:tcPr>
            <w:tcW w:w="2848" w:type="dxa"/>
            <w:vAlign w:val="center"/>
          </w:tcPr>
          <w:p w14:paraId="4D58AC8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100</w:t>
            </w:r>
          </w:p>
        </w:tc>
        <w:tc>
          <w:tcPr>
            <w:tcW w:w="1091" w:type="dxa"/>
            <w:vAlign w:val="center"/>
          </w:tcPr>
          <w:p w14:paraId="5DE0144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2948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2963AC8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交叉跨越（次数）</w:t>
            </w:r>
          </w:p>
        </w:tc>
        <w:tc>
          <w:tcPr>
            <w:tcW w:w="2550" w:type="dxa"/>
            <w:vAlign w:val="center"/>
          </w:tcPr>
          <w:p w14:paraId="6FDF23B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72</w:t>
            </w:r>
          </w:p>
        </w:tc>
        <w:tc>
          <w:tcPr>
            <w:tcW w:w="2848" w:type="dxa"/>
            <w:vAlign w:val="center"/>
          </w:tcPr>
          <w:p w14:paraId="5E6B024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72</w:t>
            </w:r>
          </w:p>
        </w:tc>
        <w:tc>
          <w:tcPr>
            <w:tcW w:w="1091" w:type="dxa"/>
            <w:vAlign w:val="center"/>
          </w:tcPr>
          <w:p w14:paraId="4A43E22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4D3D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5A91443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海拔（m）</w:t>
            </w:r>
          </w:p>
        </w:tc>
        <w:tc>
          <w:tcPr>
            <w:tcW w:w="2550" w:type="dxa"/>
            <w:vAlign w:val="center"/>
          </w:tcPr>
          <w:p w14:paraId="11F2EF4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800~1000</w:t>
            </w:r>
          </w:p>
        </w:tc>
        <w:tc>
          <w:tcPr>
            <w:tcW w:w="2848" w:type="dxa"/>
            <w:vAlign w:val="center"/>
          </w:tcPr>
          <w:p w14:paraId="2FD1ABC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800~1000</w:t>
            </w:r>
          </w:p>
        </w:tc>
        <w:tc>
          <w:tcPr>
            <w:tcW w:w="1091" w:type="dxa"/>
            <w:vAlign w:val="center"/>
          </w:tcPr>
          <w:p w14:paraId="19B8450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615C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49FC20AE">
            <w:pPr>
              <w:pStyle w:val="40"/>
              <w:rPr>
                <w:b w:val="0"/>
                <w:color w:val="000000" w:themeColor="text1"/>
                <w:sz w:val="21"/>
                <w:szCs w:val="21"/>
                <w14:textFill>
                  <w14:solidFill>
                    <w14:schemeClr w14:val="tx1"/>
                  </w14:solidFill>
                </w14:textFill>
              </w:rPr>
            </w:pPr>
            <w:r>
              <w:rPr>
                <w:rFonts w:hint="eastAsia"/>
                <w:b w:val="0"/>
                <w:color w:val="000000" w:themeColor="text1"/>
                <w:sz w:val="21"/>
                <w:szCs w:val="21"/>
                <w14:textFill>
                  <w14:solidFill>
                    <w14:schemeClr w14:val="tx1"/>
                  </w14:solidFill>
                </w14:textFill>
              </w:rPr>
              <w:t>电磁环境评价范围内敏感对象</w:t>
            </w:r>
          </w:p>
        </w:tc>
        <w:tc>
          <w:tcPr>
            <w:tcW w:w="2550" w:type="dxa"/>
            <w:vAlign w:val="center"/>
          </w:tcPr>
          <w:p w14:paraId="687E7D2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w:t>
            </w:r>
          </w:p>
        </w:tc>
        <w:tc>
          <w:tcPr>
            <w:tcW w:w="2848" w:type="dxa"/>
            <w:vAlign w:val="center"/>
          </w:tcPr>
          <w:p w14:paraId="579498C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w:t>
            </w:r>
          </w:p>
        </w:tc>
        <w:tc>
          <w:tcPr>
            <w:tcW w:w="1091" w:type="dxa"/>
            <w:vAlign w:val="center"/>
          </w:tcPr>
          <w:p w14:paraId="7AB7344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5C3B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3D535716">
            <w:pPr>
              <w:pStyle w:val="40"/>
              <w:rPr>
                <w:b w:val="0"/>
                <w:color w:val="000000" w:themeColor="text1"/>
                <w:sz w:val="21"/>
                <w:szCs w:val="21"/>
                <w14:textFill>
                  <w14:solidFill>
                    <w14:schemeClr w14:val="tx1"/>
                  </w14:solidFill>
                </w14:textFill>
              </w:rPr>
            </w:pPr>
            <w:r>
              <w:rPr>
                <w:b w:val="0"/>
                <w:color w:val="000000" w:themeColor="text1"/>
                <w:sz w:val="21"/>
                <w:szCs w:val="21"/>
                <w14:textFill>
                  <w14:solidFill>
                    <w14:schemeClr w14:val="tx1"/>
                  </w14:solidFill>
                </w14:textFill>
              </w:rPr>
              <w:t>声环境</w:t>
            </w:r>
            <w:r>
              <w:rPr>
                <w:rFonts w:hint="eastAsia"/>
                <w:b w:val="0"/>
                <w:color w:val="000000" w:themeColor="text1"/>
                <w:sz w:val="21"/>
                <w:szCs w:val="21"/>
                <w14:textFill>
                  <w14:solidFill>
                    <w14:schemeClr w14:val="tx1"/>
                  </w14:solidFill>
                </w14:textFill>
              </w:rPr>
              <w:t>评价范围内敏感对象</w:t>
            </w:r>
          </w:p>
        </w:tc>
        <w:tc>
          <w:tcPr>
            <w:tcW w:w="2550" w:type="dxa"/>
            <w:vAlign w:val="center"/>
          </w:tcPr>
          <w:p w14:paraId="4140ADE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w:t>
            </w:r>
          </w:p>
        </w:tc>
        <w:tc>
          <w:tcPr>
            <w:tcW w:w="2848" w:type="dxa"/>
            <w:vAlign w:val="center"/>
          </w:tcPr>
          <w:p w14:paraId="695B3DC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无</w:t>
            </w:r>
          </w:p>
        </w:tc>
        <w:tc>
          <w:tcPr>
            <w:tcW w:w="1091" w:type="dxa"/>
            <w:vAlign w:val="center"/>
          </w:tcPr>
          <w:p w14:paraId="6C5D8EC6">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6259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63F2974F">
            <w:pPr>
              <w:pStyle w:val="40"/>
              <w:rPr>
                <w:rFonts w:hint="eastAsia" w:eastAsia="宋体"/>
                <w:b w:val="0"/>
                <w:color w:val="000000" w:themeColor="text1"/>
                <w:sz w:val="21"/>
                <w:szCs w:val="21"/>
                <w:lang w:val="en-US" w:eastAsia="zh-CN"/>
                <w14:textFill>
                  <w14:solidFill>
                    <w14:schemeClr w14:val="tx1"/>
                  </w14:solidFill>
                </w14:textFill>
              </w:rPr>
            </w:pPr>
            <w:r>
              <w:rPr>
                <w:rFonts w:hint="eastAsia"/>
                <w:b w:val="0"/>
                <w:color w:val="000000" w:themeColor="text1"/>
                <w:sz w:val="21"/>
                <w:szCs w:val="21"/>
                <w14:textFill>
                  <w14:solidFill>
                    <w14:schemeClr w14:val="tx1"/>
                  </w14:solidFill>
                </w14:textFill>
              </w:rPr>
              <w:t>敏感区</w:t>
            </w:r>
            <w:r>
              <w:rPr>
                <w:rFonts w:hint="eastAsia"/>
                <w:b w:val="0"/>
                <w:color w:val="000000" w:themeColor="text1"/>
                <w:sz w:val="21"/>
                <w:szCs w:val="21"/>
                <w:lang w:eastAsia="zh-CN"/>
                <w14:textFill>
                  <w14:solidFill>
                    <w14:schemeClr w14:val="tx1"/>
                  </w14:solidFill>
                </w14:textFill>
              </w:rPr>
              <w:t>（</w:t>
            </w:r>
            <w:r>
              <w:rPr>
                <w:b w:val="0"/>
                <w:bCs w:val="0"/>
                <w:color w:val="000000" w:themeColor="text1"/>
                <w14:textFill>
                  <w14:solidFill>
                    <w14:schemeClr w14:val="tx1"/>
                  </w14:solidFill>
                </w14:textFill>
              </w:rPr>
              <w:t>塔里木盆地南缘土地沙化防控生态保护红线区</w:t>
            </w:r>
            <w:r>
              <w:rPr>
                <w:rFonts w:hint="eastAsia"/>
                <w:b w:val="0"/>
                <w:color w:val="000000" w:themeColor="text1"/>
                <w:sz w:val="21"/>
                <w:szCs w:val="21"/>
                <w:lang w:eastAsia="zh-CN"/>
                <w14:textFill>
                  <w14:solidFill>
                    <w14:schemeClr w14:val="tx1"/>
                  </w14:solidFill>
                </w14:textFill>
              </w:rPr>
              <w:t>）</w:t>
            </w:r>
          </w:p>
        </w:tc>
        <w:tc>
          <w:tcPr>
            <w:tcW w:w="2550" w:type="dxa"/>
            <w:vAlign w:val="center"/>
          </w:tcPr>
          <w:p w14:paraId="6CA3A6BC">
            <w:pPr>
              <w:spacing w:line="240" w:lineRule="auto"/>
              <w:ind w:firstLine="0" w:firstLineChars="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不涉及</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最近距离约790m</w:t>
            </w:r>
            <w:r>
              <w:rPr>
                <w:rFonts w:hint="eastAsia"/>
                <w:color w:val="000000" w:themeColor="text1"/>
                <w:sz w:val="21"/>
                <w:szCs w:val="21"/>
                <w:lang w:eastAsia="zh-CN"/>
                <w14:textFill>
                  <w14:solidFill>
                    <w14:schemeClr w14:val="tx1"/>
                  </w14:solidFill>
                </w14:textFill>
              </w:rPr>
              <w:t>）</w:t>
            </w:r>
          </w:p>
        </w:tc>
        <w:tc>
          <w:tcPr>
            <w:tcW w:w="2848" w:type="dxa"/>
            <w:vAlign w:val="center"/>
          </w:tcPr>
          <w:p w14:paraId="5D406FD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不涉及</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最近距离约790m</w:t>
            </w:r>
            <w:r>
              <w:rPr>
                <w:rFonts w:hint="eastAsia"/>
                <w:color w:val="000000" w:themeColor="text1"/>
                <w:sz w:val="21"/>
                <w:szCs w:val="21"/>
                <w:lang w:eastAsia="zh-CN"/>
                <w14:textFill>
                  <w14:solidFill>
                    <w14:schemeClr w14:val="tx1"/>
                  </w14:solidFill>
                </w14:textFill>
              </w:rPr>
              <w:t>）</w:t>
            </w:r>
          </w:p>
        </w:tc>
        <w:tc>
          <w:tcPr>
            <w:tcW w:w="1091" w:type="dxa"/>
            <w:vAlign w:val="center"/>
          </w:tcPr>
          <w:p w14:paraId="0C10249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7620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038E8860">
            <w:pPr>
              <w:pStyle w:val="40"/>
              <w:rPr>
                <w:rFonts w:hint="default"/>
                <w:b w:val="0"/>
                <w:color w:val="000000" w:themeColor="text1"/>
                <w:sz w:val="21"/>
                <w:szCs w:val="21"/>
                <w:lang w:val="en-US"/>
                <w14:textFill>
                  <w14:solidFill>
                    <w14:schemeClr w14:val="tx1"/>
                  </w14:solidFill>
                </w14:textFill>
              </w:rPr>
            </w:pPr>
            <w:r>
              <w:rPr>
                <w:rFonts w:hint="eastAsia"/>
                <w:b w:val="0"/>
                <w:color w:val="000000" w:themeColor="text1"/>
                <w:sz w:val="21"/>
                <w:szCs w:val="21"/>
                <w:lang w:val="en-US" w:eastAsia="zh-CN"/>
                <w14:textFill>
                  <w14:solidFill>
                    <w14:schemeClr w14:val="tx1"/>
                  </w14:solidFill>
                </w14:textFill>
              </w:rPr>
              <w:t>与若羌规划新城距离（km）</w:t>
            </w:r>
          </w:p>
        </w:tc>
        <w:tc>
          <w:tcPr>
            <w:tcW w:w="2550" w:type="dxa"/>
            <w:vAlign w:val="center"/>
          </w:tcPr>
          <w:p w14:paraId="6E58199F">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0.5</w:t>
            </w:r>
          </w:p>
        </w:tc>
        <w:tc>
          <w:tcPr>
            <w:tcW w:w="2848" w:type="dxa"/>
            <w:vAlign w:val="center"/>
          </w:tcPr>
          <w:p w14:paraId="72CA7CBD">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1.93</w:t>
            </w:r>
          </w:p>
        </w:tc>
        <w:tc>
          <w:tcPr>
            <w:tcW w:w="1091" w:type="dxa"/>
            <w:vAlign w:val="center"/>
          </w:tcPr>
          <w:p w14:paraId="2C51FBFC">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北方案优</w:t>
            </w:r>
          </w:p>
        </w:tc>
      </w:tr>
      <w:tr w14:paraId="75EA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78990E96">
            <w:pPr>
              <w:pStyle w:val="40"/>
              <w:rPr>
                <w:rFonts w:hint="default"/>
                <w:b w:val="0"/>
                <w:color w:val="000000" w:themeColor="text1"/>
                <w:sz w:val="21"/>
                <w:szCs w:val="21"/>
                <w:lang w:val="en-US" w:eastAsia="zh-CN"/>
                <w14:textFill>
                  <w14:solidFill>
                    <w14:schemeClr w14:val="tx1"/>
                  </w14:solidFill>
                </w14:textFill>
              </w:rPr>
            </w:pPr>
            <w:r>
              <w:rPr>
                <w:rFonts w:hint="eastAsia"/>
                <w:b w:val="0"/>
                <w:color w:val="000000" w:themeColor="text1"/>
                <w:sz w:val="21"/>
                <w:szCs w:val="21"/>
                <w:lang w:val="en-US" w:eastAsia="zh-CN"/>
                <w14:textFill>
                  <w14:solidFill>
                    <w14:schemeClr w14:val="tx1"/>
                  </w14:solidFill>
                </w14:textFill>
              </w:rPr>
              <w:t>占地面积（m</w:t>
            </w:r>
            <w:r>
              <w:rPr>
                <w:rFonts w:hint="eastAsia"/>
                <w:b w:val="0"/>
                <w:color w:val="000000" w:themeColor="text1"/>
                <w:sz w:val="21"/>
                <w:szCs w:val="21"/>
                <w:vertAlign w:val="superscript"/>
                <w:lang w:val="en-US" w:eastAsia="zh-CN"/>
                <w14:textFill>
                  <w14:solidFill>
                    <w14:schemeClr w14:val="tx1"/>
                  </w14:solidFill>
                </w14:textFill>
              </w:rPr>
              <w:t>2</w:t>
            </w:r>
            <w:r>
              <w:rPr>
                <w:rFonts w:hint="eastAsia"/>
                <w:b w:val="0"/>
                <w:color w:val="000000" w:themeColor="text1"/>
                <w:sz w:val="21"/>
                <w:szCs w:val="21"/>
                <w:lang w:val="en-US" w:eastAsia="zh-CN"/>
                <w14:textFill>
                  <w14:solidFill>
                    <w14:schemeClr w14:val="tx1"/>
                  </w14:solidFill>
                </w14:textFill>
              </w:rPr>
              <w:t>）</w:t>
            </w:r>
          </w:p>
        </w:tc>
        <w:tc>
          <w:tcPr>
            <w:tcW w:w="2550" w:type="dxa"/>
            <w:vAlign w:val="center"/>
          </w:tcPr>
          <w:p w14:paraId="7C4FE4A9">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361000</w:t>
            </w:r>
          </w:p>
        </w:tc>
        <w:tc>
          <w:tcPr>
            <w:tcW w:w="2848" w:type="dxa"/>
            <w:vAlign w:val="center"/>
          </w:tcPr>
          <w:p w14:paraId="2BF34F70">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361000</w:t>
            </w:r>
          </w:p>
        </w:tc>
        <w:tc>
          <w:tcPr>
            <w:tcW w:w="1091" w:type="dxa"/>
            <w:vAlign w:val="center"/>
          </w:tcPr>
          <w:p w14:paraId="22D7149B">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相当</w:t>
            </w:r>
          </w:p>
        </w:tc>
      </w:tr>
      <w:tr w14:paraId="776C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738522E7">
            <w:pPr>
              <w:pStyle w:val="40"/>
              <w:rPr>
                <w:rFonts w:hint="default"/>
                <w:b w:val="0"/>
                <w:color w:val="000000" w:themeColor="text1"/>
                <w:sz w:val="21"/>
                <w:szCs w:val="21"/>
                <w:lang w:val="en-US" w:eastAsia="zh-CN"/>
                <w14:textFill>
                  <w14:solidFill>
                    <w14:schemeClr w14:val="tx1"/>
                  </w14:solidFill>
                </w14:textFill>
              </w:rPr>
            </w:pPr>
            <w:r>
              <w:rPr>
                <w:rFonts w:hint="eastAsia"/>
                <w:b w:val="0"/>
                <w:color w:val="000000" w:themeColor="text1"/>
                <w:sz w:val="21"/>
                <w:szCs w:val="21"/>
                <w:lang w:val="en-US" w:eastAsia="zh-CN"/>
                <w14:textFill>
                  <w14:solidFill>
                    <w14:schemeClr w14:val="tx1"/>
                  </w14:solidFill>
                </w14:textFill>
              </w:rPr>
              <w:t>占地类型</w:t>
            </w:r>
          </w:p>
        </w:tc>
        <w:tc>
          <w:tcPr>
            <w:tcW w:w="2550" w:type="dxa"/>
            <w:vAlign w:val="center"/>
          </w:tcPr>
          <w:p w14:paraId="54B4D219">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其他草地、裸地、采矿用地</w:t>
            </w:r>
          </w:p>
        </w:tc>
        <w:tc>
          <w:tcPr>
            <w:tcW w:w="2848" w:type="dxa"/>
            <w:vAlign w:val="center"/>
          </w:tcPr>
          <w:p w14:paraId="7129F732">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其他草地、裸地</w:t>
            </w:r>
          </w:p>
        </w:tc>
        <w:tc>
          <w:tcPr>
            <w:tcW w:w="1091" w:type="dxa"/>
            <w:vAlign w:val="center"/>
          </w:tcPr>
          <w:p w14:paraId="244AEBA5">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北方案优</w:t>
            </w:r>
          </w:p>
        </w:tc>
      </w:tr>
      <w:tr w14:paraId="3866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766DBE57">
            <w:pPr>
              <w:pStyle w:val="40"/>
              <w:rPr>
                <w:rFonts w:hint="default"/>
                <w:b w:val="0"/>
                <w:color w:val="000000" w:themeColor="text1"/>
                <w:sz w:val="21"/>
                <w:szCs w:val="21"/>
                <w:lang w:val="en-US" w:eastAsia="zh-CN"/>
                <w14:textFill>
                  <w14:solidFill>
                    <w14:schemeClr w14:val="tx1"/>
                  </w14:solidFill>
                </w14:textFill>
              </w:rPr>
            </w:pPr>
            <w:r>
              <w:rPr>
                <w:rFonts w:hint="eastAsia"/>
                <w:b w:val="0"/>
                <w:color w:val="000000" w:themeColor="text1"/>
                <w:sz w:val="21"/>
                <w:szCs w:val="21"/>
                <w:lang w:val="en-US" w:eastAsia="zh-CN"/>
                <w14:textFill>
                  <w14:solidFill>
                    <w14:schemeClr w14:val="tx1"/>
                  </w14:solidFill>
                </w14:textFill>
              </w:rPr>
              <w:t>林木砍伐情况</w:t>
            </w:r>
          </w:p>
        </w:tc>
        <w:tc>
          <w:tcPr>
            <w:tcW w:w="2550" w:type="dxa"/>
            <w:vAlign w:val="center"/>
          </w:tcPr>
          <w:p w14:paraId="29F4B396">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不砍伐林木</w:t>
            </w:r>
          </w:p>
        </w:tc>
        <w:tc>
          <w:tcPr>
            <w:tcW w:w="2848" w:type="dxa"/>
            <w:vAlign w:val="center"/>
          </w:tcPr>
          <w:p w14:paraId="12297B6D">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不砍伐林木</w:t>
            </w:r>
          </w:p>
        </w:tc>
        <w:tc>
          <w:tcPr>
            <w:tcW w:w="1091" w:type="dxa"/>
            <w:vAlign w:val="center"/>
          </w:tcPr>
          <w:p w14:paraId="46204916">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相当</w:t>
            </w:r>
          </w:p>
        </w:tc>
      </w:tr>
      <w:tr w14:paraId="5747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19958D33">
            <w:pPr>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优点</w:t>
            </w:r>
          </w:p>
        </w:tc>
        <w:tc>
          <w:tcPr>
            <w:tcW w:w="2550" w:type="dxa"/>
            <w:vAlign w:val="center"/>
          </w:tcPr>
          <w:p w14:paraId="1956AB02">
            <w:pPr>
              <w:widowControl/>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线路不</w:t>
            </w:r>
            <w:r>
              <w:rPr>
                <w:rFonts w:hint="eastAsia"/>
                <w:color w:val="000000" w:themeColor="text1"/>
                <w:sz w:val="21"/>
                <w:szCs w:val="21"/>
                <w14:textFill>
                  <w14:solidFill>
                    <w14:schemeClr w14:val="tx1"/>
                  </w14:solidFill>
                </w14:textFill>
              </w:rPr>
              <w:t>跨越换流站进站道路</w:t>
            </w:r>
          </w:p>
        </w:tc>
        <w:tc>
          <w:tcPr>
            <w:tcW w:w="2848" w:type="dxa"/>
            <w:vAlign w:val="center"/>
          </w:tcPr>
          <w:p w14:paraId="2CEB182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1、不同耐张段跨越国道、高速、铁路，后期实施容易协调。</w:t>
            </w:r>
          </w:p>
          <w:p w14:paraId="520AABB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2、避免重复迁改110kV米牵二线、220kV塔东泽一线。</w:t>
            </w:r>
          </w:p>
          <w:p w14:paraId="7E6A8EF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3、本期3回750线路与±800kV特高压直流线路基本平行，高压电力廊道归并，有利于土地集约化。</w:t>
            </w:r>
          </w:p>
        </w:tc>
        <w:tc>
          <w:tcPr>
            <w:tcW w:w="1091" w:type="dxa"/>
            <w:vAlign w:val="center"/>
          </w:tcPr>
          <w:p w14:paraId="58FC048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r>
      <w:tr w14:paraId="17C9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71C336AE">
            <w:pPr>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缺点</w:t>
            </w:r>
          </w:p>
        </w:tc>
        <w:tc>
          <w:tcPr>
            <w:tcW w:w="2550" w:type="dxa"/>
            <w:vAlign w:val="center"/>
          </w:tcPr>
          <w:p w14:paraId="6915999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1、配套3回750kV线路需一档跨越西和高速以及格库铁路、罗若铁路，架线施工需同时对接高速主管部门及铁路主管部门，建设窗口期难以协调。</w:t>
            </w:r>
          </w:p>
          <w:p w14:paraId="7CB1EA6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2、配套3回750kV线路需要跨越7条电力线路，其中110kV米牵一二线、220kV塔东泽一二线不能同时停电，需要迁改米牵二线以及塔东泽一线，北方案可利用特高压直流线路迁改方案。</w:t>
            </w:r>
          </w:p>
          <w:p w14:paraId="507971B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3、配套750kV</w:t>
            </w:r>
            <w:r>
              <w:rPr>
                <w:color w:val="000000" w:themeColor="text1"/>
                <w:sz w:val="21"/>
                <w:szCs w:val="21"/>
                <w14:textFill>
                  <w14:solidFill>
                    <w14:schemeClr w14:val="tx1"/>
                  </w14:solidFill>
                </w14:textFill>
              </w:rPr>
              <w:t>Ⅲ回</w:t>
            </w:r>
            <w:r>
              <w:rPr>
                <w:rFonts w:hint="eastAsia"/>
                <w:color w:val="000000" w:themeColor="text1"/>
                <w:sz w:val="21"/>
                <w:szCs w:val="21"/>
                <w14:textFill>
                  <w14:solidFill>
                    <w14:schemeClr w14:val="tx1"/>
                  </w14:solidFill>
                </w14:textFill>
              </w:rPr>
              <w:t>线路需要跨越一个砂石料矿，后期协调困难，不利于项目的顺利推进。</w:t>
            </w:r>
          </w:p>
          <w:p w14:paraId="5E0D4C1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4、配套3回750kV线路离若羌规划新城近，最近距离不足500m，随着若羌新城的建设与发展，后期不利于线路的安全运行。</w:t>
            </w:r>
          </w:p>
        </w:tc>
        <w:tc>
          <w:tcPr>
            <w:tcW w:w="2848" w:type="dxa"/>
            <w:vAlign w:val="center"/>
          </w:tcPr>
          <w:p w14:paraId="3F2C951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线路跨越换流站进站道路</w:t>
            </w:r>
          </w:p>
        </w:tc>
        <w:tc>
          <w:tcPr>
            <w:tcW w:w="1091" w:type="dxa"/>
            <w:vAlign w:val="center"/>
          </w:tcPr>
          <w:p w14:paraId="2C60C74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北方案优</w:t>
            </w:r>
          </w:p>
        </w:tc>
      </w:tr>
      <w:tr w14:paraId="545E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171363B6">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综合投资（万元）</w:t>
            </w:r>
          </w:p>
        </w:tc>
        <w:tc>
          <w:tcPr>
            <w:tcW w:w="2550" w:type="dxa"/>
            <w:vAlign w:val="center"/>
          </w:tcPr>
          <w:p w14:paraId="5DE5014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15192（迁改110kV米牵二线、220kV塔东泽一线）</w:t>
            </w:r>
          </w:p>
        </w:tc>
        <w:tc>
          <w:tcPr>
            <w:tcW w:w="2848" w:type="dxa"/>
            <w:vAlign w:val="center"/>
          </w:tcPr>
          <w:p w14:paraId="356FCC0D">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14</w:t>
            </w:r>
            <w:r>
              <w:rPr>
                <w:rFonts w:hint="eastAsia"/>
                <w:color w:val="000000" w:themeColor="text1"/>
                <w:sz w:val="21"/>
                <w:szCs w:val="21"/>
                <w:highlight w:val="none"/>
                <w:lang w:val="en-US" w:eastAsia="zh-CN"/>
                <w14:textFill>
                  <w14:solidFill>
                    <w14:schemeClr w14:val="tx1"/>
                  </w14:solidFill>
                </w14:textFill>
              </w:rPr>
              <w:t>162</w:t>
            </w:r>
          </w:p>
        </w:tc>
        <w:tc>
          <w:tcPr>
            <w:tcW w:w="1091" w:type="dxa"/>
            <w:vAlign w:val="center"/>
          </w:tcPr>
          <w:p w14:paraId="1CF3E9D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北方案</w:t>
            </w:r>
          </w:p>
        </w:tc>
      </w:tr>
      <w:tr w14:paraId="6BCA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center"/>
          </w:tcPr>
          <w:p w14:paraId="4A257E1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结论</w:t>
            </w:r>
          </w:p>
        </w:tc>
        <w:tc>
          <w:tcPr>
            <w:tcW w:w="2550" w:type="dxa"/>
            <w:vAlign w:val="center"/>
          </w:tcPr>
          <w:p w14:paraId="1B6299D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不推荐</w:t>
            </w:r>
          </w:p>
        </w:tc>
        <w:tc>
          <w:tcPr>
            <w:tcW w:w="2848" w:type="dxa"/>
            <w:vAlign w:val="center"/>
          </w:tcPr>
          <w:p w14:paraId="30B5698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推荐</w:t>
            </w:r>
          </w:p>
        </w:tc>
        <w:tc>
          <w:tcPr>
            <w:tcW w:w="1091" w:type="dxa"/>
            <w:vAlign w:val="center"/>
          </w:tcPr>
          <w:p w14:paraId="3A9E73B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北方案</w:t>
            </w:r>
          </w:p>
        </w:tc>
      </w:tr>
    </w:tbl>
    <w:p w14:paraId="52C12CE9">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本工程为电力输送项目，南、北两个路径方案均不涉及环境敏感区，线路长度、交叉跨越等情况一致，但南方案需迁改米牵二线以及塔东泽一线，北方案可利用特高压直流线路迁改方案，</w:t>
      </w:r>
      <w:r>
        <w:rPr>
          <w:bCs/>
          <w:color w:val="000000" w:themeColor="text1"/>
          <w14:textFill>
            <w14:solidFill>
              <w14:schemeClr w14:val="tx1"/>
            </w14:solidFill>
          </w14:textFill>
        </w:rPr>
        <w:t>北方案距离塔里木盆地南缘土地沙化防控生态保护红线区</w:t>
      </w:r>
      <w:r>
        <w:rPr>
          <w:rFonts w:hint="eastAsia"/>
          <w:bCs/>
          <w:color w:val="000000" w:themeColor="text1"/>
          <w14:textFill>
            <w14:solidFill>
              <w14:schemeClr w14:val="tx1"/>
            </w14:solidFill>
          </w14:textFill>
        </w:rPr>
        <w:t>约790m</w:t>
      </w:r>
      <w:r>
        <w:rPr>
          <w:bCs/>
          <w:color w:val="000000" w:themeColor="text1"/>
          <w14:textFill>
            <w14:solidFill>
              <w14:schemeClr w14:val="tx1"/>
            </w14:solidFill>
          </w14:textFill>
        </w:rPr>
        <w:t>，后期施工需要合理控制施工作业带范围，而</w:t>
      </w:r>
      <w:r>
        <w:rPr>
          <w:rFonts w:hint="eastAsia"/>
          <w:color w:val="000000" w:themeColor="text1"/>
          <w14:textFill>
            <w14:solidFill>
              <w14:schemeClr w14:val="tx1"/>
            </w14:solidFill>
          </w14:textFill>
        </w:rPr>
        <w:t xml:space="preserve">南方案配套的750kV </w:t>
      </w:r>
      <w:r>
        <w:rPr>
          <w:color w:val="000000" w:themeColor="text1"/>
          <w14:textFill>
            <w14:solidFill>
              <w14:schemeClr w14:val="tx1"/>
            </w14:solidFill>
          </w14:textFill>
        </w:rPr>
        <w:t>Ⅲ回</w:t>
      </w:r>
      <w:r>
        <w:rPr>
          <w:rFonts w:hint="eastAsia"/>
          <w:color w:val="000000" w:themeColor="text1"/>
          <w14:textFill>
            <w14:solidFill>
              <w14:schemeClr w14:val="tx1"/>
            </w14:solidFill>
          </w14:textFill>
        </w:rPr>
        <w:t>线路需要跨越一个砂石料矿，</w:t>
      </w:r>
      <w:r>
        <w:rPr>
          <w:rFonts w:hint="eastAsia"/>
          <w:bCs/>
          <w:color w:val="000000" w:themeColor="text1"/>
          <w14:textFill>
            <w14:solidFill>
              <w14:schemeClr w14:val="tx1"/>
            </w14:solidFill>
          </w14:textFill>
        </w:rPr>
        <w:t>且</w:t>
      </w:r>
      <w:r>
        <w:rPr>
          <w:bCs/>
          <w:color w:val="000000" w:themeColor="text1"/>
          <w14:textFill>
            <w14:solidFill>
              <w14:schemeClr w14:val="tx1"/>
            </w14:solidFill>
          </w14:textFill>
        </w:rPr>
        <w:t>距离规划新城较近，</w:t>
      </w:r>
      <w:r>
        <w:rPr>
          <w:rFonts w:hint="eastAsia"/>
          <w:bCs/>
          <w:color w:val="000000" w:themeColor="text1"/>
          <w:lang w:val="en-US" w:eastAsia="zh-CN"/>
          <w14:textFill>
            <w14:solidFill>
              <w14:schemeClr w14:val="tx1"/>
            </w14:solidFill>
          </w14:textFill>
        </w:rPr>
        <w:t>约500m，</w:t>
      </w:r>
      <w:r>
        <w:rPr>
          <w:bCs/>
          <w:color w:val="000000" w:themeColor="text1"/>
          <w14:textFill>
            <w14:solidFill>
              <w14:schemeClr w14:val="tx1"/>
            </w14:solidFill>
          </w14:textFill>
        </w:rPr>
        <w:t>后期可能会对城市规划发展、人员生活造成影响，</w:t>
      </w:r>
      <w:r>
        <w:rPr>
          <w:rFonts w:hint="eastAsia"/>
          <w:bCs/>
          <w:color w:val="000000" w:themeColor="text1"/>
          <w:lang w:val="en-US" w:eastAsia="zh-CN"/>
          <w14:textFill>
            <w14:solidFill>
              <w14:schemeClr w14:val="tx1"/>
            </w14:solidFill>
          </w14:textFill>
        </w:rPr>
        <w:t>两个方案线路长度一致、占地面积相同，均不涉及林木砍伐，南方案比北方案占地类型多采矿用地，</w:t>
      </w:r>
      <w:r>
        <w:rPr>
          <w:bCs/>
          <w:color w:val="000000" w:themeColor="text1"/>
          <w14:textFill>
            <w14:solidFill>
              <w14:schemeClr w14:val="tx1"/>
            </w14:solidFill>
          </w14:textFill>
        </w:rPr>
        <w:t>综合考虑，南方案投资较高，在施工期控制好作业范围的条件下，推荐北方案。</w:t>
      </w:r>
      <w:r>
        <w:rPr>
          <w:rFonts w:hint="eastAsia"/>
          <w:color w:val="000000" w:themeColor="text1"/>
          <w14:textFill>
            <w14:solidFill>
              <w14:schemeClr w14:val="tx1"/>
            </w14:solidFill>
          </w14:textFill>
        </w:rPr>
        <w:t>与可研推荐方案一致。</w:t>
      </w:r>
    </w:p>
    <w:p w14:paraId="57E4C9A0">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综上所述，</w:t>
      </w:r>
      <w:r>
        <w:rPr>
          <w:color w:val="000000" w:themeColor="text1"/>
          <w14:textFill>
            <w14:solidFill>
              <w14:schemeClr w14:val="tx1"/>
            </w14:solidFill>
          </w14:textFill>
        </w:rPr>
        <w:t>建设项目选址、选线对环境的影响是可接受的。</w:t>
      </w:r>
    </w:p>
    <w:p w14:paraId="4F9397E8">
      <w:pPr>
        <w:ind w:firstLine="0" w:firstLineChars="0"/>
        <w:outlineLvl w:val="3"/>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3.2.1</w:t>
      </w:r>
      <w:r>
        <w:rPr>
          <w:rFonts w:hint="eastAsia" w:cs="Times New Roman"/>
          <w:color w:val="000000" w:themeColor="text1"/>
          <w:sz w:val="28"/>
          <w:szCs w:val="28"/>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.3临时占地选址合理性分析</w:t>
      </w:r>
    </w:p>
    <w:p w14:paraId="12D098C8">
      <w:pPr>
        <w:ind w:left="0" w:leftChars="0" w:firstLine="480" w:firstLineChars="20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w:t>
      </w:r>
      <w:r>
        <w:rPr>
          <w:color w:val="000000" w:themeColor="text1"/>
          <w14:textFill>
            <w14:solidFill>
              <w14:schemeClr w14:val="tx1"/>
            </w14:solidFill>
          </w14:textFill>
        </w:rPr>
        <w:t>临时占地包括输电线路工程的塔基施工场地、牵张场、跨越</w:t>
      </w:r>
      <w:r>
        <w:rPr>
          <w:rFonts w:hint="eastAsia"/>
          <w:color w:val="000000" w:themeColor="text1"/>
          <w:lang w:val="en-US" w:eastAsia="zh-CN"/>
          <w14:textFill>
            <w14:solidFill>
              <w14:schemeClr w14:val="tx1"/>
            </w14:solidFill>
          </w14:textFill>
        </w:rPr>
        <w:t>点</w:t>
      </w:r>
      <w:r>
        <w:rPr>
          <w:color w:val="000000" w:themeColor="text1"/>
          <w14:textFill>
            <w14:solidFill>
              <w14:schemeClr w14:val="tx1"/>
            </w14:solidFill>
          </w14:textFill>
        </w:rPr>
        <w:t>施工场地、施工道路</w:t>
      </w:r>
      <w:r>
        <w:rPr>
          <w:rFonts w:hint="eastAsia"/>
          <w:color w:val="000000" w:themeColor="text1"/>
          <w:lang w:eastAsia="zh-CN"/>
          <w14:textFill>
            <w14:solidFill>
              <w14:schemeClr w14:val="tx1"/>
            </w14:solidFill>
          </w14:textFill>
        </w:rPr>
        <w:t>、施工营地及材料站</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项目临时占地均为项目建设不可避免的占地，临时占地远离</w:t>
      </w:r>
      <w:r>
        <w:rPr>
          <w:bCs/>
          <w:color w:val="000000" w:themeColor="text1"/>
          <w14:textFill>
            <w14:solidFill>
              <w14:schemeClr w14:val="tx1"/>
            </w14:solidFill>
          </w14:textFill>
        </w:rPr>
        <w:t>塔里木盆地南缘土地沙化防控生态保护红线</w:t>
      </w:r>
      <w:r>
        <w:rPr>
          <w:rFonts w:hint="eastAsia"/>
          <w:bCs/>
          <w:color w:val="000000" w:themeColor="text1"/>
          <w:lang w:eastAsia="zh-CN"/>
          <w14:textFill>
            <w14:solidFill>
              <w14:schemeClr w14:val="tx1"/>
            </w14:solidFill>
          </w14:textFill>
        </w:rPr>
        <w:t>，</w:t>
      </w:r>
      <w:r>
        <w:rPr>
          <w:rFonts w:hint="eastAsia"/>
          <w:bCs/>
          <w:color w:val="000000" w:themeColor="text1"/>
          <w:lang w:val="en-US" w:eastAsia="zh-CN"/>
          <w14:textFill>
            <w14:solidFill>
              <w14:schemeClr w14:val="tx1"/>
            </w14:solidFill>
          </w14:textFill>
        </w:rPr>
        <w:t>无环境敏感目标，已尽量避让占用其他草地，选择</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植被覆盖率低、恢复难度小的区域</w:t>
      </w:r>
      <w:r>
        <w:rPr>
          <w:rFonts w:hint="eastAsia" w:ascii="Segoe UI" w:hAnsi="Segoe UI" w:eastAsia="宋体" w:cs="Segoe UI"/>
          <w:i w:val="0"/>
          <w:iCs w:val="0"/>
          <w:caps w:val="0"/>
          <w:color w:val="000000" w:themeColor="text1"/>
          <w:spacing w:val="0"/>
          <w:sz w:val="24"/>
          <w:szCs w:val="24"/>
          <w:shd w:val="clear" w:fill="FFFFFF"/>
          <w:lang w:eastAsia="zh-CN"/>
          <w14:textFill>
            <w14:solidFill>
              <w14:schemeClr w14:val="tx1"/>
            </w14:solidFill>
          </w14:textFill>
        </w:rPr>
        <w:t>，</w:t>
      </w:r>
      <w:r>
        <w:rPr>
          <w:rFonts w:hint="eastAsia" w:ascii="Segoe UI" w:hAnsi="Segoe UI" w:eastAsia="宋体" w:cs="Segoe UI"/>
          <w:i w:val="0"/>
          <w:iCs w:val="0"/>
          <w:caps w:val="0"/>
          <w:color w:val="000000" w:themeColor="text1"/>
          <w:spacing w:val="0"/>
          <w:sz w:val="24"/>
          <w:szCs w:val="24"/>
          <w:shd w:val="clear" w:fill="FFFFFF"/>
          <w:lang w:val="en-US" w:eastAsia="zh-CN"/>
          <w14:textFill>
            <w14:solidFill>
              <w14:schemeClr w14:val="tx1"/>
            </w14:solidFill>
          </w14:textFill>
        </w:rPr>
        <w:t>施工道路已尽量利用现有道路，施工营地</w:t>
      </w:r>
      <w:r>
        <w:rPr>
          <w:rFonts w:hint="eastAsia"/>
          <w:color w:val="000000" w:themeColor="text1"/>
          <w:lang w:eastAsia="zh-CN"/>
          <w14:textFill>
            <w14:solidFill>
              <w14:schemeClr w14:val="tx1"/>
            </w14:solidFill>
          </w14:textFill>
        </w:rPr>
        <w:t>及材料站</w:t>
      </w:r>
      <w:r>
        <w:rPr>
          <w:rFonts w:hint="eastAsia"/>
          <w:color w:val="000000" w:themeColor="text1"/>
          <w:lang w:val="en-US" w:eastAsia="zh-CN"/>
          <w14:textFill>
            <w14:solidFill>
              <w14:schemeClr w14:val="tx1"/>
            </w14:solidFill>
          </w14:textFill>
        </w:rPr>
        <w:t>已设置在距离现有道路较近的位置，</w:t>
      </w:r>
      <w:r>
        <w:rPr>
          <w:rFonts w:hint="eastAsia" w:ascii="Segoe UI" w:hAnsi="Segoe UI" w:eastAsia="宋体" w:cs="Segoe UI"/>
          <w:i w:val="0"/>
          <w:iCs w:val="0"/>
          <w:caps w:val="0"/>
          <w:color w:val="000000" w:themeColor="text1"/>
          <w:spacing w:val="0"/>
          <w:sz w:val="24"/>
          <w:szCs w:val="24"/>
          <w:shd w:val="clear" w:fill="FFFFFF"/>
          <w:lang w:val="en-US" w:eastAsia="zh-CN"/>
          <w14:textFill>
            <w14:solidFill>
              <w14:schemeClr w14:val="tx1"/>
            </w14:solidFill>
          </w14:textFill>
        </w:rPr>
        <w:t>已进行</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优化布局、压缩</w:t>
      </w:r>
      <w:r>
        <w:rPr>
          <w:rFonts w:hint="eastAsia" w:ascii="Segoe UI" w:hAnsi="Segoe UI" w:eastAsia="宋体" w:cs="Segoe UI"/>
          <w:i w:val="0"/>
          <w:iCs w:val="0"/>
          <w:caps w:val="0"/>
          <w:color w:val="000000" w:themeColor="text1"/>
          <w:spacing w:val="0"/>
          <w:sz w:val="24"/>
          <w:szCs w:val="24"/>
          <w:shd w:val="clear" w:fill="FFFFFF"/>
          <w:lang w:val="en-US" w:eastAsia="zh-CN"/>
          <w14:textFill>
            <w14:solidFill>
              <w14:schemeClr w14:val="tx1"/>
            </w14:solidFill>
          </w14:textFill>
        </w:rPr>
        <w:t>占地范围</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，将占地面积控制在最低必要水平，避免过度占用土地资源。</w:t>
      </w:r>
    </w:p>
    <w:p w14:paraId="323C69B9">
      <w:pPr>
        <w:ind w:left="0" w:leftChars="0" w:firstLine="480"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综上所述，</w:t>
      </w:r>
      <w:r>
        <w:rPr>
          <w:rFonts w:hint="default"/>
          <w:color w:val="000000" w:themeColor="text1"/>
          <w:lang w:val="en-US" w:eastAsia="zh-CN"/>
          <w14:textFill>
            <w14:solidFill>
              <w14:schemeClr w14:val="tx1"/>
            </w14:solidFill>
          </w14:textFill>
        </w:rPr>
        <w:t>项目</w:t>
      </w:r>
      <w:r>
        <w:rPr>
          <w:rFonts w:hint="eastAsia"/>
          <w:color w:val="000000" w:themeColor="text1"/>
          <w:lang w:val="en-US" w:eastAsia="zh-CN"/>
          <w14:textFill>
            <w14:solidFill>
              <w14:schemeClr w14:val="tx1"/>
            </w14:solidFill>
          </w14:textFill>
        </w:rPr>
        <w:t>临时占地</w:t>
      </w:r>
      <w:r>
        <w:rPr>
          <w:rFonts w:hint="default"/>
          <w:color w:val="000000" w:themeColor="text1"/>
          <w:lang w:val="en-US" w:eastAsia="zh-CN"/>
          <w14:textFill>
            <w14:solidFill>
              <w14:schemeClr w14:val="tx1"/>
            </w14:solidFill>
          </w14:textFill>
        </w:rPr>
        <w:t>选址基本合理。</w:t>
      </w:r>
    </w:p>
    <w:p w14:paraId="7F17D6F0">
      <w:pPr>
        <w:pStyle w:val="3"/>
        <w:spacing w:before="156" w:beforeLines="50" w:after="156" w:afterLines="50"/>
        <w:rPr>
          <w:color w:val="000000" w:themeColor="text1"/>
          <w14:textFill>
            <w14:solidFill>
              <w14:schemeClr w14:val="tx1"/>
            </w14:solidFill>
          </w14:textFill>
        </w:rPr>
      </w:pPr>
      <w:bookmarkStart w:id="533" w:name="_Toc13681"/>
      <w:r>
        <w:rPr>
          <w:color w:val="000000" w:themeColor="text1"/>
          <w14:textFill>
            <w14:solidFill>
              <w14:schemeClr w14:val="tx1"/>
            </w14:solidFill>
          </w14:textFill>
        </w:rPr>
        <w:t>3.3环境影响因素识别</w:t>
      </w:r>
      <w:bookmarkEnd w:id="533"/>
    </w:p>
    <w:p w14:paraId="509DB0E5">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534" w:name="_Toc1419"/>
      <w:bookmarkStart w:id="535" w:name="_Toc8778"/>
      <w:bookmarkStart w:id="536" w:name="_Toc6105"/>
      <w:bookmarkStart w:id="537" w:name="_Toc15187"/>
      <w:bookmarkStart w:id="538" w:name="_Toc18710"/>
      <w:bookmarkStart w:id="539" w:name="_Toc29510"/>
      <w:bookmarkStart w:id="540" w:name="_Toc28936"/>
      <w:bookmarkStart w:id="541" w:name="_Toc22193"/>
      <w:bookmarkStart w:id="542" w:name="_Toc7485"/>
      <w:bookmarkStart w:id="543" w:name="_Toc18572"/>
      <w:bookmarkStart w:id="544" w:name="_Toc1146"/>
      <w:r>
        <w:rPr>
          <w:color w:val="000000" w:themeColor="text1"/>
          <w:sz w:val="28"/>
          <w:szCs w:val="28"/>
          <w14:textFill>
            <w14:solidFill>
              <w14:schemeClr w14:val="tx1"/>
            </w14:solidFill>
          </w14:textFill>
        </w:rPr>
        <w:t>3.3.1施工期</w:t>
      </w:r>
      <w:bookmarkEnd w:id="534"/>
      <w:bookmarkEnd w:id="535"/>
      <w:bookmarkEnd w:id="536"/>
      <w:bookmarkEnd w:id="537"/>
      <w:bookmarkEnd w:id="538"/>
      <w:bookmarkEnd w:id="539"/>
      <w:bookmarkEnd w:id="540"/>
      <w:bookmarkEnd w:id="541"/>
      <w:bookmarkEnd w:id="542"/>
      <w:bookmarkEnd w:id="543"/>
      <w:bookmarkEnd w:id="544"/>
    </w:p>
    <w:p w14:paraId="4C9816D6">
      <w:pPr>
        <w:ind w:firstLine="480"/>
        <w:rPr>
          <w:color w:val="000000" w:themeColor="text1"/>
          <w14:textFill>
            <w14:solidFill>
              <w14:schemeClr w14:val="tx1"/>
            </w14:solidFill>
          </w14:textFill>
        </w:rPr>
      </w:pPr>
      <w:r>
        <w:rPr>
          <w:color w:val="000000" w:themeColor="text1"/>
          <w14:textFill>
            <w14:solidFill>
              <w14:schemeClr w14:val="tx1"/>
            </w14:solidFill>
          </w14:textFill>
        </w:rPr>
        <w:t>施工期的主要环境影响因素有：施工期噪声、施工期废气、施工期</w:t>
      </w:r>
      <w:r>
        <w:rPr>
          <w:rFonts w:hint="eastAsia"/>
          <w:color w:val="000000" w:themeColor="text1"/>
          <w:lang w:val="en-US" w:eastAsia="zh-CN"/>
          <w14:textFill>
            <w14:solidFill>
              <w14:schemeClr w14:val="tx1"/>
            </w14:solidFill>
          </w14:textFill>
        </w:rPr>
        <w:t>生活污水</w:t>
      </w:r>
      <w:r>
        <w:rPr>
          <w:color w:val="000000" w:themeColor="text1"/>
          <w14:textFill>
            <w14:solidFill>
              <w14:schemeClr w14:val="tx1"/>
            </w14:solidFill>
          </w14:textFill>
        </w:rPr>
        <w:t>、施工期固体废物</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生态影响等。</w:t>
      </w:r>
    </w:p>
    <w:p w14:paraId="01B0DAD3">
      <w:pPr>
        <w:ind w:firstLine="480"/>
        <w:rPr>
          <w:color w:val="000000" w:themeColor="text1"/>
          <w14:textFill>
            <w14:solidFill>
              <w14:schemeClr w14:val="tx1"/>
            </w14:solidFill>
          </w14:textFill>
        </w:rPr>
      </w:pPr>
      <w:r>
        <w:rPr>
          <w:color w:val="000000" w:themeColor="text1"/>
          <w14:textFill>
            <w14:solidFill>
              <w14:schemeClr w14:val="tx1"/>
            </w14:solidFill>
          </w14:textFill>
        </w:rPr>
        <w:t>（1）施工期噪声</w:t>
      </w:r>
    </w:p>
    <w:p w14:paraId="78C78446">
      <w:pPr>
        <w:ind w:firstLine="480"/>
        <w:rPr>
          <w:color w:val="000000" w:themeColor="text1"/>
          <w:szCs w:val="21"/>
          <w14:textFill>
            <w14:solidFill>
              <w14:schemeClr w14:val="tx1"/>
            </w14:solidFill>
          </w14:textFill>
        </w:rPr>
      </w:pPr>
      <w:r>
        <w:rPr>
          <w:color w:val="000000" w:themeColor="text1"/>
          <w14:textFill>
            <w14:solidFill>
              <w14:schemeClr w14:val="tx1"/>
            </w14:solidFill>
          </w14:textFill>
        </w:rPr>
        <w:t>施工期噪声主要来自推土机、挖掘机、搅拌机等施工机械运行噪声及车辆运输对周围环境产生不良影响，</w:t>
      </w:r>
      <w:r>
        <w:rPr>
          <w:rFonts w:hint="eastAsia"/>
          <w:color w:val="000000" w:themeColor="text1"/>
          <w14:textFill>
            <w14:solidFill>
              <w14:schemeClr w14:val="tx1"/>
            </w14:solidFill>
          </w14:textFill>
        </w:rPr>
        <w:t>参考《环境噪声与振动控制工程技术导则》（</w:t>
      </w:r>
      <w:r>
        <w:rPr>
          <w:color w:val="000000" w:themeColor="text1"/>
          <w14:textFill>
            <w14:solidFill>
              <w14:schemeClr w14:val="tx1"/>
            </w14:solidFill>
          </w14:textFill>
        </w:rPr>
        <w:t>HJ 2034-2013</w:t>
      </w:r>
      <w:r>
        <w:rPr>
          <w:rFonts w:hint="eastAsia"/>
          <w:color w:val="000000" w:themeColor="text1"/>
          <w14:textFill>
            <w14:solidFill>
              <w14:schemeClr w14:val="tx1"/>
            </w14:solidFill>
          </w14:textFill>
        </w:rPr>
        <w:t>），选用适中的噪声源源强值。</w:t>
      </w:r>
      <w:r>
        <w:rPr>
          <w:color w:val="000000" w:themeColor="text1"/>
          <w14:textFill>
            <w14:solidFill>
              <w14:schemeClr w14:val="tx1"/>
            </w14:solidFill>
          </w14:textFill>
        </w:rPr>
        <w:t>施工机械的噪声源强见表3.3-1</w:t>
      </w:r>
      <w:r>
        <w:rPr>
          <w:color w:val="000000" w:themeColor="text1"/>
          <w:szCs w:val="21"/>
          <w14:textFill>
            <w14:solidFill>
              <w14:schemeClr w14:val="tx1"/>
            </w14:solidFill>
          </w14:textFill>
        </w:rPr>
        <w:t>。</w:t>
      </w:r>
    </w:p>
    <w:p w14:paraId="192A7768">
      <w:pPr>
        <w:autoSpaceDE w:val="0"/>
        <w:autoSpaceDN w:val="0"/>
        <w:adjustRightInd w:val="0"/>
        <w:ind w:firstLine="422"/>
        <w:jc w:val="center"/>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表3.3-1  施工机械噪声源强</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444"/>
        <w:gridCol w:w="1817"/>
        <w:gridCol w:w="2131"/>
      </w:tblGrid>
      <w:tr w14:paraId="5EBC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exact"/>
          <w:jc w:val="center"/>
        </w:trPr>
        <w:tc>
          <w:tcPr>
            <w:tcW w:w="2130" w:type="dxa"/>
            <w:vAlign w:val="center"/>
          </w:tcPr>
          <w:p w14:paraId="0D3392A6">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声源名称</w:t>
            </w:r>
          </w:p>
        </w:tc>
        <w:tc>
          <w:tcPr>
            <w:tcW w:w="2444" w:type="dxa"/>
            <w:vAlign w:val="center"/>
          </w:tcPr>
          <w:p w14:paraId="0E8D90D2">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声压级（距声源</w:t>
            </w:r>
            <w:r>
              <w:rPr>
                <w:b/>
                <w:bCs/>
                <w:color w:val="000000" w:themeColor="text1"/>
                <w:kern w:val="0"/>
                <w:sz w:val="21"/>
                <w:szCs w:val="21"/>
                <w14:textFill>
                  <w14:solidFill>
                    <w14:schemeClr w14:val="tx1"/>
                  </w14:solidFill>
                </w14:textFill>
              </w:rPr>
              <w:t>5m</w:t>
            </w:r>
            <w:r>
              <w:rPr>
                <w:rFonts w:hint="eastAsia"/>
                <w:b/>
                <w:bCs/>
                <w:color w:val="000000" w:themeColor="text1"/>
                <w:kern w:val="0"/>
                <w:sz w:val="21"/>
                <w:szCs w:val="21"/>
                <w14:textFill>
                  <w14:solidFill>
                    <w14:schemeClr w14:val="tx1"/>
                  </w14:solidFill>
                </w14:textFill>
              </w:rPr>
              <w:t>，单位</w:t>
            </w:r>
            <w:r>
              <w:rPr>
                <w:b/>
                <w:bCs/>
                <w:color w:val="000000" w:themeColor="text1"/>
                <w:kern w:val="0"/>
                <w:sz w:val="21"/>
                <w:szCs w:val="21"/>
                <w14:textFill>
                  <w14:solidFill>
                    <w14:schemeClr w14:val="tx1"/>
                  </w14:solidFill>
                </w14:textFill>
              </w:rPr>
              <w:t>dB(A)</w:t>
            </w:r>
            <w:r>
              <w:rPr>
                <w:rFonts w:hint="eastAsia"/>
                <w:b/>
                <w:bCs/>
                <w:color w:val="000000" w:themeColor="text1"/>
                <w:kern w:val="0"/>
                <w:sz w:val="21"/>
                <w:szCs w:val="21"/>
                <w14:textFill>
                  <w14:solidFill>
                    <w14:schemeClr w14:val="tx1"/>
                  </w14:solidFill>
                </w14:textFill>
              </w:rPr>
              <w:t>）</w:t>
            </w:r>
          </w:p>
          <w:p w14:paraId="67F989B3">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p>
        </w:tc>
        <w:tc>
          <w:tcPr>
            <w:tcW w:w="1817" w:type="dxa"/>
            <w:vAlign w:val="center"/>
          </w:tcPr>
          <w:p w14:paraId="6B2487D1">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声源名称</w:t>
            </w:r>
          </w:p>
        </w:tc>
        <w:tc>
          <w:tcPr>
            <w:tcW w:w="2131" w:type="dxa"/>
            <w:vAlign w:val="center"/>
          </w:tcPr>
          <w:p w14:paraId="737B5D6D">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噪声级dB(A)</w:t>
            </w:r>
          </w:p>
        </w:tc>
      </w:tr>
      <w:tr w14:paraId="7495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130" w:type="dxa"/>
            <w:vAlign w:val="center"/>
          </w:tcPr>
          <w:p w14:paraId="6F2D904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搅拌机</w:t>
            </w:r>
          </w:p>
        </w:tc>
        <w:tc>
          <w:tcPr>
            <w:tcW w:w="2444" w:type="dxa"/>
            <w:vAlign w:val="center"/>
          </w:tcPr>
          <w:p w14:paraId="42055FD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86</w:t>
            </w:r>
          </w:p>
        </w:tc>
        <w:tc>
          <w:tcPr>
            <w:tcW w:w="1817" w:type="dxa"/>
            <w:vAlign w:val="center"/>
          </w:tcPr>
          <w:p w14:paraId="6339B55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推土机</w:t>
            </w:r>
          </w:p>
        </w:tc>
        <w:tc>
          <w:tcPr>
            <w:tcW w:w="2131" w:type="dxa"/>
            <w:vAlign w:val="center"/>
          </w:tcPr>
          <w:p w14:paraId="37EF5B7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86</w:t>
            </w:r>
          </w:p>
        </w:tc>
      </w:tr>
      <w:tr w14:paraId="5DFD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130" w:type="dxa"/>
            <w:vAlign w:val="center"/>
          </w:tcPr>
          <w:p w14:paraId="349E5746">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挖掘机</w:t>
            </w:r>
          </w:p>
        </w:tc>
        <w:tc>
          <w:tcPr>
            <w:tcW w:w="2444" w:type="dxa"/>
            <w:vAlign w:val="center"/>
          </w:tcPr>
          <w:p w14:paraId="3986E13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86</w:t>
            </w:r>
          </w:p>
        </w:tc>
        <w:tc>
          <w:tcPr>
            <w:tcW w:w="1817" w:type="dxa"/>
            <w:vAlign w:val="center"/>
          </w:tcPr>
          <w:p w14:paraId="0679B03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起重机</w:t>
            </w:r>
          </w:p>
        </w:tc>
        <w:tc>
          <w:tcPr>
            <w:tcW w:w="2131" w:type="dxa"/>
            <w:vAlign w:val="center"/>
          </w:tcPr>
          <w:p w14:paraId="056A66F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86</w:t>
            </w:r>
          </w:p>
        </w:tc>
      </w:tr>
      <w:tr w14:paraId="5A96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130" w:type="dxa"/>
            <w:vAlign w:val="center"/>
          </w:tcPr>
          <w:p w14:paraId="5EDA0BE6">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打桩机</w:t>
            </w:r>
          </w:p>
        </w:tc>
        <w:tc>
          <w:tcPr>
            <w:tcW w:w="2444" w:type="dxa"/>
            <w:vAlign w:val="center"/>
          </w:tcPr>
          <w:p w14:paraId="6E075436">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100</w:t>
            </w:r>
          </w:p>
        </w:tc>
        <w:tc>
          <w:tcPr>
            <w:tcW w:w="1817" w:type="dxa"/>
            <w:vAlign w:val="center"/>
          </w:tcPr>
          <w:p w14:paraId="2A369DC5">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切割机</w:t>
            </w:r>
          </w:p>
        </w:tc>
        <w:tc>
          <w:tcPr>
            <w:tcW w:w="2131" w:type="dxa"/>
            <w:vAlign w:val="center"/>
          </w:tcPr>
          <w:p w14:paraId="0C4F55AD">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90</w:t>
            </w:r>
          </w:p>
        </w:tc>
      </w:tr>
    </w:tbl>
    <w:p w14:paraId="5D16E5DD">
      <w:pPr>
        <w:ind w:firstLine="480"/>
        <w:rPr>
          <w:color w:val="000000" w:themeColor="text1"/>
          <w14:textFill>
            <w14:solidFill>
              <w14:schemeClr w14:val="tx1"/>
            </w14:solidFill>
          </w14:textFill>
        </w:rPr>
      </w:pPr>
      <w:r>
        <w:rPr>
          <w:color w:val="000000" w:themeColor="text1"/>
          <w14:textFill>
            <w14:solidFill>
              <w14:schemeClr w14:val="tx1"/>
            </w14:solidFill>
          </w14:textFill>
        </w:rPr>
        <w:t>（2）施工期废气</w:t>
      </w:r>
    </w:p>
    <w:p w14:paraId="527D32F0">
      <w:pPr>
        <w:ind w:firstLine="480"/>
        <w:rPr>
          <w:color w:val="000000" w:themeColor="text1"/>
          <w14:textFill>
            <w14:solidFill>
              <w14:schemeClr w14:val="tx1"/>
            </w14:solidFill>
          </w14:textFill>
        </w:rPr>
      </w:pPr>
      <w:r>
        <w:rPr>
          <w:color w:val="000000" w:themeColor="text1"/>
          <w14:textFill>
            <w14:solidFill>
              <w14:schemeClr w14:val="tx1"/>
            </w14:solidFill>
          </w14:textFill>
        </w:rPr>
        <w:t>土建施工中基础开挖、土石方堆放、回填、清运及建筑材料运输、装卸、堆放过程，可能造成扬尘影响，污染物主要为TSP；</w:t>
      </w:r>
      <w:r>
        <w:rPr>
          <w:color w:val="000000" w:themeColor="text1"/>
          <w:kern w:val="0"/>
          <w14:textFill>
            <w14:solidFill>
              <w14:schemeClr w14:val="tx1"/>
            </w14:solidFill>
          </w14:textFill>
        </w:rPr>
        <w:t>由于扬尘源多且分散，源高一般在15m以下，属于无组织排放；</w:t>
      </w:r>
      <w:r>
        <w:rPr>
          <w:color w:val="000000" w:themeColor="text1"/>
          <w14:textFill>
            <w14:solidFill>
              <w14:schemeClr w14:val="tx1"/>
            </w14:solidFill>
          </w14:textFill>
        </w:rPr>
        <w:t>扬尘使该区块及周围附近地区大气中总悬浮颗粒（TSP）浓度增大，粉尘排放量大小直接与施工期现场条件、管理水平、机械化程度、施工季节及当地气候等诸多因素有关，因此较难进行定量分析。</w:t>
      </w:r>
    </w:p>
    <w:p w14:paraId="2818115B">
      <w:pPr>
        <w:ind w:firstLine="480"/>
        <w:rPr>
          <w:color w:val="000000" w:themeColor="text1"/>
          <w14:textFill>
            <w14:solidFill>
              <w14:schemeClr w14:val="tx1"/>
            </w14:solidFill>
          </w14:textFill>
        </w:rPr>
      </w:pPr>
      <w:r>
        <w:rPr>
          <w:color w:val="000000" w:themeColor="text1"/>
          <w14:textFill>
            <w14:solidFill>
              <w14:schemeClr w14:val="tx1"/>
            </w14:solidFill>
          </w14:textFill>
        </w:rPr>
        <w:t>另外，各种施工车辆排放的废气可能对环境造成影响。施工期配备挖掘机、起重机等设备大多以柴油作为燃料，各设备在运行过程中会产生燃油废气，排放的主要污染物为SO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、CO、烟尘等，因其产生量较小，本评价不作定量分析。</w:t>
      </w:r>
    </w:p>
    <w:p w14:paraId="3E5EA6AD">
      <w:pPr>
        <w:ind w:firstLine="480"/>
        <w:rPr>
          <w:color w:val="000000" w:themeColor="text1"/>
          <w14:textFill>
            <w14:solidFill>
              <w14:schemeClr w14:val="tx1"/>
            </w14:solidFill>
          </w14:textFill>
        </w:rPr>
      </w:pPr>
      <w:r>
        <w:rPr>
          <w:color w:val="000000" w:themeColor="text1"/>
          <w14:textFill>
            <w14:solidFill>
              <w14:schemeClr w14:val="tx1"/>
            </w14:solidFill>
          </w14:textFill>
        </w:rPr>
        <w:t>（3）施工期</w:t>
      </w:r>
      <w:r>
        <w:rPr>
          <w:rFonts w:hint="eastAsia"/>
          <w:color w:val="000000" w:themeColor="text1"/>
          <w:lang w:val="en-US" w:eastAsia="zh-CN"/>
          <w14:textFill>
            <w14:solidFill>
              <w14:schemeClr w14:val="tx1"/>
            </w14:solidFill>
          </w14:textFill>
        </w:rPr>
        <w:t>生活</w:t>
      </w:r>
      <w:r>
        <w:rPr>
          <w:color w:val="000000" w:themeColor="text1"/>
          <w14:textFill>
            <w14:solidFill>
              <w14:schemeClr w14:val="tx1"/>
            </w14:solidFill>
          </w14:textFill>
        </w:rPr>
        <w:t>污水</w:t>
      </w:r>
    </w:p>
    <w:p w14:paraId="502D13C9">
      <w:pPr>
        <w:ind w:firstLine="480"/>
        <w:rPr>
          <w:color w:val="000000" w:themeColor="text1"/>
          <w14:textFill>
            <w14:solidFill>
              <w14:schemeClr w14:val="tx1"/>
            </w14:solidFill>
          </w14:textFill>
        </w:rPr>
      </w:pPr>
      <w:r>
        <w:rPr>
          <w:color w:val="000000" w:themeColor="text1"/>
          <w14:textFill>
            <w14:solidFill>
              <w14:schemeClr w14:val="tx1"/>
            </w14:solidFill>
          </w14:textFill>
        </w:rPr>
        <w:t>施工期的废水主要包括施工人员的生活污水。</w:t>
      </w:r>
      <w:r>
        <w:rPr>
          <w:rFonts w:hint="eastAsia"/>
          <w:color w:val="000000" w:themeColor="text1"/>
          <w:lang w:val="en-US" w:eastAsia="zh-CN"/>
          <w14:textFill>
            <w14:solidFill>
              <w14:schemeClr w14:val="tx1"/>
            </w14:solidFill>
          </w14:textFill>
        </w:rPr>
        <w:t>根据设计单位提供，</w:t>
      </w:r>
      <w:r>
        <w:rPr>
          <w:color w:val="000000" w:themeColor="text1"/>
          <w14:textFill>
            <w14:solidFill>
              <w14:schemeClr w14:val="tx1"/>
            </w14:solidFill>
          </w14:textFill>
        </w:rPr>
        <w:t>线路基础工程现场混凝土采用</w:t>
      </w:r>
      <w:r>
        <w:rPr>
          <w:rFonts w:hint="eastAsia"/>
          <w:color w:val="000000" w:themeColor="text1"/>
          <w:lang w:val="en-US" w:eastAsia="zh-CN"/>
          <w14:textFill>
            <w14:solidFill>
              <w14:schemeClr w14:val="tx1"/>
            </w14:solidFill>
          </w14:textFill>
        </w:rPr>
        <w:t>商品混凝土</w:t>
      </w:r>
      <w:r>
        <w:rPr>
          <w:color w:val="000000" w:themeColor="text1"/>
          <w14:textFill>
            <w14:solidFill>
              <w14:schemeClr w14:val="tx1"/>
            </w14:solidFill>
          </w14:textFill>
        </w:rPr>
        <w:t>，组塔工程及架线工程施工不需要供水</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同时也不产生施工废水</w:t>
      </w:r>
      <w:r>
        <w:rPr>
          <w:color w:val="000000" w:themeColor="text1"/>
          <w14:textFill>
            <w14:solidFill>
              <w14:schemeClr w14:val="tx1"/>
            </w14:solidFill>
          </w14:textFill>
        </w:rPr>
        <w:t>。</w:t>
      </w:r>
    </w:p>
    <w:p w14:paraId="4582C460">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本项目平均施工人员约30人，施工期1</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个月，施工人员生活用水量以0.1m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/d•人计，则生活用水量为</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350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。排污系数按80%计，则生活污水总排放量为</w:t>
      </w:r>
      <w:r>
        <w:rPr>
          <w:rFonts w:hint="eastAsia"/>
          <w:color w:val="000000" w:themeColor="text1"/>
          <w:lang w:val="en-US" w:eastAsia="zh-CN"/>
          <w14:textFill>
            <w14:solidFill>
              <w14:schemeClr w14:val="tx1"/>
            </w14:solidFill>
          </w14:textFill>
        </w:rPr>
        <w:t>1080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，经类比调查，主要污染物浓度为COD 350mg/L、BOD</w:t>
      </w:r>
      <w:r>
        <w:rPr>
          <w:color w:val="000000" w:themeColor="text1"/>
          <w:vertAlign w:val="subscript"/>
          <w14:textFill>
            <w14:solidFill>
              <w14:schemeClr w14:val="tx1"/>
            </w14:solidFill>
          </w14:textFill>
        </w:rPr>
        <w:t xml:space="preserve">5 </w:t>
      </w:r>
      <w:r>
        <w:rPr>
          <w:color w:val="000000" w:themeColor="text1"/>
          <w14:textFill>
            <w14:solidFill>
              <w14:schemeClr w14:val="tx1"/>
            </w14:solidFill>
          </w14:textFill>
        </w:rPr>
        <w:t>200mg/L、NH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-N 30mg/L，施工期生活污水主要污染物产生量分别为COD 0.</w:t>
      </w:r>
      <w:r>
        <w:rPr>
          <w:rFonts w:hint="eastAsia"/>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8</w:t>
      </w:r>
      <w:r>
        <w:rPr>
          <w:color w:val="000000" w:themeColor="text1"/>
          <w14:textFill>
            <w14:solidFill>
              <w14:schemeClr w14:val="tx1"/>
            </w14:solidFill>
          </w14:textFill>
        </w:rPr>
        <w:t>t、BOD</w:t>
      </w:r>
      <w:r>
        <w:rPr>
          <w:color w:val="000000" w:themeColor="text1"/>
          <w:vertAlign w:val="subscript"/>
          <w14:textFill>
            <w14:solidFill>
              <w14:schemeClr w14:val="tx1"/>
            </w14:solidFill>
          </w14:textFill>
        </w:rPr>
        <w:t xml:space="preserve">5 </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22</w:t>
      </w:r>
      <w:r>
        <w:rPr>
          <w:color w:val="000000" w:themeColor="text1"/>
          <w14:textFill>
            <w14:solidFill>
              <w14:schemeClr w14:val="tx1"/>
            </w14:solidFill>
          </w14:textFill>
        </w:rPr>
        <w:t>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-N 0.0</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t，施工场地设置移动式</w:t>
      </w:r>
      <w:r>
        <w:rPr>
          <w:rFonts w:hint="eastAsia"/>
          <w:color w:val="000000" w:themeColor="text1"/>
          <w14:textFill>
            <w14:solidFill>
              <w14:schemeClr w14:val="tx1"/>
            </w14:solidFill>
          </w14:textFill>
        </w:rPr>
        <w:t>环保</w:t>
      </w:r>
      <w:r>
        <w:rPr>
          <w:color w:val="000000" w:themeColor="text1"/>
          <w14:textFill>
            <w14:solidFill>
              <w14:schemeClr w14:val="tx1"/>
            </w14:solidFill>
          </w14:textFill>
        </w:rPr>
        <w:t>厕所</w:t>
      </w:r>
      <w:r>
        <w:rPr>
          <w:rFonts w:hint="eastAsia"/>
          <w:color w:val="000000" w:themeColor="text1"/>
          <w14:textFill>
            <w14:solidFill>
              <w14:schemeClr w14:val="tx1"/>
            </w14:solidFill>
          </w14:textFill>
        </w:rPr>
        <w:t>和临时防渗收集池用于解决施工人员生活排污</w:t>
      </w:r>
      <w:r>
        <w:rPr>
          <w:color w:val="000000" w:themeColor="text1"/>
          <w14:textFill>
            <w14:solidFill>
              <w14:schemeClr w14:val="tx1"/>
            </w14:solidFill>
          </w14:textFill>
        </w:rPr>
        <w:t>，定期由施工单位采用吸污车拉运</w:t>
      </w:r>
      <w:r>
        <w:rPr>
          <w:rFonts w:hint="eastAsia"/>
          <w:color w:val="000000" w:themeColor="text1"/>
          <w14:textFill>
            <w14:solidFill>
              <w14:schemeClr w14:val="tx1"/>
            </w14:solidFill>
          </w14:textFill>
        </w:rPr>
        <w:t>至当地污水处理厂处理</w:t>
      </w:r>
      <w:r>
        <w:rPr>
          <w:color w:val="000000" w:themeColor="text1"/>
          <w14:textFill>
            <w14:solidFill>
              <w14:schemeClr w14:val="tx1"/>
            </w14:solidFill>
          </w14:textFill>
        </w:rPr>
        <w:t>，不外排。</w:t>
      </w:r>
    </w:p>
    <w:p w14:paraId="7B64A2F4">
      <w:pPr>
        <w:ind w:firstLine="480"/>
        <w:rPr>
          <w:color w:val="000000" w:themeColor="text1"/>
          <w14:textFill>
            <w14:solidFill>
              <w14:schemeClr w14:val="tx1"/>
            </w14:solidFill>
          </w14:textFill>
        </w:rPr>
      </w:pPr>
      <w:r>
        <w:rPr>
          <w:color w:val="000000" w:themeColor="text1"/>
          <w14:textFill>
            <w14:solidFill>
              <w14:schemeClr w14:val="tx1"/>
            </w14:solidFill>
          </w14:textFill>
        </w:rPr>
        <w:t>（4）施工期固体废物</w:t>
      </w:r>
    </w:p>
    <w:p w14:paraId="5ECC5BC8">
      <w:pPr>
        <w:ind w:firstLine="480"/>
        <w:rPr>
          <w:color w:val="000000" w:themeColor="text1"/>
          <w14:textFill>
            <w14:solidFill>
              <w14:schemeClr w14:val="tx1"/>
            </w14:solidFill>
          </w14:textFill>
        </w:rPr>
      </w:pPr>
      <w:r>
        <w:rPr>
          <w:color w:val="000000" w:themeColor="text1"/>
          <w14:textFill>
            <w14:solidFill>
              <w14:schemeClr w14:val="tx1"/>
            </w14:solidFill>
          </w14:textFill>
        </w:rPr>
        <w:t>施工</w:t>
      </w:r>
      <w:r>
        <w:rPr>
          <w:rFonts w:hint="eastAsia"/>
          <w:color w:val="000000" w:themeColor="text1"/>
          <w14:textFill>
            <w14:solidFill>
              <w14:schemeClr w14:val="tx1"/>
            </w14:solidFill>
          </w14:textFill>
        </w:rPr>
        <w:t>期</w:t>
      </w:r>
      <w:r>
        <w:rPr>
          <w:color w:val="000000" w:themeColor="text1"/>
          <w14:textFill>
            <w14:solidFill>
              <w14:schemeClr w14:val="tx1"/>
            </w14:solidFill>
          </w14:textFill>
        </w:rPr>
        <w:t>固体废物对环境的影响主要包括施工弃土、施工建筑垃圾及施工人员生活垃圾。</w:t>
      </w:r>
    </w:p>
    <w:p w14:paraId="60E9EC49">
      <w:pPr>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GB3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生活垃圾</w:t>
      </w:r>
    </w:p>
    <w:p w14:paraId="091A8430">
      <w:pPr>
        <w:ind w:firstLine="480"/>
        <w:rPr>
          <w:color w:val="000000" w:themeColor="text1"/>
          <w:highlight w:val="green"/>
          <w14:textFill>
            <w14:solidFill>
              <w14:schemeClr w14:val="tx1"/>
            </w14:solidFill>
          </w14:textFill>
        </w:rPr>
      </w:pPr>
      <w:r>
        <w:rPr>
          <w:color w:val="000000" w:themeColor="text1"/>
          <w14:textFill>
            <w14:solidFill>
              <w14:schemeClr w14:val="tx1"/>
            </w14:solidFill>
          </w14:textFill>
        </w:rPr>
        <w:t>本工程施工人员约为30人，根据类比调查，工地生活垃圾按0.1kg/人•d计，本工程施工人员产生的生活垃圾约为3kg/d，生活垃圾由施工人员每天带回</w:t>
      </w:r>
      <w:r>
        <w:rPr>
          <w:rFonts w:hint="eastAsia"/>
          <w:color w:val="000000" w:themeColor="text1"/>
          <w:lang w:val="en-US" w:eastAsia="zh-CN"/>
          <w14:textFill>
            <w14:solidFill>
              <w14:schemeClr w14:val="tx1"/>
            </w14:solidFill>
          </w14:textFill>
        </w:rPr>
        <w:t>施工营地</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定期统一清运至当地环卫系统接收进行</w:t>
      </w:r>
      <w:r>
        <w:rPr>
          <w:color w:val="000000" w:themeColor="text1"/>
          <w14:textFill>
            <w14:solidFill>
              <w14:schemeClr w14:val="tx1"/>
            </w14:solidFill>
          </w14:textFill>
        </w:rPr>
        <w:t>统一处理。</w:t>
      </w:r>
    </w:p>
    <w:p w14:paraId="594DECD8">
      <w:pPr>
        <w:ind w:firstLine="48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2 \* GB3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②</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施工期弃土、建筑垃圾</w:t>
      </w:r>
    </w:p>
    <w:p w14:paraId="1D83F848">
      <w:pPr>
        <w:ind w:firstLine="480"/>
        <w:rPr>
          <w:bCs/>
          <w:color w:val="000000" w:themeColor="text1"/>
          <w:kern w:val="0"/>
          <w14:textFill>
            <w14:solidFill>
              <w14:schemeClr w14:val="tx1"/>
            </w14:solidFill>
          </w14:textFill>
        </w:rPr>
      </w:pPr>
      <w:r>
        <w:rPr>
          <w:rFonts w:hint="eastAsia"/>
          <w:color w:val="000000" w:themeColor="text1"/>
          <w14:textFill>
            <w14:solidFill>
              <w14:schemeClr w14:val="tx1"/>
            </w14:solidFill>
          </w14:textFill>
        </w:rPr>
        <w:t>根据水土保持方案，</w:t>
      </w:r>
      <w:r>
        <w:rPr>
          <w:rFonts w:hint="eastAsia"/>
          <w:bCs/>
          <w:color w:val="000000" w:themeColor="text1"/>
          <w:kern w:val="0"/>
          <w14:textFill>
            <w14:solidFill>
              <w14:schemeClr w14:val="tx1"/>
            </w14:solidFill>
          </w14:textFill>
        </w:rPr>
        <w:t>本项目塔基</w:t>
      </w:r>
      <w:r>
        <w:rPr>
          <w:bCs/>
          <w:color w:val="000000" w:themeColor="text1"/>
          <w:kern w:val="0"/>
          <w14:textFill>
            <w14:solidFill>
              <w14:schemeClr w14:val="tx1"/>
            </w14:solidFill>
          </w14:textFill>
        </w:rPr>
        <w:t>基础挖方</w:t>
      </w:r>
      <w:r>
        <w:rPr>
          <w:rFonts w:hint="eastAsia"/>
          <w:bCs/>
          <w:color w:val="000000" w:themeColor="text1"/>
          <w:kern w:val="0"/>
          <w14:textFill>
            <w14:solidFill>
              <w14:schemeClr w14:val="tx1"/>
            </w14:solidFill>
          </w14:textFill>
        </w:rPr>
        <w:t>1.42万m</w:t>
      </w:r>
      <w:r>
        <w:rPr>
          <w:rFonts w:hint="eastAsia"/>
          <w:bCs/>
          <w:color w:val="000000" w:themeColor="text1"/>
          <w:kern w:val="0"/>
          <w:vertAlign w:val="superscript"/>
          <w14:textFill>
            <w14:solidFill>
              <w14:schemeClr w14:val="tx1"/>
            </w14:solidFill>
          </w14:textFill>
        </w:rPr>
        <w:t>3</w:t>
      </w:r>
      <w:r>
        <w:rPr>
          <w:bCs/>
          <w:color w:val="000000" w:themeColor="text1"/>
          <w:kern w:val="0"/>
          <w14:textFill>
            <w14:solidFill>
              <w14:schemeClr w14:val="tx1"/>
            </w14:solidFill>
          </w14:textFill>
        </w:rPr>
        <w:t>，</w:t>
      </w:r>
      <w:r>
        <w:rPr>
          <w:rFonts w:hint="eastAsia"/>
          <w:bCs/>
          <w:color w:val="000000" w:themeColor="text1"/>
          <w:kern w:val="0"/>
          <w14:textFill>
            <w14:solidFill>
              <w14:schemeClr w14:val="tx1"/>
            </w14:solidFill>
          </w14:textFill>
        </w:rPr>
        <w:t>基坑回填1.26万m</w:t>
      </w:r>
      <w:r>
        <w:rPr>
          <w:rFonts w:hint="eastAsia"/>
          <w:bCs/>
          <w:color w:val="000000" w:themeColor="text1"/>
          <w:kern w:val="0"/>
          <w:vertAlign w:val="superscript"/>
          <w14:textFill>
            <w14:solidFill>
              <w14:schemeClr w14:val="tx1"/>
            </w14:solidFill>
          </w14:textFill>
        </w:rPr>
        <w:t>3</w:t>
      </w:r>
      <w:r>
        <w:rPr>
          <w:bCs/>
          <w:color w:val="000000" w:themeColor="text1"/>
          <w:kern w:val="0"/>
          <w14:textFill>
            <w14:solidFill>
              <w14:schemeClr w14:val="tx1"/>
            </w14:solidFill>
          </w14:textFill>
        </w:rPr>
        <w:t>，</w:t>
      </w:r>
      <w:r>
        <w:rPr>
          <w:rFonts w:hint="eastAsia"/>
          <w:bCs/>
          <w:color w:val="000000" w:themeColor="text1"/>
          <w:kern w:val="0"/>
          <w14:textFill>
            <w14:solidFill>
              <w14:schemeClr w14:val="tx1"/>
            </w14:solidFill>
          </w14:textFill>
        </w:rPr>
        <w:t>平整回填0.16万m</w:t>
      </w:r>
      <w:r>
        <w:rPr>
          <w:rFonts w:hint="eastAsia"/>
          <w:bCs/>
          <w:color w:val="000000" w:themeColor="text1"/>
          <w:kern w:val="0"/>
          <w:vertAlign w:val="superscript"/>
          <w14:textFill>
            <w14:solidFill>
              <w14:schemeClr w14:val="tx1"/>
            </w14:solidFill>
          </w14:textFill>
        </w:rPr>
        <w:t>3</w:t>
      </w:r>
      <w:r>
        <w:rPr>
          <w:rFonts w:hint="eastAsia"/>
          <w:color w:val="000000" w:themeColor="text1"/>
          <w14:textFill>
            <w14:solidFill>
              <w14:schemeClr w14:val="tx1"/>
            </w14:solidFill>
          </w14:textFill>
        </w:rPr>
        <w:t>，</w:t>
      </w:r>
      <w:r>
        <w:rPr>
          <w:bCs/>
          <w:color w:val="000000" w:themeColor="text1"/>
          <w:kern w:val="0"/>
          <w14:textFill>
            <w14:solidFill>
              <w14:schemeClr w14:val="tx1"/>
            </w14:solidFill>
          </w14:textFill>
        </w:rPr>
        <w:t>弃方</w:t>
      </w:r>
      <w:r>
        <w:rPr>
          <w:rFonts w:hint="eastAsia"/>
          <w:bCs/>
          <w:color w:val="000000" w:themeColor="text1"/>
          <w:kern w:val="0"/>
          <w14:textFill>
            <w14:solidFill>
              <w14:schemeClr w14:val="tx1"/>
            </w14:solidFill>
          </w14:textFill>
        </w:rPr>
        <w:t>0m</w:t>
      </w:r>
      <w:r>
        <w:rPr>
          <w:rFonts w:hint="eastAsia"/>
          <w:bCs/>
          <w:color w:val="000000" w:themeColor="text1"/>
          <w:kern w:val="0"/>
          <w:vertAlign w:val="superscript"/>
          <w14:textFill>
            <w14:solidFill>
              <w14:schemeClr w14:val="tx1"/>
            </w14:solidFill>
          </w14:textFill>
        </w:rPr>
        <w:t>3</w:t>
      </w:r>
      <w:r>
        <w:rPr>
          <w:bCs/>
          <w:color w:val="000000" w:themeColor="text1"/>
          <w:kern w:val="0"/>
          <w14:textFill>
            <w14:solidFill>
              <w14:schemeClr w14:val="tx1"/>
            </w14:solidFill>
          </w14:textFill>
        </w:rPr>
        <w:t>。</w:t>
      </w:r>
    </w:p>
    <w:p w14:paraId="6AD8A584">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建筑垃圾</w:t>
      </w:r>
      <w:r>
        <w:rPr>
          <w:rFonts w:hint="eastAsia"/>
          <w:color w:val="000000" w:themeColor="text1"/>
          <w:lang w:val="en-US" w:eastAsia="zh-CN"/>
          <w14:textFill>
            <w14:solidFill>
              <w14:schemeClr w14:val="tx1"/>
            </w14:solidFill>
          </w14:textFill>
        </w:rPr>
        <w:t>优先回收利用，未能利用的</w:t>
      </w:r>
      <w:r>
        <w:rPr>
          <w:rFonts w:hint="eastAsia"/>
          <w:color w:val="000000" w:themeColor="text1"/>
          <w14:textFill>
            <w14:solidFill>
              <w14:schemeClr w14:val="tx1"/>
            </w14:solidFill>
          </w14:textFill>
        </w:rPr>
        <w:t>由施工单位及时清运至指定场所处理。</w:t>
      </w:r>
    </w:p>
    <w:p w14:paraId="14529E1C">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545" w:name="_Toc14295"/>
      <w:bookmarkStart w:id="546" w:name="_Toc14017"/>
      <w:bookmarkStart w:id="547" w:name="_Toc1535"/>
      <w:bookmarkStart w:id="548" w:name="_Toc9649"/>
      <w:bookmarkStart w:id="549" w:name="_Toc15097"/>
      <w:bookmarkStart w:id="550" w:name="_Toc15508"/>
      <w:bookmarkStart w:id="551" w:name="_Toc29710"/>
      <w:bookmarkStart w:id="552" w:name="_Toc6052"/>
      <w:bookmarkStart w:id="553" w:name="_Toc12266"/>
      <w:bookmarkStart w:id="554" w:name="_Toc2534"/>
      <w:bookmarkStart w:id="555" w:name="_Toc11373"/>
      <w:r>
        <w:rPr>
          <w:color w:val="000000" w:themeColor="text1"/>
          <w:sz w:val="28"/>
          <w:szCs w:val="28"/>
          <w14:textFill>
            <w14:solidFill>
              <w14:schemeClr w14:val="tx1"/>
            </w14:solidFill>
          </w14:textFill>
        </w:rPr>
        <w:t>3.3.2运行期</w:t>
      </w:r>
      <w:bookmarkEnd w:id="545"/>
      <w:bookmarkEnd w:id="546"/>
      <w:bookmarkEnd w:id="547"/>
      <w:bookmarkEnd w:id="548"/>
      <w:bookmarkEnd w:id="549"/>
      <w:bookmarkEnd w:id="550"/>
      <w:bookmarkEnd w:id="551"/>
      <w:bookmarkEnd w:id="552"/>
      <w:bookmarkEnd w:id="553"/>
      <w:bookmarkEnd w:id="554"/>
      <w:bookmarkEnd w:id="555"/>
    </w:p>
    <w:p w14:paraId="4088540A">
      <w:pPr>
        <w:ind w:firstLine="480"/>
        <w:rPr>
          <w:color w:val="000000" w:themeColor="text1"/>
          <w14:textFill>
            <w14:solidFill>
              <w14:schemeClr w14:val="tx1"/>
            </w14:solidFill>
          </w14:textFill>
        </w:rPr>
      </w:pPr>
      <w:r>
        <w:rPr>
          <w:color w:val="000000" w:themeColor="text1"/>
          <w14:textFill>
            <w14:solidFill>
              <w14:schemeClr w14:val="tx1"/>
            </w14:solidFill>
          </w14:textFill>
        </w:rPr>
        <w:t>运行期的主要环境影响因素有：工频电场、工频磁场、噪声等。</w:t>
      </w:r>
    </w:p>
    <w:p w14:paraId="490CE27E">
      <w:pPr>
        <w:ind w:firstLine="480"/>
        <w:rPr>
          <w:color w:val="000000" w:themeColor="text1"/>
          <w14:textFill>
            <w14:solidFill>
              <w14:schemeClr w14:val="tx1"/>
            </w14:solidFill>
          </w14:textFill>
        </w:rPr>
      </w:pPr>
      <w:r>
        <w:rPr>
          <w:color w:val="000000" w:themeColor="text1"/>
          <w14:textFill>
            <w14:solidFill>
              <w14:schemeClr w14:val="tx1"/>
            </w14:solidFill>
          </w14:textFill>
        </w:rPr>
        <w:t>（1）工频电场、工频磁场</w:t>
      </w:r>
    </w:p>
    <w:p w14:paraId="0E59D3F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线路运行时产生工频电场、工频磁场。</w:t>
      </w:r>
    </w:p>
    <w:p w14:paraId="27257C8E">
      <w:pPr>
        <w:ind w:firstLine="480"/>
        <w:rPr>
          <w:color w:val="000000" w:themeColor="text1"/>
          <w14:textFill>
            <w14:solidFill>
              <w14:schemeClr w14:val="tx1"/>
            </w14:solidFill>
          </w14:textFill>
        </w:rPr>
      </w:pPr>
      <w:r>
        <w:rPr>
          <w:color w:val="000000" w:themeColor="text1"/>
          <w14:textFill>
            <w14:solidFill>
              <w14:schemeClr w14:val="tx1"/>
            </w14:solidFill>
          </w14:textFill>
        </w:rPr>
        <w:t>（2）噪声</w:t>
      </w:r>
    </w:p>
    <w:p w14:paraId="05DC8F09">
      <w:pPr>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输电线路运行噪声主要来源于恶劣天气条件下，导线、金具产生的电晕放电噪声。</w:t>
      </w:r>
    </w:p>
    <w:p w14:paraId="1EE890E0">
      <w:pPr>
        <w:ind w:firstLine="48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固体废物</w:t>
      </w:r>
    </w:p>
    <w:p w14:paraId="6428148C">
      <w:pPr>
        <w:ind w:firstLine="480"/>
        <w:rPr>
          <w:rFonts w:hint="default" w:eastAsia="宋体"/>
          <w:color w:val="000000" w:themeColor="text1"/>
          <w:lang w:val="en-US" w:eastAsia="zh-CN"/>
          <w14:textFill>
            <w14:solidFill>
              <w14:schemeClr w14:val="tx1"/>
            </w14:solidFill>
          </w14:textFill>
        </w:rPr>
      </w:pPr>
      <w:r>
        <w:rPr>
          <w:rFonts w:hint="default" w:eastAsia="宋体"/>
          <w:color w:val="000000" w:themeColor="text1"/>
          <w:lang w:val="en-US" w:eastAsia="zh-CN"/>
          <w14:textFill>
            <w14:solidFill>
              <w14:schemeClr w14:val="tx1"/>
            </w14:solidFill>
          </w14:textFill>
        </w:rPr>
        <w:t>输电线路正常运营期无固体废物产生，检修期间产生的废旧材料进行回收再利用</w:t>
      </w:r>
      <w:r>
        <w:rPr>
          <w:rFonts w:hint="eastAsia"/>
          <w:color w:val="000000" w:themeColor="text1"/>
          <w:lang w:val="en-US" w:eastAsia="zh-CN"/>
          <w14:textFill>
            <w14:solidFill>
              <w14:schemeClr w14:val="tx1"/>
            </w14:solidFill>
          </w14:textFill>
        </w:rPr>
        <w:t>。</w:t>
      </w:r>
    </w:p>
    <w:p w14:paraId="70A92B34">
      <w:pPr>
        <w:pStyle w:val="3"/>
        <w:spacing w:before="156" w:beforeLines="50" w:after="156" w:afterLines="50"/>
        <w:rPr>
          <w:color w:val="000000" w:themeColor="text1"/>
          <w14:textFill>
            <w14:solidFill>
              <w14:schemeClr w14:val="tx1"/>
            </w14:solidFill>
          </w14:textFill>
        </w:rPr>
      </w:pPr>
      <w:bookmarkStart w:id="556" w:name="_Toc23443"/>
      <w:bookmarkStart w:id="557" w:name="_Toc12829"/>
      <w:bookmarkStart w:id="558" w:name="_Toc17298"/>
      <w:bookmarkStart w:id="559" w:name="_Toc3549"/>
      <w:bookmarkStart w:id="560" w:name="_Toc15356"/>
      <w:bookmarkStart w:id="561" w:name="_Toc3328"/>
      <w:bookmarkStart w:id="562" w:name="_Toc31559"/>
      <w:bookmarkStart w:id="563" w:name="_Toc14377"/>
      <w:bookmarkStart w:id="564" w:name="_Toc11004"/>
      <w:bookmarkStart w:id="565" w:name="_Toc3728"/>
      <w:bookmarkStart w:id="566" w:name="_Toc18177"/>
      <w:r>
        <w:rPr>
          <w:color w:val="000000" w:themeColor="text1"/>
          <w14:textFill>
            <w14:solidFill>
              <w14:schemeClr w14:val="tx1"/>
            </w14:solidFill>
          </w14:textFill>
        </w:rPr>
        <w:t>3.4生态影响途径分析</w:t>
      </w:r>
      <w:bookmarkEnd w:id="556"/>
      <w:bookmarkEnd w:id="557"/>
      <w:bookmarkEnd w:id="558"/>
      <w:bookmarkEnd w:id="559"/>
      <w:bookmarkEnd w:id="560"/>
      <w:bookmarkEnd w:id="561"/>
      <w:bookmarkEnd w:id="562"/>
      <w:bookmarkEnd w:id="563"/>
      <w:bookmarkEnd w:id="564"/>
      <w:bookmarkEnd w:id="565"/>
      <w:bookmarkEnd w:id="566"/>
    </w:p>
    <w:p w14:paraId="24EB5CC2">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bookmarkStart w:id="567" w:name="_Toc11516"/>
      <w:bookmarkStart w:id="568" w:name="_Toc19506"/>
      <w:bookmarkStart w:id="569" w:name="_Toc26862"/>
      <w:bookmarkStart w:id="570" w:name="_Toc12593"/>
      <w:bookmarkStart w:id="571" w:name="_Toc2700"/>
      <w:bookmarkStart w:id="572" w:name="_Toc24936"/>
      <w:bookmarkStart w:id="573" w:name="_Toc7432"/>
      <w:bookmarkStart w:id="574" w:name="_Toc6518"/>
      <w:bookmarkStart w:id="575" w:name="_Toc27220"/>
      <w:bookmarkStart w:id="576" w:name="_Toc16277"/>
      <w:bookmarkStart w:id="577" w:name="_Toc22446"/>
      <w:r>
        <w:rPr>
          <w:color w:val="000000" w:themeColor="text1"/>
          <w:sz w:val="28"/>
          <w:szCs w:val="28"/>
          <w14:textFill>
            <w14:solidFill>
              <w14:schemeClr w14:val="tx1"/>
            </w14:solidFill>
          </w14:textFill>
        </w:rPr>
        <w:t>3.4.1施工期生态影响途径分析</w:t>
      </w:r>
      <w:bookmarkEnd w:id="567"/>
      <w:bookmarkEnd w:id="568"/>
      <w:bookmarkEnd w:id="569"/>
      <w:bookmarkEnd w:id="570"/>
      <w:bookmarkEnd w:id="571"/>
      <w:bookmarkEnd w:id="572"/>
      <w:bookmarkEnd w:id="573"/>
      <w:bookmarkEnd w:id="574"/>
      <w:bookmarkEnd w:id="575"/>
      <w:bookmarkEnd w:id="576"/>
      <w:bookmarkEnd w:id="577"/>
    </w:p>
    <w:p w14:paraId="7452437C">
      <w:pPr>
        <w:ind w:firstLine="480"/>
        <w:rPr>
          <w:color w:val="000000" w:themeColor="text1"/>
          <w:kern w:val="0"/>
          <w14:textFill>
            <w14:solidFill>
              <w14:schemeClr w14:val="tx1"/>
            </w14:solidFill>
          </w14:textFill>
        </w:rPr>
      </w:pPr>
      <w:bookmarkStart w:id="578" w:name="_bookmark44"/>
      <w:bookmarkEnd w:id="578"/>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1</w:t>
      </w:r>
      <w:r>
        <w:rPr>
          <w:rFonts w:hint="eastAsia"/>
          <w:color w:val="000000" w:themeColor="text1"/>
          <w:kern w:val="0"/>
          <w14:textFill>
            <w14:solidFill>
              <w14:schemeClr w14:val="tx1"/>
            </w14:solidFill>
          </w14:textFill>
        </w:rPr>
        <w:t>）输电线路塔基进行挖方、填方、浇筑杆塔基础等活动，对塔基附近的原生地貌和植被造成一定程度的破坏，可能形成裸露疏松的表土，塔基周边的土壤可能随之流失，这样塔基基础就暴露在外面，对铁塔的稳定性也带来不利影响，危害工程安全运行。</w:t>
      </w:r>
    </w:p>
    <w:p w14:paraId="12F3D10E">
      <w:pPr>
        <w:ind w:firstLine="480"/>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2）杆塔运至现场进行组立，需要占用一定范围的临时施工用地；为了施工和运行检修方便会新修部分临时道路，以及工程土建施工产生弃渣的临时堆放也会占用一定的场地；同时，进行张力牵引放线并紧线，需要建设牵张场地。这些临时占地将改变原有的土地利用方式，使部分植被遭到短期破坏。</w:t>
      </w:r>
    </w:p>
    <w:p w14:paraId="2EA7B3DE">
      <w:pPr>
        <w:ind w:firstLine="480"/>
        <w:rPr>
          <w:color w:val="000000" w:themeColor="text1"/>
          <w14:textFill>
            <w14:solidFill>
              <w14:schemeClr w14:val="tx1"/>
            </w14:solidFill>
          </w14:textFill>
        </w:rPr>
      </w:pPr>
      <w:bookmarkStart w:id="579" w:name="_Toc12457"/>
      <w:bookmarkStart w:id="580" w:name="_Toc27907"/>
      <w:bookmarkStart w:id="581" w:name="_Toc10184"/>
      <w:bookmarkStart w:id="582" w:name="_Toc23945"/>
      <w:bookmarkStart w:id="583" w:name="_Toc19148"/>
      <w:bookmarkStart w:id="584" w:name="_Toc7097"/>
      <w:bookmarkStart w:id="585" w:name="_Toc4486"/>
      <w:bookmarkStart w:id="586" w:name="_Toc3652"/>
      <w:bookmarkStart w:id="587" w:name="_Toc5114"/>
      <w:bookmarkStart w:id="588" w:name="_Toc7654"/>
      <w:bookmarkStart w:id="589" w:name="_Toc6962"/>
      <w:r>
        <w:rPr>
          <w:rFonts w:hint="eastAsia"/>
          <w:color w:val="000000" w:themeColor="text1"/>
          <w14:textFill>
            <w14:solidFill>
              <w14:schemeClr w14:val="tx1"/>
            </w14:solidFill>
          </w14:textFill>
        </w:rPr>
        <w:t>（3）施工期间，施工人员出入、运输车辆的来往、施工机械的运行会对施工场地周边野生动物觅食、迁徙、繁育等产生干扰，有可能限制其活动区域、觅食范围与栖息空间等，可能会导致野生动物的临时迁徙，对野生动物产生一定影响。夜间运输车辆的灯光会对一些鸟类和夜间活动的兽类产生干扰，影响其正常的活动。</w:t>
      </w:r>
    </w:p>
    <w:p w14:paraId="72AC24C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通过以上分析可以看出，工程施工过程中有可能导致土地生产力的下降和局部的水土流失，可能会对工程所在地的区域生态环境带来不同程度的影响。</w:t>
      </w:r>
    </w:p>
    <w:p w14:paraId="510D1F3F">
      <w:pPr>
        <w:pStyle w:val="4"/>
        <w:tabs>
          <w:tab w:val="left" w:pos="3360"/>
        </w:tabs>
        <w:spacing w:before="156" w:beforeLines="50" w:after="156" w:afterLines="50"/>
        <w:ind w:firstLine="0" w:firstLineChars="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3.4.2运行期生态影响途径分析</w:t>
      </w:r>
      <w:bookmarkEnd w:id="579"/>
      <w:bookmarkEnd w:id="580"/>
      <w:bookmarkEnd w:id="581"/>
      <w:bookmarkEnd w:id="582"/>
      <w:bookmarkEnd w:id="583"/>
      <w:bookmarkEnd w:id="584"/>
      <w:bookmarkEnd w:id="585"/>
      <w:bookmarkEnd w:id="586"/>
      <w:bookmarkEnd w:id="587"/>
      <w:bookmarkEnd w:id="588"/>
      <w:bookmarkEnd w:id="589"/>
    </w:p>
    <w:p w14:paraId="7F748C1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工程建成运行后，施工活动已基本结束，塔基、临时占用的土地通过一系列生态保护措施恢复其原有的功能，此时建设施工对周围生态环境造成的影响基本得到消除。可能造成生态影响主要包括工程永久占地对植被的影响，立塔和输电导线对兽类、鸟类活动的影响等。运行期对生态的影响途径主要是线路巡检维护过程中，车辆对地表植被的碾压。</w:t>
      </w:r>
    </w:p>
    <w:p w14:paraId="352EAD17">
      <w:pPr>
        <w:pStyle w:val="3"/>
        <w:spacing w:before="156" w:beforeLines="50" w:after="156" w:afterLines="50"/>
        <w:rPr>
          <w:color w:val="000000" w:themeColor="text1"/>
          <w14:textFill>
            <w14:solidFill>
              <w14:schemeClr w14:val="tx1"/>
            </w14:solidFill>
          </w14:textFill>
        </w:rPr>
      </w:pPr>
      <w:bookmarkStart w:id="590" w:name="_Toc32082"/>
      <w:bookmarkStart w:id="591" w:name="_Toc3959"/>
      <w:bookmarkStart w:id="592" w:name="_Toc11050"/>
      <w:bookmarkStart w:id="593" w:name="_Toc3115"/>
      <w:bookmarkStart w:id="594" w:name="_Toc22213"/>
      <w:bookmarkStart w:id="595" w:name="_Toc31979"/>
      <w:bookmarkStart w:id="596" w:name="_Toc17746"/>
      <w:bookmarkStart w:id="597" w:name="_Toc8081"/>
      <w:bookmarkStart w:id="598" w:name="_Toc4441"/>
      <w:bookmarkStart w:id="599" w:name="_Toc2528"/>
      <w:bookmarkStart w:id="600" w:name="_Toc21488"/>
      <w:r>
        <w:rPr>
          <w:color w:val="000000" w:themeColor="text1"/>
          <w14:textFill>
            <w14:solidFill>
              <w14:schemeClr w14:val="tx1"/>
            </w14:solidFill>
          </w14:textFill>
        </w:rPr>
        <w:t>3.5初步设计环境保护措施</w:t>
      </w:r>
      <w:bookmarkEnd w:id="590"/>
      <w:bookmarkEnd w:id="591"/>
      <w:bookmarkEnd w:id="592"/>
      <w:bookmarkEnd w:id="593"/>
      <w:bookmarkEnd w:id="594"/>
      <w:bookmarkEnd w:id="595"/>
      <w:bookmarkEnd w:id="596"/>
      <w:bookmarkEnd w:id="597"/>
      <w:bookmarkEnd w:id="598"/>
      <w:bookmarkEnd w:id="599"/>
      <w:bookmarkEnd w:id="600"/>
    </w:p>
    <w:p w14:paraId="5AB30C51">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）线路路径选择中的环境保护措施</w:t>
      </w:r>
    </w:p>
    <w:p w14:paraId="21EC6BC6">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在输电线路路径选择阶段，充分听取沿线政府、规划、自然资源、林业、环保等相关部门的意见，优化路径，尽量减少工程建设对环境的影响。</w:t>
      </w:r>
    </w:p>
    <w:p w14:paraId="05EF576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）电磁环境影响控制措施</w:t>
      </w:r>
    </w:p>
    <w:p w14:paraId="49FA0242">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①在满足工程对导线机械物理特性要求和系统输送容量要求的前提下，合理选择导线、子导线分裂间距及绝缘子串组装形式等，以减小线路的电磁环境影响。</w:t>
      </w:r>
    </w:p>
    <w:p w14:paraId="17357C0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②远离居民类敏感目标，确保线路在居民点处产生的电磁影响满足相应标准要求。</w:t>
      </w:r>
    </w:p>
    <w:p w14:paraId="79E3575A">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③对沿线邻近的通信设施采取相应的工程防护措施，对于沿线重要的通信线路，当电磁影响超过容许值时，采用安装电缆保安器的措施处理。</w:t>
      </w:r>
    </w:p>
    <w:p w14:paraId="219B16DA">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④线路与公路、铁路、通讯线、电力线等交叉跨越时，严格按照规范要求留足够净空距离。</w:t>
      </w:r>
    </w:p>
    <w:p w14:paraId="55C8661C">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）噪声控制措施</w:t>
      </w:r>
    </w:p>
    <w:p w14:paraId="040233DD">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在满足工程对导线机械物理特性要求和系统输送容量要求的前提下，合理选择导线、子导线分裂间距及绝缘子串组装型式等，以减小线路的声环境影响。</w:t>
      </w:r>
    </w:p>
    <w:p w14:paraId="638C6A2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4</w:t>
      </w:r>
      <w:r>
        <w:rPr>
          <w:rFonts w:hint="eastAsia" w:ascii="宋体" w:hAnsi="宋体" w:cs="宋体"/>
          <w:color w:val="000000" w:themeColor="text1"/>
          <w:kern w:val="0"/>
          <w:lang w:bidi="ar"/>
          <w14:textFill>
            <w14:solidFill>
              <w14:schemeClr w14:val="tx1"/>
            </w14:solidFill>
          </w14:textFill>
        </w:rPr>
        <w:t>）生态环境保护措施</w:t>
      </w:r>
    </w:p>
    <w:p w14:paraId="1CD0E48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进入施工现场前，应组织进行生态环境保护相关法规方面的宣传、教育，使所有参与施工人员认识到保护项目区天然植被的重要性，强化施工人员的保护意识，并落实到自身的实际行动中。在施工过程中，必须加强对参与施工人员的严格管理，杜绝人为破坏天然植被行为。尤其在秋季施工时，必须注意生产和生活用火的安全，避免火灾的发生和蔓延，对一定区域内的天然植被造成毁灭性的破坏。</w:t>
      </w:r>
    </w:p>
    <w:p w14:paraId="14DB2B9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②在选择材料堆放场、牵张场、临时施工道路等临时占地时，应注意对植被生长良好地段的避让。材料堆放场应尽量使用既有场地，牵张场应尽量选择路边无植被地段或地表植被稀疏地段。</w:t>
      </w:r>
    </w:p>
    <w:p w14:paraId="3724FE7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③合理规划、设计施工便道及场地，机械施工便道宽度不得大于</w:t>
      </w:r>
      <w:r>
        <w:rPr>
          <w:rFonts w:hint="eastAsia"/>
          <w:color w:val="000000" w:themeColor="text1"/>
          <w:kern w:val="0"/>
          <w:lang w:val="en-US" w:eastAsia="zh-CN" w:bidi="ar"/>
          <w14:textFill>
            <w14:solidFill>
              <w14:schemeClr w14:val="tx1"/>
            </w14:solidFill>
          </w14:textFill>
        </w:rPr>
        <w:t>4</w:t>
      </w:r>
      <w:r>
        <w:rPr>
          <w:color w:val="000000" w:themeColor="text1"/>
          <w:kern w:val="0"/>
          <w:lang w:bidi="ar"/>
          <w14:textFill>
            <w14:solidFill>
              <w14:schemeClr w14:val="tx1"/>
            </w14:solidFill>
          </w14:textFill>
        </w:rPr>
        <w:t>.5m</w:t>
      </w:r>
      <w:r>
        <w:rPr>
          <w:rFonts w:hint="eastAsia" w:ascii="宋体" w:hAnsi="宋体" w:cs="宋体"/>
          <w:color w:val="000000" w:themeColor="text1"/>
          <w:kern w:val="0"/>
          <w:lang w:bidi="ar"/>
          <w14:textFill>
            <w14:solidFill>
              <w14:schemeClr w14:val="tx1"/>
            </w14:solidFill>
          </w14:textFill>
        </w:rPr>
        <w:t>，并要求各种机械和车辆固定行车路线，不能随意下道行驶或另开辟便道，以保证周围地表和植被不受破坏，施工便道尽量避开灌木植株多的区域。</w:t>
      </w:r>
    </w:p>
    <w:p w14:paraId="21426882">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val="en-US" w:eastAsia="zh-CN" w:bidi="ar"/>
          <w14:textFill>
            <w14:solidFill>
              <w14:schemeClr w14:val="tx1"/>
            </w14:solidFill>
          </w14:textFill>
        </w:rPr>
        <w:t>④</w:t>
      </w:r>
      <w:r>
        <w:rPr>
          <w:rFonts w:hint="eastAsia" w:ascii="宋体" w:hAnsi="宋体" w:cs="宋体"/>
          <w:color w:val="000000" w:themeColor="text1"/>
          <w:kern w:val="0"/>
          <w:lang w:bidi="ar"/>
          <w14:textFill>
            <w14:solidFill>
              <w14:schemeClr w14:val="tx1"/>
            </w14:solidFill>
          </w14:textFill>
        </w:rPr>
        <w:t>线路施工过程中，对于植被发育良好的塔位地带，施工前对开挖区的表层土进行剥离，单独堆放，待施工结束后进行回铺。对植被发育欠佳且具备人工恢复条件的塔位段，塔基区扰动后，播撒当地适宜草籽（柽柳、膜果麻黄、白刺等）恢复植被。</w:t>
      </w:r>
    </w:p>
    <w:p w14:paraId="0BAFF7D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⑤对施工过程中占用的各类临时用地，在施工结束后，应及时恢复原有地貌，并压实整平。及时清理施工现场，对施工过程中产生的生活垃圾和废弃物，应集中收集装袋，并在结束施工时带出施工区域，不得随意丢弃于施工区域的天然植被中，既造成环境污染，又对植被的正常生长发育产生不良影响。</w:t>
      </w:r>
    </w:p>
    <w:p w14:paraId="78C3471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⑥线路经过其他区域，有条件进行植被恢复时，需进行表土剥离，单独集中堆放，并采取洒水等养护措施，保护原生种质资源库。</w:t>
      </w:r>
    </w:p>
    <w:p w14:paraId="768C588F">
      <w:pPr>
        <w:widowControl/>
        <w:ind w:firstLine="480"/>
        <w:jc w:val="left"/>
        <w:rPr>
          <w:color w:val="000000" w:themeColor="text1"/>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eastAsia" w:ascii="宋体" w:hAnsi="宋体" w:cs="宋体"/>
          <w:color w:val="000000" w:themeColor="text1"/>
          <w:kern w:val="0"/>
          <w:lang w:bidi="ar"/>
          <w14:textFill>
            <w14:solidFill>
              <w14:schemeClr w14:val="tx1"/>
            </w14:solidFill>
          </w14:textFill>
        </w:rPr>
        <w:t>⑦基础施工应在塔基范围内铺设彩条布，在铁塔塔材堆放区、组装区、牵张场、起吊区、工器具堆放区等区域铺设彩条布以及枕木，最大限度降低对地表植被的破坏</w:t>
      </w:r>
      <w:r>
        <w:rPr>
          <w:color w:val="000000" w:themeColor="text1"/>
          <w14:textFill>
            <w14:solidFill>
              <w14:schemeClr w14:val="tx1"/>
            </w14:solidFill>
          </w14:textFill>
        </w:rPr>
        <w:t>。</w:t>
      </w:r>
    </w:p>
    <w:p w14:paraId="012E6029">
      <w:pPr>
        <w:pStyle w:val="2"/>
        <w:spacing w:before="156" w:beforeLines="50" w:after="156" w:afterLines="50"/>
        <w:rPr>
          <w:color w:val="000000" w:themeColor="text1"/>
          <w14:textFill>
            <w14:solidFill>
              <w14:schemeClr w14:val="tx1"/>
            </w14:solidFill>
          </w14:textFill>
        </w:rPr>
      </w:pPr>
      <w:bookmarkStart w:id="601" w:name="_Toc17454"/>
      <w:bookmarkStart w:id="602" w:name="_Toc29780"/>
      <w:bookmarkStart w:id="603" w:name="_Toc14570"/>
      <w:bookmarkStart w:id="604" w:name="_Toc30033"/>
      <w:bookmarkStart w:id="605" w:name="_Toc16083"/>
      <w:bookmarkStart w:id="606" w:name="_Toc1161"/>
      <w:bookmarkStart w:id="607" w:name="_Toc31703"/>
      <w:bookmarkStart w:id="608" w:name="_Toc19334"/>
      <w:bookmarkStart w:id="609" w:name="_Toc8657"/>
      <w:bookmarkStart w:id="610" w:name="_Toc24842"/>
      <w:bookmarkStart w:id="611" w:name="_Toc30286"/>
      <w:r>
        <w:rPr>
          <w:color w:val="000000" w:themeColor="text1"/>
          <w14:textFill>
            <w14:solidFill>
              <w14:schemeClr w14:val="tx1"/>
            </w14:solidFill>
          </w14:textFill>
        </w:rPr>
        <w:t>4环境现状调查与评价</w:t>
      </w:r>
      <w:bookmarkEnd w:id="601"/>
      <w:bookmarkEnd w:id="602"/>
      <w:bookmarkEnd w:id="603"/>
      <w:bookmarkEnd w:id="604"/>
      <w:bookmarkEnd w:id="605"/>
      <w:bookmarkEnd w:id="606"/>
      <w:bookmarkEnd w:id="607"/>
      <w:bookmarkEnd w:id="608"/>
      <w:bookmarkEnd w:id="609"/>
      <w:bookmarkEnd w:id="610"/>
      <w:bookmarkEnd w:id="611"/>
    </w:p>
    <w:p w14:paraId="6B2BC242">
      <w:pPr>
        <w:pStyle w:val="3"/>
        <w:keepNext/>
        <w:keepLines/>
        <w:tabs>
          <w:tab w:val="clear" w:pos="420"/>
          <w:tab w:val="clear" w:pos="907"/>
          <w:tab w:val="clear" w:pos="1267"/>
        </w:tabs>
        <w:adjustRightInd/>
        <w:spacing w:before="156" w:beforeLines="50" w:after="156" w:afterLines="50"/>
        <w:rPr>
          <w:color w:val="000000" w:themeColor="text1"/>
          <w:szCs w:val="32"/>
          <w14:textFill>
            <w14:solidFill>
              <w14:schemeClr w14:val="tx1"/>
            </w14:solidFill>
          </w14:textFill>
        </w:rPr>
      </w:pPr>
      <w:bookmarkStart w:id="612" w:name="_Toc4550"/>
      <w:bookmarkStart w:id="613" w:name="_Toc25401"/>
      <w:bookmarkStart w:id="614" w:name="_Toc17490"/>
      <w:bookmarkStart w:id="615" w:name="_Toc30667"/>
      <w:bookmarkStart w:id="616" w:name="_Toc24531"/>
      <w:bookmarkStart w:id="617" w:name="_Toc6385"/>
      <w:bookmarkStart w:id="618" w:name="_Toc10833"/>
      <w:bookmarkStart w:id="619" w:name="_Toc14419"/>
      <w:bookmarkStart w:id="620" w:name="_Toc13287"/>
      <w:bookmarkStart w:id="621" w:name="_Toc30007"/>
      <w:bookmarkStart w:id="622" w:name="_Toc27359"/>
      <w:r>
        <w:rPr>
          <w:color w:val="000000" w:themeColor="text1"/>
          <w:szCs w:val="32"/>
          <w14:textFill>
            <w14:solidFill>
              <w14:schemeClr w14:val="tx1"/>
            </w14:solidFill>
          </w14:textFill>
        </w:rPr>
        <w:t>4.1区域概况</w:t>
      </w:r>
      <w:bookmarkEnd w:id="612"/>
      <w:bookmarkEnd w:id="613"/>
      <w:bookmarkEnd w:id="614"/>
      <w:bookmarkEnd w:id="615"/>
      <w:bookmarkEnd w:id="616"/>
      <w:bookmarkEnd w:id="617"/>
      <w:bookmarkEnd w:id="618"/>
      <w:bookmarkEnd w:id="619"/>
      <w:bookmarkEnd w:id="620"/>
      <w:bookmarkEnd w:id="621"/>
      <w:bookmarkEnd w:id="622"/>
    </w:p>
    <w:p w14:paraId="08C8551E">
      <w:pPr>
        <w:ind w:firstLine="480"/>
        <w:rPr>
          <w:color w:val="000000" w:themeColor="text1"/>
          <w14:textFill>
            <w14:solidFill>
              <w14:schemeClr w14:val="tx1"/>
            </w14:solidFill>
          </w14:textFill>
        </w:rPr>
      </w:pPr>
      <w:r>
        <w:rPr>
          <w:color w:val="000000" w:themeColor="text1"/>
          <w14:textFill>
            <w14:solidFill>
              <w14:schemeClr w14:val="tx1"/>
            </w14:solidFill>
          </w14:textFill>
        </w:rPr>
        <w:t>若羌县地处巴音郭楞蒙古自治州东南部，塔克拉玛干沙漠东南缘，东经86°45′～93°45′，北纬36°～41°23′</w:t>
      </w:r>
      <w:r>
        <w:rPr>
          <w:rFonts w:hint="eastAsia"/>
          <w:color w:val="000000" w:themeColor="text1"/>
          <w14:textFill>
            <w14:solidFill>
              <w14:schemeClr w14:val="tx1"/>
            </w14:solidFill>
          </w14:textFill>
        </w:rPr>
        <w:t>。西接且末，北邻尉犁县及鄯善县和哈密市，东与甘肃省、青海省交界，南与西藏自治区接壤，行政面积20.23万km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，是全国辖区总面积最大的县。</w:t>
      </w:r>
    </w:p>
    <w:p w14:paraId="08761793">
      <w:pPr>
        <w:pStyle w:val="21"/>
        <w:widowControl/>
        <w:spacing w:before="0" w:beforeAutospacing="0" w:after="0" w:afterAutospacing="0"/>
        <w:ind w:firstLine="480"/>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位于新疆维吾尔自治区巴音郭楞蒙古自治州若羌县</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本项目地理位置图见图3.1-1。</w:t>
      </w:r>
    </w:p>
    <w:p w14:paraId="3573144E">
      <w:pPr>
        <w:pStyle w:val="3"/>
        <w:keepNext/>
        <w:keepLines/>
        <w:tabs>
          <w:tab w:val="clear" w:pos="420"/>
          <w:tab w:val="clear" w:pos="907"/>
          <w:tab w:val="clear" w:pos="1267"/>
        </w:tabs>
        <w:adjustRightInd/>
        <w:spacing w:before="156" w:beforeLines="50" w:after="156" w:afterLines="50"/>
        <w:rPr>
          <w:color w:val="000000" w:themeColor="text1"/>
          <w:szCs w:val="32"/>
          <w14:textFill>
            <w14:solidFill>
              <w14:schemeClr w14:val="tx1"/>
            </w14:solidFill>
          </w14:textFill>
        </w:rPr>
      </w:pPr>
      <w:bookmarkStart w:id="623" w:name="_Toc21597"/>
      <w:bookmarkStart w:id="624" w:name="_Toc3817"/>
      <w:bookmarkStart w:id="625" w:name="_Toc30048"/>
      <w:bookmarkStart w:id="626" w:name="_Toc12020"/>
      <w:bookmarkStart w:id="627" w:name="_Toc722"/>
      <w:bookmarkStart w:id="628" w:name="_Toc29823"/>
      <w:bookmarkStart w:id="629" w:name="_Toc29479"/>
      <w:bookmarkStart w:id="630" w:name="_Toc7847"/>
      <w:bookmarkStart w:id="631" w:name="_Toc11695"/>
      <w:bookmarkStart w:id="632" w:name="_Toc27657"/>
      <w:bookmarkStart w:id="633" w:name="_Toc8024"/>
      <w:r>
        <w:rPr>
          <w:color w:val="000000" w:themeColor="text1"/>
          <w:szCs w:val="32"/>
          <w14:textFill>
            <w14:solidFill>
              <w14:schemeClr w14:val="tx1"/>
            </w14:solidFill>
          </w14:textFill>
        </w:rPr>
        <w:t>4.2自然环境</w:t>
      </w:r>
      <w:bookmarkEnd w:id="623"/>
      <w:bookmarkEnd w:id="624"/>
      <w:bookmarkEnd w:id="625"/>
      <w:bookmarkEnd w:id="626"/>
      <w:bookmarkEnd w:id="627"/>
      <w:bookmarkEnd w:id="628"/>
      <w:bookmarkEnd w:id="629"/>
      <w:bookmarkEnd w:id="630"/>
      <w:bookmarkEnd w:id="631"/>
      <w:bookmarkEnd w:id="632"/>
      <w:bookmarkEnd w:id="633"/>
    </w:p>
    <w:p w14:paraId="1ADECD21">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4.2.1地形地貌</w:t>
      </w:r>
    </w:p>
    <w:p w14:paraId="707027D4">
      <w:pPr>
        <w:ind w:firstLine="480"/>
        <w:rPr>
          <w:color w:val="000000" w:themeColor="text1"/>
          <w14:textFill>
            <w14:solidFill>
              <w14:schemeClr w14:val="tx1"/>
            </w14:solidFill>
          </w14:textFill>
        </w:rPr>
      </w:pPr>
      <w:r>
        <w:rPr>
          <w:color w:val="000000" w:themeColor="text1"/>
          <w14:textFill>
            <w14:solidFill>
              <w14:schemeClr w14:val="tx1"/>
            </w14:solidFill>
          </w14:textFill>
        </w:rPr>
        <w:t>若羌县地势南高北低，由西南向东北倾斜，海拔768～6900m。南部为山区，属羌塘高原东北部，海拔1500～4500m；中部冲积为冲积扇绿洲平原，海拔880～1500m，为农业种植区和主要人口居住区；北部为平原沙漠区，海拔763～1000m，由四个部分组成：西面为塔克拉玛干沙漠的东部，东南面为库木塔格沙漠，东北面为库鲁克塔格山部分山体和南麓山前冲积扇戈壁沙滩地，中部为罗布泊干涸湖床和湖滨盐碱地。</w:t>
      </w:r>
    </w:p>
    <w:p w14:paraId="19B4DCBD">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本项目位于若羌县城东南侧，沿线地形地貌主要为山前冲洪积倾斜平原，地势起伏较小，平坦、开阔，总地势表现为东南高西北低，海拔高程在870～980m之间，地表植被稀少，呈荒漠戈壁景观。</w:t>
      </w:r>
    </w:p>
    <w:p w14:paraId="4A8507B7">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4.2.2地层岩性</w:t>
      </w:r>
    </w:p>
    <w:p w14:paraId="6C85D52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沿线地层主要为第四系上更新统至全新统冲洪积（Q</w:t>
      </w:r>
      <w:r>
        <w:rPr>
          <w:rFonts w:hint="eastAsia"/>
          <w:color w:val="000000" w:themeColor="text1"/>
          <w:vertAlign w:val="subscript"/>
          <w14:textFill>
            <w14:solidFill>
              <w14:schemeClr w14:val="tx1"/>
            </w14:solidFill>
          </w14:textFill>
        </w:rPr>
        <w:t>3-4</w:t>
      </w:r>
      <w:r>
        <w:rPr>
          <w:rFonts w:hint="eastAsia"/>
          <w:color w:val="000000" w:themeColor="text1"/>
          <w:vertAlign w:val="superscript"/>
          <w14:textFill>
            <w14:solidFill>
              <w14:schemeClr w14:val="tx1"/>
            </w14:solidFill>
          </w14:textFill>
        </w:rPr>
        <w:t>al+pl</w:t>
      </w:r>
      <w:r>
        <w:rPr>
          <w:rFonts w:hint="eastAsia"/>
          <w:color w:val="000000" w:themeColor="text1"/>
          <w14:textFill>
            <w14:solidFill>
              <w14:schemeClr w14:val="tx1"/>
            </w14:solidFill>
          </w14:textFill>
        </w:rPr>
        <w:t>）粉细砂、中粗砂、圆砾和卵石。</w:t>
      </w:r>
    </w:p>
    <w:p w14:paraId="0A970860">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82"/>
        <w:jc w:val="left"/>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（1-1）粉细砂：黄褐色，干，稍密，主要矿物成分为石英等，混有砾石、卵石等，夹薄层粉土。仅换流站附近分布，层厚2.0~3.0m。</w:t>
      </w:r>
    </w:p>
    <w:p w14:paraId="0C510551">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80"/>
        <w:jc w:val="left"/>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（1-2）粉细砂：黄褐色，稍湿，中密，主要矿物成分为石英等，混有砾石、卵石等，夹薄层粉土。仅换流站附近分布，层厚2.0~3.0m。</w:t>
      </w:r>
    </w:p>
    <w:p w14:paraId="600437A7">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80"/>
        <w:jc w:val="left"/>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（2-1）中粗砂：黄褐色，干~稍湿，稍密，主要矿物成分为石英等，混有砾石、卵石等，局部地段分布，层厚3.0~4.0m。</w:t>
      </w:r>
    </w:p>
    <w:p w14:paraId="13A47EC7">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80"/>
        <w:jc w:val="left"/>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（2-2）中粗砂：黄褐色，干~稍湿，密实，主要矿物成分为石英等，混有砾石、卵石等，局部地段分布，层厚4.0~7.0m。</w:t>
      </w:r>
    </w:p>
    <w:p w14:paraId="2BD254B6">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82"/>
        <w:jc w:val="left"/>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（3-1）砾砂：黄褐色，稍湿，稍密，主要矿物成分为石英等，混有砾石、卵石等，夹薄层粉土，局部地段分布，层厚1.7~3.5m。</w:t>
      </w:r>
    </w:p>
    <w:p w14:paraId="6E2C40A8">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82"/>
        <w:jc w:val="left"/>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（3-2）砾砂：黄褐色，稍湿，密实，主要矿物成分为石英等，混有砾石、卵石等，夹薄层粉土，局部地段分布，最大揭露层厚22.9m。</w:t>
      </w:r>
    </w:p>
    <w:p w14:paraId="5796995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kern w:val="0"/>
          <w:position w:val="0"/>
          <w:sz w:val="24"/>
          <w:szCs w:val="24"/>
          <w:lang w:val="en-US" w:eastAsia="zh-CN" w:bidi="ar"/>
          <w14:textFill>
            <w14:solidFill>
              <w14:schemeClr w14:val="tx1"/>
            </w14:solidFill>
          </w14:textFill>
        </w:rPr>
        <w:t>（4-1）角砾：灰褐色，稍密，粒径一般2-30mm，母岩成分为石英岩等，磨圆度一般、分选性差，含少量卵石，局部夹漂石。沿线大</w:t>
      </w: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部分布，层厚2.0~3.3m。</w:t>
      </w:r>
    </w:p>
    <w:p w14:paraId="1D9B8C02">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80"/>
        <w:jc w:val="left"/>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（4-2）角砾：灰褐色，中密~密实，粒径一般2-30mm，母岩成分为石英岩等，磨圆度一般、分选性差，含少量卵石，局部夹漂石。沿线大部分布，未揭穿该层，最大揭露厚度23m。</w:t>
      </w:r>
    </w:p>
    <w:p w14:paraId="2AE60169">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682"/>
        <w:jc w:val="left"/>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position w:val="0"/>
          <w:sz w:val="24"/>
          <w:szCs w:val="24"/>
          <w14:textFill>
            <w14:solidFill>
              <w14:schemeClr w14:val="tx1"/>
            </w14:solidFill>
          </w14:textFill>
        </w:rPr>
        <w:t>（5-1）卵石：灰褐色，中密，母岩成份为石英岩等，粒径一般20～100mm，分选性较差，磨圆度一般，呈亚圆状～圆状，充填物主要以中粗砂、粉土及砾石为主，局部存在弱胶结，含少量漂石。局部分布，层厚4.0~5.0m。</w:t>
      </w:r>
    </w:p>
    <w:p w14:paraId="3F42EB5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0"/>
          <w:kern w:val="0"/>
          <w:position w:val="0"/>
          <w:sz w:val="24"/>
          <w:szCs w:val="24"/>
          <w:lang w:val="en-US" w:eastAsia="zh-CN" w:bidi="ar"/>
          <w14:textFill>
            <w14:solidFill>
              <w14:schemeClr w14:val="tx1"/>
            </w14:solidFill>
          </w14:textFill>
        </w:rPr>
        <w:t>（5-2）卵石：灰褐色，湿~饱和，密实，母岩成</w:t>
      </w:r>
      <w:r>
        <w:rPr>
          <w:rFonts w:hint="eastAsia" w:cs="Times New Roman"/>
          <w:color w:val="000000" w:themeColor="text1"/>
          <w:spacing w:val="0"/>
          <w:kern w:val="0"/>
          <w:position w:val="0"/>
          <w:sz w:val="24"/>
          <w:szCs w:val="24"/>
          <w:lang w:val="en-US" w:eastAsia="zh-CN" w:bidi="ar"/>
          <w14:textFill>
            <w14:solidFill>
              <w14:schemeClr w14:val="tx1"/>
            </w14:solidFill>
          </w14:textFill>
        </w:rPr>
        <w:t>分</w:t>
      </w:r>
      <w:r>
        <w:rPr>
          <w:rFonts w:hint="default" w:ascii="Times New Roman" w:hAnsi="Times New Roman" w:eastAsia="宋体" w:cs="Times New Roman"/>
          <w:color w:val="000000" w:themeColor="text1"/>
          <w:spacing w:val="0"/>
          <w:kern w:val="0"/>
          <w:position w:val="0"/>
          <w:sz w:val="24"/>
          <w:szCs w:val="24"/>
          <w:lang w:val="en-US" w:eastAsia="zh-CN" w:bidi="ar"/>
          <w14:textFill>
            <w14:solidFill>
              <w14:schemeClr w14:val="tx1"/>
            </w14:solidFill>
          </w14:textFill>
        </w:rPr>
        <w:t>为石英岩等，粒径一般20～100mm，分选性较差，磨圆度一般，呈亚圆状～圆状，充填物主要以中粗砂、粉土及砾石为主，局部存在弱胶结，含少量漂石。局部分布，最大揭露厚度20m。</w:t>
      </w:r>
    </w:p>
    <w:p w14:paraId="4D9DA2E2">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4.2.3水文条件</w:t>
      </w:r>
    </w:p>
    <w:p w14:paraId="337E9C95">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根据现场踏勘，本工程线路不涉及中大型河流、水库、湖泊与分蓄洪区，沿线主要涉及的水文情势为多条由暴雨洪水或雪融型洪水长期冲刷形成的宽度不等的季节性河流与冲沟，此类河沟平时干涸，汛期暴雨形成的山洪顺势倾泻而下，形成向两侧漫流的行洪区域。同时，由于坡降大，水流急，土质松散地段会受到水流的冲刷，局部地段冲刷较为严重。</w:t>
      </w:r>
    </w:p>
    <w:p w14:paraId="1B49C9DC">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工程沿线整体地势南高北低，沿途要跨越数条小型冲沟，冲沟分布较为零散，根据现场踏勘及洪水调查，冲沟为季节性洪沟。若塔位立于沟内应考虑冲沟影响及冲刷，最大冲刷按</w:t>
      </w:r>
      <w:r>
        <w:rPr>
          <w:color w:val="000000" w:themeColor="text1"/>
          <w:kern w:val="0"/>
          <w:highlight w:val="none"/>
          <w:lang w:bidi="ar"/>
          <w14:textFill>
            <w14:solidFill>
              <w14:schemeClr w14:val="tx1"/>
            </w14:solidFill>
          </w14:textFill>
        </w:rPr>
        <w:t>1.0m</w:t>
      </w:r>
      <w:r>
        <w:rPr>
          <w:rFonts w:hint="eastAsia" w:ascii="宋体" w:hAnsi="宋体" w:cs="宋体"/>
          <w:color w:val="000000" w:themeColor="text1"/>
          <w:kern w:val="0"/>
          <w:highlight w:val="none"/>
          <w:lang w:bidi="ar"/>
          <w14:textFill>
            <w14:solidFill>
              <w14:schemeClr w14:val="tx1"/>
            </w14:solidFill>
          </w14:textFill>
        </w:rPr>
        <w:t>考虑。局部塔位位于冲沟边缘的，需考虑塔基外围修建有效的防洪堤抵御山洪威胁。待下阶段塔位确定后，根据断面实测资料进行洪水计算，为设计提供设计数据。</w:t>
      </w:r>
    </w:p>
    <w:p w14:paraId="23A1DA1A">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4.2.4气象与气候</w:t>
      </w:r>
    </w:p>
    <w:p w14:paraId="1338E20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若羌县气象站统计资料见表4.2-1。</w:t>
      </w:r>
    </w:p>
    <w:p w14:paraId="0842E994">
      <w:pPr>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表4.2-1  若羌气象站气象特征值成果表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42D1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0A078280">
            <w:pPr>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序号</w:t>
            </w:r>
          </w:p>
        </w:tc>
        <w:tc>
          <w:tcPr>
            <w:tcW w:w="2130" w:type="dxa"/>
            <w:vAlign w:val="center"/>
          </w:tcPr>
          <w:p w14:paraId="5D2610A9">
            <w:pPr>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项目</w:t>
            </w:r>
          </w:p>
        </w:tc>
        <w:tc>
          <w:tcPr>
            <w:tcW w:w="2131" w:type="dxa"/>
            <w:vAlign w:val="center"/>
          </w:tcPr>
          <w:p w14:paraId="185A0B06">
            <w:pPr>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单位</w:t>
            </w:r>
          </w:p>
        </w:tc>
        <w:tc>
          <w:tcPr>
            <w:tcW w:w="2131" w:type="dxa"/>
            <w:vAlign w:val="center"/>
          </w:tcPr>
          <w:p w14:paraId="5165A0AC">
            <w:pPr>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特征值</w:t>
            </w:r>
          </w:p>
        </w:tc>
      </w:tr>
      <w:tr w14:paraId="4BBB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0513B316">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w:t>
            </w:r>
          </w:p>
        </w:tc>
        <w:tc>
          <w:tcPr>
            <w:tcW w:w="2130" w:type="dxa"/>
            <w:vAlign w:val="center"/>
          </w:tcPr>
          <w:p w14:paraId="5FC9FC9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多年平均气温</w:t>
            </w:r>
          </w:p>
        </w:tc>
        <w:tc>
          <w:tcPr>
            <w:tcW w:w="2131" w:type="dxa"/>
            <w:vAlign w:val="center"/>
          </w:tcPr>
          <w:p w14:paraId="62EB8C56">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2131" w:type="dxa"/>
            <w:vAlign w:val="center"/>
          </w:tcPr>
          <w:p w14:paraId="01739F87">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11.8</w:t>
            </w:r>
          </w:p>
        </w:tc>
      </w:tr>
      <w:tr w14:paraId="4044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7CEED1F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p>
        </w:tc>
        <w:tc>
          <w:tcPr>
            <w:tcW w:w="2130" w:type="dxa"/>
            <w:vAlign w:val="center"/>
          </w:tcPr>
          <w:p w14:paraId="70F99DE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多年平均气压</w:t>
            </w:r>
          </w:p>
        </w:tc>
        <w:tc>
          <w:tcPr>
            <w:tcW w:w="2131" w:type="dxa"/>
            <w:vAlign w:val="center"/>
          </w:tcPr>
          <w:p w14:paraId="332BE1D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hpa</w:t>
            </w:r>
          </w:p>
        </w:tc>
        <w:tc>
          <w:tcPr>
            <w:tcW w:w="2131" w:type="dxa"/>
            <w:vAlign w:val="center"/>
          </w:tcPr>
          <w:p w14:paraId="3584BC9E">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914.2</w:t>
            </w:r>
          </w:p>
        </w:tc>
      </w:tr>
      <w:tr w14:paraId="66AD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2B20C01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p>
        </w:tc>
        <w:tc>
          <w:tcPr>
            <w:tcW w:w="2130" w:type="dxa"/>
            <w:vAlign w:val="center"/>
          </w:tcPr>
          <w:p w14:paraId="22751981">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多年平均水汽压</w:t>
            </w:r>
          </w:p>
        </w:tc>
        <w:tc>
          <w:tcPr>
            <w:tcW w:w="2131" w:type="dxa"/>
            <w:vAlign w:val="center"/>
          </w:tcPr>
          <w:p w14:paraId="01602EBA">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hpa</w:t>
            </w:r>
          </w:p>
        </w:tc>
        <w:tc>
          <w:tcPr>
            <w:tcW w:w="2131" w:type="dxa"/>
            <w:vAlign w:val="center"/>
          </w:tcPr>
          <w:p w14:paraId="61ED4646">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5.8</w:t>
            </w:r>
          </w:p>
        </w:tc>
      </w:tr>
      <w:tr w14:paraId="36B8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33D780C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p>
        </w:tc>
        <w:tc>
          <w:tcPr>
            <w:tcW w:w="2130" w:type="dxa"/>
            <w:vAlign w:val="center"/>
          </w:tcPr>
          <w:p w14:paraId="6D753D8B">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多年平均风速</w:t>
            </w:r>
          </w:p>
        </w:tc>
        <w:tc>
          <w:tcPr>
            <w:tcW w:w="2131" w:type="dxa"/>
            <w:vAlign w:val="center"/>
          </w:tcPr>
          <w:p w14:paraId="45C6EE1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m/s</w:t>
            </w:r>
          </w:p>
        </w:tc>
        <w:tc>
          <w:tcPr>
            <w:tcW w:w="2131" w:type="dxa"/>
            <w:vAlign w:val="center"/>
          </w:tcPr>
          <w:p w14:paraId="7BA9A8A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2.6</w:t>
            </w:r>
          </w:p>
        </w:tc>
      </w:tr>
      <w:tr w14:paraId="0BA7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681247F6">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w:t>
            </w:r>
          </w:p>
        </w:tc>
        <w:tc>
          <w:tcPr>
            <w:tcW w:w="2130" w:type="dxa"/>
            <w:vAlign w:val="center"/>
          </w:tcPr>
          <w:p w14:paraId="205F8608">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多年平均相对湿度</w:t>
            </w:r>
          </w:p>
        </w:tc>
        <w:tc>
          <w:tcPr>
            <w:tcW w:w="2131" w:type="dxa"/>
            <w:vAlign w:val="center"/>
          </w:tcPr>
          <w:p w14:paraId="0BA5965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2131" w:type="dxa"/>
            <w:vAlign w:val="center"/>
          </w:tcPr>
          <w:p w14:paraId="6A8501E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39</w:t>
            </w:r>
          </w:p>
        </w:tc>
      </w:tr>
      <w:tr w14:paraId="69E7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26DBD6C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w:t>
            </w:r>
          </w:p>
        </w:tc>
        <w:tc>
          <w:tcPr>
            <w:tcW w:w="2130" w:type="dxa"/>
            <w:vAlign w:val="center"/>
          </w:tcPr>
          <w:p w14:paraId="5ACBC04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多年平均降水量</w:t>
            </w:r>
          </w:p>
        </w:tc>
        <w:tc>
          <w:tcPr>
            <w:tcW w:w="2131" w:type="dxa"/>
            <w:vAlign w:val="center"/>
          </w:tcPr>
          <w:p w14:paraId="559D174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mm</w:t>
            </w:r>
          </w:p>
        </w:tc>
        <w:tc>
          <w:tcPr>
            <w:tcW w:w="2131" w:type="dxa"/>
            <w:vAlign w:val="center"/>
          </w:tcPr>
          <w:p w14:paraId="0693A9D6">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27.4</w:t>
            </w:r>
          </w:p>
        </w:tc>
      </w:tr>
      <w:tr w14:paraId="1EA7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63E11CC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w:t>
            </w:r>
          </w:p>
        </w:tc>
        <w:tc>
          <w:tcPr>
            <w:tcW w:w="2130" w:type="dxa"/>
            <w:vAlign w:val="center"/>
          </w:tcPr>
          <w:p w14:paraId="4E1ABCE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多年平均雷暴日数</w:t>
            </w:r>
          </w:p>
        </w:tc>
        <w:tc>
          <w:tcPr>
            <w:tcW w:w="2131" w:type="dxa"/>
            <w:vAlign w:val="center"/>
          </w:tcPr>
          <w:p w14:paraId="72CD373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d</w:t>
            </w:r>
          </w:p>
        </w:tc>
        <w:tc>
          <w:tcPr>
            <w:tcW w:w="2131" w:type="dxa"/>
            <w:vAlign w:val="center"/>
          </w:tcPr>
          <w:p w14:paraId="45CB2DC4">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5.6</w:t>
            </w:r>
          </w:p>
        </w:tc>
      </w:tr>
      <w:tr w14:paraId="3927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1AD1A1B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w:t>
            </w:r>
          </w:p>
        </w:tc>
        <w:tc>
          <w:tcPr>
            <w:tcW w:w="2130" w:type="dxa"/>
            <w:vAlign w:val="center"/>
          </w:tcPr>
          <w:p w14:paraId="7736C19F">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多年平均沙尘暴日数</w:t>
            </w:r>
          </w:p>
        </w:tc>
        <w:tc>
          <w:tcPr>
            <w:tcW w:w="2131" w:type="dxa"/>
            <w:vAlign w:val="center"/>
          </w:tcPr>
          <w:p w14:paraId="0AAEFB88">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d</w:t>
            </w:r>
          </w:p>
        </w:tc>
        <w:tc>
          <w:tcPr>
            <w:tcW w:w="2131" w:type="dxa"/>
            <w:vAlign w:val="center"/>
          </w:tcPr>
          <w:p w14:paraId="75F4532A">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14.3</w:t>
            </w:r>
          </w:p>
        </w:tc>
      </w:tr>
      <w:tr w14:paraId="260A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3876152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w:t>
            </w:r>
          </w:p>
        </w:tc>
        <w:tc>
          <w:tcPr>
            <w:tcW w:w="2130" w:type="dxa"/>
            <w:vAlign w:val="center"/>
          </w:tcPr>
          <w:p w14:paraId="2516C81F">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历年极端最高气温</w:t>
            </w:r>
          </w:p>
        </w:tc>
        <w:tc>
          <w:tcPr>
            <w:tcW w:w="2131" w:type="dxa"/>
            <w:vAlign w:val="center"/>
          </w:tcPr>
          <w:p w14:paraId="76081B42">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2131" w:type="dxa"/>
            <w:vAlign w:val="center"/>
          </w:tcPr>
          <w:p w14:paraId="300AB68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43.9</w:t>
            </w:r>
          </w:p>
        </w:tc>
      </w:tr>
      <w:tr w14:paraId="5E46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6C36CF1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w:t>
            </w:r>
          </w:p>
        </w:tc>
        <w:tc>
          <w:tcPr>
            <w:tcW w:w="2130" w:type="dxa"/>
            <w:vAlign w:val="center"/>
          </w:tcPr>
          <w:p w14:paraId="0DB2C4A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历年极端最低气温</w:t>
            </w:r>
          </w:p>
        </w:tc>
        <w:tc>
          <w:tcPr>
            <w:tcW w:w="2131" w:type="dxa"/>
            <w:vAlign w:val="center"/>
          </w:tcPr>
          <w:p w14:paraId="1E2DF4EF">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2131" w:type="dxa"/>
            <w:vAlign w:val="center"/>
          </w:tcPr>
          <w:p w14:paraId="641A414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-22.6</w:t>
            </w:r>
          </w:p>
        </w:tc>
      </w:tr>
      <w:tr w14:paraId="191E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4229C7E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11</w:t>
            </w:r>
          </w:p>
        </w:tc>
        <w:tc>
          <w:tcPr>
            <w:tcW w:w="2130" w:type="dxa"/>
            <w:vAlign w:val="center"/>
          </w:tcPr>
          <w:p w14:paraId="57E780A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历年定时最大风速</w:t>
            </w:r>
          </w:p>
        </w:tc>
        <w:tc>
          <w:tcPr>
            <w:tcW w:w="2131" w:type="dxa"/>
            <w:vAlign w:val="center"/>
          </w:tcPr>
          <w:p w14:paraId="673E566F">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m/s</w:t>
            </w:r>
          </w:p>
        </w:tc>
        <w:tc>
          <w:tcPr>
            <w:tcW w:w="2131" w:type="dxa"/>
            <w:vAlign w:val="center"/>
          </w:tcPr>
          <w:p w14:paraId="5D86D822">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25.3</w:t>
            </w:r>
          </w:p>
        </w:tc>
      </w:tr>
      <w:tr w14:paraId="457E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41692E1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12</w:t>
            </w:r>
          </w:p>
        </w:tc>
        <w:tc>
          <w:tcPr>
            <w:tcW w:w="2130" w:type="dxa"/>
            <w:vAlign w:val="center"/>
          </w:tcPr>
          <w:p w14:paraId="7B1AFF86">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历年最大积雪深度</w:t>
            </w:r>
          </w:p>
        </w:tc>
        <w:tc>
          <w:tcPr>
            <w:tcW w:w="2131" w:type="dxa"/>
            <w:vAlign w:val="center"/>
          </w:tcPr>
          <w:p w14:paraId="55C9B496">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cm</w:t>
            </w:r>
          </w:p>
        </w:tc>
        <w:tc>
          <w:tcPr>
            <w:tcW w:w="2131" w:type="dxa"/>
            <w:vAlign w:val="center"/>
          </w:tcPr>
          <w:p w14:paraId="3621B08A">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18</w:t>
            </w:r>
          </w:p>
        </w:tc>
      </w:tr>
      <w:tr w14:paraId="5A9E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1F3503F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13</w:t>
            </w:r>
          </w:p>
        </w:tc>
        <w:tc>
          <w:tcPr>
            <w:tcW w:w="2130" w:type="dxa"/>
            <w:vAlign w:val="center"/>
          </w:tcPr>
          <w:p w14:paraId="4FE6A82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历年最大冻土深度</w:t>
            </w:r>
          </w:p>
        </w:tc>
        <w:tc>
          <w:tcPr>
            <w:tcW w:w="2131" w:type="dxa"/>
            <w:vAlign w:val="center"/>
          </w:tcPr>
          <w:p w14:paraId="5ECE80B7">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cm</w:t>
            </w:r>
          </w:p>
        </w:tc>
        <w:tc>
          <w:tcPr>
            <w:tcW w:w="2131" w:type="dxa"/>
            <w:vAlign w:val="center"/>
          </w:tcPr>
          <w:p w14:paraId="332CD96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96</w:t>
            </w:r>
          </w:p>
        </w:tc>
      </w:tr>
      <w:tr w14:paraId="74E0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7BB8475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14</w:t>
            </w:r>
          </w:p>
        </w:tc>
        <w:tc>
          <w:tcPr>
            <w:tcW w:w="2130" w:type="dxa"/>
            <w:vAlign w:val="center"/>
          </w:tcPr>
          <w:p w14:paraId="67970EE8">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最大一日降水量</w:t>
            </w:r>
          </w:p>
        </w:tc>
        <w:tc>
          <w:tcPr>
            <w:tcW w:w="2131" w:type="dxa"/>
            <w:vAlign w:val="center"/>
          </w:tcPr>
          <w:p w14:paraId="2923BCD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mm</w:t>
            </w:r>
          </w:p>
        </w:tc>
        <w:tc>
          <w:tcPr>
            <w:tcW w:w="2131" w:type="dxa"/>
            <w:vAlign w:val="center"/>
          </w:tcPr>
          <w:p w14:paraId="5B0F4BEE">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52.5</w:t>
            </w:r>
          </w:p>
        </w:tc>
      </w:tr>
      <w:tr w14:paraId="3654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70B94FB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15</w:t>
            </w:r>
          </w:p>
        </w:tc>
        <w:tc>
          <w:tcPr>
            <w:tcW w:w="2130" w:type="dxa"/>
            <w:vAlign w:val="center"/>
          </w:tcPr>
          <w:p w14:paraId="10346BD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累年最大降水量</w:t>
            </w:r>
          </w:p>
        </w:tc>
        <w:tc>
          <w:tcPr>
            <w:tcW w:w="2131" w:type="dxa"/>
            <w:vAlign w:val="center"/>
          </w:tcPr>
          <w:p w14:paraId="4618CAE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mm</w:t>
            </w:r>
          </w:p>
        </w:tc>
        <w:tc>
          <w:tcPr>
            <w:tcW w:w="2131" w:type="dxa"/>
            <w:vAlign w:val="center"/>
          </w:tcPr>
          <w:p w14:paraId="402DC11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117.0</w:t>
            </w:r>
          </w:p>
        </w:tc>
      </w:tr>
      <w:tr w14:paraId="4A2A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5AA4A4A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16</w:t>
            </w:r>
          </w:p>
        </w:tc>
        <w:tc>
          <w:tcPr>
            <w:tcW w:w="2130" w:type="dxa"/>
            <w:vAlign w:val="center"/>
          </w:tcPr>
          <w:p w14:paraId="794E2E5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全年主导风向</w:t>
            </w:r>
          </w:p>
        </w:tc>
        <w:tc>
          <w:tcPr>
            <w:tcW w:w="2131" w:type="dxa"/>
            <w:vAlign w:val="center"/>
          </w:tcPr>
          <w:p w14:paraId="4754302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2131" w:type="dxa"/>
            <w:vAlign w:val="center"/>
          </w:tcPr>
          <w:p w14:paraId="03C8D1F1">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NE</w:t>
            </w:r>
          </w:p>
        </w:tc>
      </w:tr>
    </w:tbl>
    <w:p w14:paraId="6663F1B8">
      <w:pPr>
        <w:pStyle w:val="4"/>
        <w:keepNext/>
        <w:keepLines/>
        <w:tabs>
          <w:tab w:val="clear" w:pos="907"/>
          <w:tab w:val="clear" w:pos="1034"/>
        </w:tabs>
        <w:adjustRightInd/>
        <w:spacing w:before="156" w:beforeLines="50" w:after="156" w:afterLines="50"/>
        <w:ind w:firstLine="0" w:firstLineChars="0"/>
        <w:jc w:val="both"/>
        <w:rPr>
          <w:rFonts w:hint="default" w:eastAsia="宋体"/>
          <w:bCs/>
          <w:color w:val="000000" w:themeColor="text1"/>
          <w:sz w:val="28"/>
          <w:szCs w:val="32"/>
          <w:lang w:val="en-US" w:eastAsia="zh-CN"/>
          <w14:textFill>
            <w14:solidFill>
              <w14:schemeClr w14:val="tx1"/>
            </w14:solidFill>
          </w14:textFill>
        </w:rPr>
      </w:pPr>
      <w:r>
        <w:rPr>
          <w:bCs/>
          <w:color w:val="000000" w:themeColor="text1"/>
          <w:sz w:val="28"/>
          <w:szCs w:val="32"/>
          <w14:textFill>
            <w14:solidFill>
              <w14:schemeClr w14:val="tx1"/>
            </w14:solidFill>
          </w14:textFill>
        </w:rPr>
        <w:t>4.</w:t>
      </w:r>
      <w:r>
        <w:rPr>
          <w:rFonts w:hint="eastAsia"/>
          <w:bCs/>
          <w:color w:val="000000" w:themeColor="text1"/>
          <w:sz w:val="28"/>
          <w:szCs w:val="32"/>
          <w14:textFill>
            <w14:solidFill>
              <w14:schemeClr w14:val="tx1"/>
            </w14:solidFill>
          </w14:textFill>
        </w:rPr>
        <w:t>2</w:t>
      </w:r>
      <w:r>
        <w:rPr>
          <w:bCs/>
          <w:color w:val="000000" w:themeColor="text1"/>
          <w:sz w:val="28"/>
          <w:szCs w:val="32"/>
          <w14:textFill>
            <w14:solidFill>
              <w14:schemeClr w14:val="tx1"/>
            </w14:solidFill>
          </w14:textFill>
        </w:rPr>
        <w:t>.5</w:t>
      </w:r>
      <w:r>
        <w:rPr>
          <w:rFonts w:hint="eastAsia"/>
          <w:bCs/>
          <w:color w:val="000000" w:themeColor="text1"/>
          <w:sz w:val="28"/>
          <w:szCs w:val="32"/>
          <w14:textFill>
            <w14:solidFill>
              <w14:schemeClr w14:val="tx1"/>
            </w14:solidFill>
          </w14:textFill>
        </w:rPr>
        <w:t>矿产</w:t>
      </w:r>
      <w:r>
        <w:rPr>
          <w:bCs/>
          <w:color w:val="000000" w:themeColor="text1"/>
          <w:sz w:val="28"/>
          <w:szCs w:val="32"/>
          <w14:textFill>
            <w14:solidFill>
              <w14:schemeClr w14:val="tx1"/>
            </w14:solidFill>
          </w14:textFill>
        </w:rPr>
        <w:t>资源</w:t>
      </w:r>
      <w:r>
        <w:rPr>
          <w:rFonts w:hint="eastAsia"/>
          <w:bCs/>
          <w:color w:val="000000" w:themeColor="text1"/>
          <w:sz w:val="28"/>
          <w:szCs w:val="32"/>
          <w:lang w:val="en-US" w:eastAsia="zh-CN"/>
          <w14:textFill>
            <w14:solidFill>
              <w14:schemeClr w14:val="tx1"/>
            </w14:solidFill>
          </w14:textFill>
        </w:rPr>
        <w:t>与文物</w:t>
      </w:r>
    </w:p>
    <w:p w14:paraId="233D11BD">
      <w:pPr>
        <w:ind w:firstLine="48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根据在巴州自然资源局与文物部门调查了解，线路沿线均不压覆具有探矿权及开采权的矿产资源，亦无己发现文物、古迹遗存。最终结论以国土及文物部门出具的相关意见为准。</w:t>
      </w:r>
    </w:p>
    <w:p w14:paraId="78DE36BB">
      <w:pPr>
        <w:pStyle w:val="3"/>
        <w:keepNext/>
        <w:keepLines/>
        <w:tabs>
          <w:tab w:val="clear" w:pos="420"/>
          <w:tab w:val="clear" w:pos="907"/>
          <w:tab w:val="clear" w:pos="1267"/>
        </w:tabs>
        <w:adjustRightInd/>
        <w:spacing w:before="156" w:beforeLines="50" w:after="156" w:afterLines="50"/>
        <w:rPr>
          <w:color w:val="000000" w:themeColor="text1"/>
          <w:szCs w:val="32"/>
          <w14:textFill>
            <w14:solidFill>
              <w14:schemeClr w14:val="tx1"/>
            </w14:solidFill>
          </w14:textFill>
        </w:rPr>
      </w:pPr>
      <w:bookmarkStart w:id="634" w:name="_Toc12139"/>
      <w:bookmarkStart w:id="635" w:name="_Toc15947"/>
      <w:bookmarkStart w:id="636" w:name="_Toc14500"/>
      <w:bookmarkStart w:id="637" w:name="_Toc23512"/>
      <w:bookmarkStart w:id="638" w:name="_Toc10805"/>
      <w:bookmarkStart w:id="639" w:name="_Toc4650"/>
      <w:bookmarkStart w:id="640" w:name="_Toc31914"/>
      <w:bookmarkStart w:id="641" w:name="_Toc23083"/>
      <w:bookmarkStart w:id="642" w:name="_Toc24068"/>
      <w:bookmarkStart w:id="643" w:name="_Toc26354"/>
      <w:bookmarkStart w:id="644" w:name="_Toc26630"/>
      <w:r>
        <w:rPr>
          <w:color w:val="000000" w:themeColor="text1"/>
          <w:szCs w:val="32"/>
          <w14:textFill>
            <w14:solidFill>
              <w14:schemeClr w14:val="tx1"/>
            </w14:solidFill>
          </w14:textFill>
        </w:rPr>
        <w:t>4.3</w:t>
      </w:r>
      <w:r>
        <w:rPr>
          <w:rFonts w:hint="eastAsia"/>
          <w:color w:val="000000" w:themeColor="text1"/>
          <w:szCs w:val="32"/>
          <w14:textFill>
            <w14:solidFill>
              <w14:schemeClr w14:val="tx1"/>
            </w14:solidFill>
          </w14:textFill>
        </w:rPr>
        <w:t>电磁环境</w:t>
      </w:r>
      <w:bookmarkEnd w:id="634"/>
      <w:bookmarkEnd w:id="635"/>
      <w:bookmarkEnd w:id="636"/>
      <w:bookmarkEnd w:id="637"/>
      <w:bookmarkEnd w:id="638"/>
      <w:bookmarkEnd w:id="639"/>
      <w:bookmarkEnd w:id="640"/>
      <w:bookmarkEnd w:id="641"/>
      <w:bookmarkEnd w:id="642"/>
      <w:r>
        <w:rPr>
          <w:rFonts w:hint="eastAsia"/>
          <w:color w:val="000000" w:themeColor="text1"/>
          <w:szCs w:val="32"/>
          <w14:textFill>
            <w14:solidFill>
              <w14:schemeClr w14:val="tx1"/>
            </w14:solidFill>
          </w14:textFill>
        </w:rPr>
        <w:t>现状评价</w:t>
      </w:r>
      <w:bookmarkEnd w:id="643"/>
      <w:bookmarkEnd w:id="644"/>
    </w:p>
    <w:p w14:paraId="7FE6912D">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645" w:name="_Toc25241"/>
      <w:bookmarkStart w:id="646" w:name="_Toc3656"/>
      <w:bookmarkStart w:id="647" w:name="_Toc8626"/>
      <w:bookmarkStart w:id="648" w:name="_Toc9091"/>
      <w:bookmarkStart w:id="649" w:name="_Toc4757"/>
      <w:bookmarkStart w:id="650" w:name="_Toc7034"/>
      <w:bookmarkStart w:id="651" w:name="_Toc1615"/>
      <w:bookmarkStart w:id="652" w:name="_Toc26713"/>
      <w:bookmarkStart w:id="653" w:name="_Toc1382"/>
      <w:bookmarkStart w:id="654" w:name="_Toc4820"/>
      <w:r>
        <w:rPr>
          <w:bCs/>
          <w:color w:val="000000" w:themeColor="text1"/>
          <w:sz w:val="28"/>
          <w:szCs w:val="32"/>
          <w14:textFill>
            <w14:solidFill>
              <w14:schemeClr w14:val="tx1"/>
            </w14:solidFill>
          </w14:textFill>
        </w:rPr>
        <w:t>4.3.1</w:t>
      </w:r>
      <w:r>
        <w:rPr>
          <w:rFonts w:hint="eastAsia"/>
          <w:bCs/>
          <w:color w:val="000000" w:themeColor="text1"/>
          <w:sz w:val="28"/>
          <w:szCs w:val="32"/>
          <w14:textFill>
            <w14:solidFill>
              <w14:schemeClr w14:val="tx1"/>
            </w14:solidFill>
          </w14:textFill>
        </w:rPr>
        <w:t>监测因子</w:t>
      </w:r>
      <w:bookmarkEnd w:id="645"/>
      <w:bookmarkEnd w:id="646"/>
      <w:bookmarkEnd w:id="647"/>
      <w:bookmarkEnd w:id="648"/>
      <w:bookmarkEnd w:id="649"/>
      <w:bookmarkEnd w:id="650"/>
      <w:bookmarkEnd w:id="651"/>
      <w:bookmarkEnd w:id="652"/>
      <w:bookmarkEnd w:id="653"/>
      <w:bookmarkEnd w:id="654"/>
    </w:p>
    <w:p w14:paraId="4B5C654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各监测点距离地面1.5m高度处的工频电场强度和工频磁感应强度。</w:t>
      </w:r>
    </w:p>
    <w:p w14:paraId="32A55CD5">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655" w:name="_Toc20767"/>
      <w:bookmarkStart w:id="656" w:name="_Toc26678"/>
      <w:bookmarkStart w:id="657" w:name="_Toc23807"/>
      <w:bookmarkStart w:id="658" w:name="_Toc12966"/>
      <w:bookmarkStart w:id="659" w:name="_Toc12182"/>
      <w:bookmarkStart w:id="660" w:name="_Toc1985"/>
      <w:bookmarkStart w:id="661" w:name="_Toc15716"/>
      <w:bookmarkStart w:id="662" w:name="_Toc9143"/>
      <w:bookmarkStart w:id="663" w:name="_Toc1052"/>
      <w:bookmarkStart w:id="664" w:name="_Toc13194"/>
      <w:r>
        <w:rPr>
          <w:bCs/>
          <w:color w:val="000000" w:themeColor="text1"/>
          <w:sz w:val="28"/>
          <w:szCs w:val="32"/>
          <w14:textFill>
            <w14:solidFill>
              <w14:schemeClr w14:val="tx1"/>
            </w14:solidFill>
          </w14:textFill>
        </w:rPr>
        <w:t>4.3.2</w:t>
      </w:r>
      <w:r>
        <w:rPr>
          <w:rFonts w:hint="eastAsia"/>
          <w:bCs/>
          <w:color w:val="000000" w:themeColor="text1"/>
          <w:sz w:val="28"/>
          <w:szCs w:val="32"/>
          <w14:textFill>
            <w14:solidFill>
              <w14:schemeClr w14:val="tx1"/>
            </w14:solidFill>
          </w14:textFill>
        </w:rPr>
        <w:t>监测点位及布点方法</w:t>
      </w:r>
      <w:bookmarkEnd w:id="655"/>
      <w:bookmarkEnd w:id="656"/>
      <w:bookmarkEnd w:id="657"/>
      <w:bookmarkEnd w:id="658"/>
      <w:bookmarkEnd w:id="659"/>
      <w:bookmarkEnd w:id="660"/>
      <w:bookmarkEnd w:id="661"/>
      <w:bookmarkEnd w:id="662"/>
      <w:bookmarkEnd w:id="663"/>
      <w:bookmarkEnd w:id="664"/>
    </w:p>
    <w:p w14:paraId="0CE738A4">
      <w:pPr>
        <w:snapToGrid w:val="0"/>
        <w:ind w:firstLine="480"/>
        <w:jc w:val="left"/>
        <w:rPr>
          <w:color w:val="000000" w:themeColor="text1"/>
          <w14:textFill>
            <w14:solidFill>
              <w14:schemeClr w14:val="tx1"/>
            </w14:solidFill>
          </w14:textFill>
        </w:rPr>
      </w:pPr>
      <w:r>
        <w:rPr>
          <w:color w:val="000000" w:themeColor="text1"/>
          <w14:textFill>
            <w14:solidFill>
              <w14:schemeClr w14:val="tx1"/>
            </w14:solidFill>
          </w14:textFill>
        </w:rPr>
        <w:t>根据《环境影响评价技术导则 输变电》（HJ24-2020）</w:t>
      </w:r>
      <w:r>
        <w:rPr>
          <w:rFonts w:hint="eastAsia"/>
          <w:color w:val="000000" w:themeColor="text1"/>
          <w14:textFill>
            <w14:solidFill>
              <w14:schemeClr w14:val="tx1"/>
            </w14:solidFill>
          </w14:textFill>
        </w:rPr>
        <w:t>监测要求，结合现场踏勘结果，本项目新建线路折单长度38.4km，其中单回路架设38.2km，同塔双回路架设2×0.1km（若羌换流站侧终端塔采用双回路角钢塔），线路沿线无电磁环境敏感目标，环境条件基本一致，因此线路沿线均匀布点，共布设4个电磁环境监测点，符合导则要求。</w:t>
      </w:r>
    </w:p>
    <w:p w14:paraId="1D749637">
      <w:pPr>
        <w:snapToGrid w:val="0"/>
        <w:ind w:firstLine="48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本工程电磁环境现状监测布点具体见表4.3-1，监测布点见图4.3-1。</w:t>
      </w:r>
    </w:p>
    <w:p w14:paraId="1CB37D05">
      <w:pPr>
        <w:ind w:firstLine="422"/>
        <w:jc w:val="center"/>
        <w:rPr>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w:t>
      </w:r>
      <w:r>
        <w:rPr>
          <w:rFonts w:hint="eastAsia"/>
          <w:b/>
          <w:bCs/>
          <w:color w:val="000000" w:themeColor="text1"/>
          <w:sz w:val="21"/>
          <w:szCs w:val="21"/>
          <w14:textFill>
            <w14:solidFill>
              <w14:schemeClr w14:val="tx1"/>
            </w14:solidFill>
          </w14:textFill>
        </w:rPr>
        <w:t>4.3-</w:t>
      </w:r>
      <w:r>
        <w:rPr>
          <w:b/>
          <w:bCs/>
          <w:color w:val="000000" w:themeColor="text1"/>
          <w:sz w:val="21"/>
          <w:szCs w:val="21"/>
          <w14:textFill>
            <w14:solidFill>
              <w14:schemeClr w14:val="tx1"/>
            </w14:solidFill>
          </w14:textFill>
        </w:rPr>
        <w:t>1  工频电场、工频磁场现状监测点</w:t>
      </w:r>
      <w:r>
        <w:rPr>
          <w:rFonts w:hint="eastAsia"/>
          <w:b/>
          <w:bCs/>
          <w:color w:val="000000" w:themeColor="text1"/>
          <w:sz w:val="21"/>
          <w:szCs w:val="21"/>
          <w14:textFill>
            <w14:solidFill>
              <w14:schemeClr w14:val="tx1"/>
            </w14:solidFill>
          </w14:textFill>
        </w:rPr>
        <w:t>一览表</w:t>
      </w:r>
    </w:p>
    <w:tbl>
      <w:tblPr>
        <w:tblStyle w:val="2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91"/>
        <w:gridCol w:w="2330"/>
        <w:gridCol w:w="3278"/>
        <w:gridCol w:w="1820"/>
      </w:tblGrid>
      <w:tr w14:paraId="5C275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40" w:type="pct"/>
            <w:tcBorders>
              <w:tl2br w:val="nil"/>
              <w:tr2bl w:val="nil"/>
            </w:tcBorders>
            <w:vAlign w:val="center"/>
          </w:tcPr>
          <w:p w14:paraId="2CCFF5C5">
            <w:pPr>
              <w:pStyle w:val="17"/>
              <w:spacing w:line="240" w:lineRule="auto"/>
              <w:ind w:left="0"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编号</w:t>
            </w:r>
          </w:p>
        </w:tc>
        <w:tc>
          <w:tcPr>
            <w:tcW w:w="1367" w:type="pct"/>
            <w:tcBorders>
              <w:tl2br w:val="nil"/>
              <w:tr2bl w:val="nil"/>
            </w:tcBorders>
            <w:vAlign w:val="center"/>
          </w:tcPr>
          <w:p w14:paraId="41144EF3">
            <w:pPr>
              <w:pStyle w:val="17"/>
              <w:spacing w:line="240" w:lineRule="auto"/>
              <w:ind w:left="0"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监测点名称</w:t>
            </w:r>
          </w:p>
        </w:tc>
        <w:tc>
          <w:tcPr>
            <w:tcW w:w="1923" w:type="pct"/>
            <w:tcBorders>
              <w:tl2br w:val="nil"/>
              <w:tr2bl w:val="nil"/>
            </w:tcBorders>
            <w:vAlign w:val="center"/>
          </w:tcPr>
          <w:p w14:paraId="43258596">
            <w:pPr>
              <w:pStyle w:val="17"/>
              <w:spacing w:line="240" w:lineRule="auto"/>
              <w:ind w:left="0"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监测点坐标</w:t>
            </w:r>
          </w:p>
        </w:tc>
        <w:tc>
          <w:tcPr>
            <w:tcW w:w="1068" w:type="pct"/>
            <w:tcBorders>
              <w:tl2br w:val="nil"/>
              <w:tr2bl w:val="nil"/>
            </w:tcBorders>
            <w:vAlign w:val="center"/>
          </w:tcPr>
          <w:p w14:paraId="1182A602">
            <w:pPr>
              <w:pStyle w:val="17"/>
              <w:spacing w:line="240" w:lineRule="auto"/>
              <w:ind w:left="0"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kern w:val="0"/>
                <w:sz w:val="21"/>
                <w:szCs w:val="21"/>
                <w14:textFill>
                  <w14:solidFill>
                    <w14:schemeClr w14:val="tx1"/>
                  </w14:solidFill>
                </w14:textFill>
              </w:rPr>
              <w:t>监测因子</w:t>
            </w:r>
          </w:p>
        </w:tc>
      </w:tr>
      <w:tr w14:paraId="6B146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40" w:type="pct"/>
            <w:tcBorders>
              <w:tl2br w:val="nil"/>
              <w:tr2bl w:val="nil"/>
            </w:tcBorders>
            <w:vAlign w:val="center"/>
          </w:tcPr>
          <w:p w14:paraId="6D5CD6A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E1</w:t>
            </w:r>
          </w:p>
        </w:tc>
        <w:tc>
          <w:tcPr>
            <w:tcW w:w="1367" w:type="pct"/>
            <w:tcBorders>
              <w:tl2br w:val="nil"/>
              <w:tr2bl w:val="nil"/>
            </w:tcBorders>
            <w:vAlign w:val="center"/>
          </w:tcPr>
          <w:p w14:paraId="1DA2B016">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输电线路起点</w:t>
            </w:r>
          </w:p>
        </w:tc>
        <w:tc>
          <w:tcPr>
            <w:tcW w:w="1923" w:type="pct"/>
            <w:tcBorders>
              <w:tl2br w:val="nil"/>
              <w:tr2bl w:val="nil"/>
            </w:tcBorders>
            <w:vAlign w:val="center"/>
          </w:tcPr>
          <w:p w14:paraId="054A0E7E">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w:t>
            </w:r>
            <w:r>
              <w:rPr>
                <w:color w:val="000000" w:themeColor="text1"/>
                <w:sz w:val="21"/>
                <w:szCs w:val="21"/>
                <w14:textFill>
                  <w14:solidFill>
                    <w14:schemeClr w14:val="tx1"/>
                  </w14:solidFill>
                </w14:textFill>
              </w:rPr>
              <w:t>88°31′32.625″</w:t>
            </w:r>
            <w:r>
              <w:rPr>
                <w:rFonts w:hint="eastAsia"/>
                <w:color w:val="000000" w:themeColor="text1"/>
                <w:sz w:val="21"/>
                <w:szCs w:val="21"/>
                <w14:textFill>
                  <w14:solidFill>
                    <w14:schemeClr w14:val="tx1"/>
                  </w14:solidFill>
                </w14:textFill>
              </w:rPr>
              <w:t>，N</w:t>
            </w:r>
            <w:r>
              <w:rPr>
                <w:color w:val="000000" w:themeColor="text1"/>
                <w:sz w:val="21"/>
                <w:szCs w:val="21"/>
                <w14:textFill>
                  <w14:solidFill>
                    <w14:schemeClr w14:val="tx1"/>
                  </w14:solidFill>
                </w14:textFill>
              </w:rPr>
              <w:t>38°58′2.01</w:t>
            </w: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w:t>
            </w:r>
          </w:p>
        </w:tc>
        <w:tc>
          <w:tcPr>
            <w:tcW w:w="1068" w:type="pct"/>
            <w:vMerge w:val="restart"/>
            <w:tcBorders>
              <w:tl2br w:val="nil"/>
              <w:tr2bl w:val="nil"/>
            </w:tcBorders>
            <w:vAlign w:val="center"/>
          </w:tcPr>
          <w:p w14:paraId="051AAABB">
            <w:pPr>
              <w:pStyle w:val="17"/>
              <w:spacing w:line="240" w:lineRule="auto"/>
              <w:ind w:left="0" w:firstLine="0" w:firstLineChars="0"/>
              <w:jc w:val="center"/>
              <w:rPr>
                <w:rFonts w:ascii="Times New Roman" w:hAnsi="Times New Roman"/>
                <w:b/>
                <w:bCs/>
                <w:color w:val="000000" w:themeColor="text1"/>
                <w:kern w:val="0"/>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工频电场、工频磁场</w:t>
            </w:r>
          </w:p>
        </w:tc>
      </w:tr>
      <w:tr w14:paraId="77D92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40" w:type="pct"/>
            <w:tcBorders>
              <w:tl2br w:val="nil"/>
              <w:tr2bl w:val="nil"/>
            </w:tcBorders>
            <w:vAlign w:val="center"/>
          </w:tcPr>
          <w:p w14:paraId="09065CE5">
            <w:pPr>
              <w:spacing w:line="240" w:lineRule="auto"/>
              <w:ind w:firstLine="0" w:firstLineChars="0"/>
              <w:jc w:val="center"/>
              <w:rPr>
                <w:rFonts w:eastAsiaTheme="minor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E2</w:t>
            </w:r>
          </w:p>
        </w:tc>
        <w:tc>
          <w:tcPr>
            <w:tcW w:w="1367" w:type="pct"/>
            <w:tcBorders>
              <w:tl2br w:val="nil"/>
              <w:tr2bl w:val="nil"/>
            </w:tcBorders>
            <w:vAlign w:val="center"/>
          </w:tcPr>
          <w:p w14:paraId="54266294">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输电线路沿线1</w:t>
            </w:r>
          </w:p>
        </w:tc>
        <w:tc>
          <w:tcPr>
            <w:tcW w:w="1923" w:type="pct"/>
            <w:tcBorders>
              <w:tl2br w:val="nil"/>
              <w:tr2bl w:val="nil"/>
            </w:tcBorders>
            <w:vAlign w:val="center"/>
          </w:tcPr>
          <w:p w14:paraId="5FA0BA1B">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w:t>
            </w:r>
            <w:r>
              <w:rPr>
                <w:color w:val="000000" w:themeColor="text1"/>
                <w:sz w:val="21"/>
                <w:szCs w:val="21"/>
                <w14:textFill>
                  <w14:solidFill>
                    <w14:schemeClr w14:val="tx1"/>
                  </w14:solidFill>
                </w14:textFill>
              </w:rPr>
              <w:t>88°30′10.43</w:t>
            </w:r>
            <w:r>
              <w:rPr>
                <w:rFonts w:hint="eastAsia"/>
                <w:color w:val="000000" w:themeColor="text1"/>
                <w:sz w:val="21"/>
                <w:szCs w:val="21"/>
                <w14:textFill>
                  <w14:solidFill>
                    <w14:schemeClr w14:val="tx1"/>
                  </w14:solidFill>
                </w14:textFill>
              </w:rPr>
              <w:t>4</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，N</w:t>
            </w:r>
            <w:r>
              <w:rPr>
                <w:color w:val="000000" w:themeColor="text1"/>
                <w:sz w:val="21"/>
                <w:szCs w:val="21"/>
                <w14:textFill>
                  <w14:solidFill>
                    <w14:schemeClr w14:val="tx1"/>
                  </w14:solidFill>
                </w14:textFill>
              </w:rPr>
              <w:t>38°59′19.012″</w:t>
            </w:r>
          </w:p>
        </w:tc>
        <w:tc>
          <w:tcPr>
            <w:tcW w:w="1068" w:type="pct"/>
            <w:vMerge w:val="continue"/>
            <w:tcBorders>
              <w:tl2br w:val="nil"/>
              <w:tr2bl w:val="nil"/>
            </w:tcBorders>
            <w:vAlign w:val="center"/>
          </w:tcPr>
          <w:p w14:paraId="34107EB1">
            <w:pPr>
              <w:pStyle w:val="17"/>
              <w:spacing w:line="240" w:lineRule="auto"/>
              <w:ind w:left="0" w:firstLine="0" w:firstLineChars="0"/>
              <w:jc w:val="center"/>
              <w:rPr>
                <w:rFonts w:ascii="Times New Roman" w:hAnsi="Times New Roman"/>
                <w:color w:val="000000" w:themeColor="text1"/>
                <w:sz w:val="21"/>
                <w:szCs w:val="21"/>
                <w14:textFill>
                  <w14:solidFill>
                    <w14:schemeClr w14:val="tx1"/>
                  </w14:solidFill>
                </w14:textFill>
              </w:rPr>
            </w:pPr>
          </w:p>
        </w:tc>
      </w:tr>
      <w:tr w14:paraId="48CE7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40" w:type="pct"/>
            <w:tcBorders>
              <w:tl2br w:val="nil"/>
              <w:tr2bl w:val="nil"/>
            </w:tcBorders>
            <w:vAlign w:val="center"/>
          </w:tcPr>
          <w:p w14:paraId="5FCCEDEE">
            <w:pPr>
              <w:spacing w:line="240" w:lineRule="auto"/>
              <w:ind w:firstLine="0" w:firstLineChars="0"/>
              <w:jc w:val="center"/>
              <w:rPr>
                <w:rFonts w:eastAsiaTheme="minor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E3</w:t>
            </w:r>
          </w:p>
        </w:tc>
        <w:tc>
          <w:tcPr>
            <w:tcW w:w="1367" w:type="pct"/>
            <w:tcBorders>
              <w:tl2br w:val="nil"/>
              <w:tr2bl w:val="nil"/>
            </w:tcBorders>
            <w:vAlign w:val="center"/>
          </w:tcPr>
          <w:p w14:paraId="53D0B4F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输电线路沿线2</w:t>
            </w:r>
          </w:p>
        </w:tc>
        <w:tc>
          <w:tcPr>
            <w:tcW w:w="1923" w:type="pct"/>
            <w:tcBorders>
              <w:tl2br w:val="nil"/>
              <w:tr2bl w:val="nil"/>
            </w:tcBorders>
            <w:vAlign w:val="center"/>
          </w:tcPr>
          <w:p w14:paraId="08BBBBC8">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w:t>
            </w:r>
            <w:r>
              <w:rPr>
                <w:color w:val="000000" w:themeColor="text1"/>
                <w:sz w:val="21"/>
                <w:szCs w:val="21"/>
                <w14:textFill>
                  <w14:solidFill>
                    <w14:schemeClr w14:val="tx1"/>
                  </w14:solidFill>
                </w14:textFill>
              </w:rPr>
              <w:t>88°28′2.685″</w:t>
            </w:r>
            <w:r>
              <w:rPr>
                <w:rFonts w:hint="eastAsia"/>
                <w:color w:val="000000" w:themeColor="text1"/>
                <w:sz w:val="21"/>
                <w:szCs w:val="21"/>
                <w14:textFill>
                  <w14:solidFill>
                    <w14:schemeClr w14:val="tx1"/>
                  </w14:solidFill>
                </w14:textFill>
              </w:rPr>
              <w:t>，N</w:t>
            </w:r>
            <w:r>
              <w:rPr>
                <w:color w:val="000000" w:themeColor="text1"/>
                <w:sz w:val="21"/>
                <w:szCs w:val="21"/>
                <w14:textFill>
                  <w14:solidFill>
                    <w14:schemeClr w14:val="tx1"/>
                  </w14:solidFill>
                </w14:textFill>
              </w:rPr>
              <w:t>39°0′19.48</w:t>
            </w:r>
            <w:r>
              <w:rPr>
                <w:rFonts w:hint="eastAsia"/>
                <w:color w:val="000000" w:themeColor="text1"/>
                <w:sz w:val="21"/>
                <w:szCs w:val="21"/>
                <w14:textFill>
                  <w14:solidFill>
                    <w14:schemeClr w14:val="tx1"/>
                  </w14:solidFill>
                </w14:textFill>
              </w:rPr>
              <w:t>3</w:t>
            </w:r>
            <w:r>
              <w:rPr>
                <w:color w:val="000000" w:themeColor="text1"/>
                <w:sz w:val="21"/>
                <w:szCs w:val="21"/>
                <w14:textFill>
                  <w14:solidFill>
                    <w14:schemeClr w14:val="tx1"/>
                  </w14:solidFill>
                </w14:textFill>
              </w:rPr>
              <w:t>″</w:t>
            </w:r>
          </w:p>
        </w:tc>
        <w:tc>
          <w:tcPr>
            <w:tcW w:w="1068" w:type="pct"/>
            <w:vMerge w:val="continue"/>
            <w:tcBorders>
              <w:tl2br w:val="nil"/>
              <w:tr2bl w:val="nil"/>
            </w:tcBorders>
            <w:vAlign w:val="center"/>
          </w:tcPr>
          <w:p w14:paraId="251F9CC8">
            <w:pPr>
              <w:pStyle w:val="17"/>
              <w:spacing w:line="240" w:lineRule="auto"/>
              <w:ind w:left="0" w:firstLine="0" w:firstLineChars="0"/>
              <w:jc w:val="center"/>
              <w:rPr>
                <w:rFonts w:ascii="Times New Roman" w:hAnsi="Times New Roman"/>
                <w:color w:val="000000" w:themeColor="text1"/>
                <w:sz w:val="21"/>
                <w:szCs w:val="21"/>
                <w14:textFill>
                  <w14:solidFill>
                    <w14:schemeClr w14:val="tx1"/>
                  </w14:solidFill>
                </w14:textFill>
              </w:rPr>
            </w:pPr>
          </w:p>
        </w:tc>
      </w:tr>
      <w:tr w14:paraId="3E6A3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640" w:type="pct"/>
            <w:tcBorders>
              <w:tl2br w:val="nil"/>
              <w:tr2bl w:val="nil"/>
            </w:tcBorders>
            <w:vAlign w:val="center"/>
          </w:tcPr>
          <w:p w14:paraId="33988E2A">
            <w:pPr>
              <w:spacing w:line="240" w:lineRule="auto"/>
              <w:ind w:firstLine="0" w:firstLineChars="0"/>
              <w:jc w:val="center"/>
              <w:rPr>
                <w:rFonts w:eastAsiaTheme="minor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E4</w:t>
            </w:r>
          </w:p>
        </w:tc>
        <w:tc>
          <w:tcPr>
            <w:tcW w:w="1367" w:type="pct"/>
            <w:tcBorders>
              <w:tl2br w:val="nil"/>
              <w:tr2bl w:val="nil"/>
            </w:tcBorders>
            <w:vAlign w:val="center"/>
          </w:tcPr>
          <w:p w14:paraId="7E92B7B9">
            <w:pPr>
              <w:autoSpaceDE w:val="0"/>
              <w:autoSpaceDN w:val="0"/>
              <w:adjustRightInd w:val="0"/>
              <w:spacing w:line="240" w:lineRule="auto"/>
              <w:ind w:firstLine="0" w:firstLineChars="0"/>
              <w:jc w:val="center"/>
              <w:textAlignment w:val="baseline"/>
              <w:rPr>
                <w:color w:val="000000" w:themeColor="text1"/>
                <w:sz w:val="21"/>
                <w:szCs w:val="21"/>
                <w14:textFill>
                  <w14:solidFill>
                    <w14:schemeClr w14:val="tx1"/>
                  </w14:solidFill>
                </w14:textFill>
              </w:rPr>
            </w:pPr>
            <w:r>
              <w:rPr>
                <w:color w:val="000000" w:themeColor="text1"/>
                <w:kern w:val="0"/>
                <w:sz w:val="21"/>
                <w:szCs w:val="21"/>
                <w14:textFill>
                  <w14:solidFill>
                    <w14:schemeClr w14:val="tx1"/>
                  </w14:solidFill>
                </w14:textFill>
              </w:rPr>
              <w:t>输电线路终点</w:t>
            </w:r>
          </w:p>
        </w:tc>
        <w:tc>
          <w:tcPr>
            <w:tcW w:w="1923" w:type="pct"/>
            <w:tcBorders>
              <w:tl2br w:val="nil"/>
              <w:tr2bl w:val="nil"/>
            </w:tcBorders>
            <w:vAlign w:val="center"/>
          </w:tcPr>
          <w:p w14:paraId="5D9F2592">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w:t>
            </w:r>
            <w:r>
              <w:rPr>
                <w:color w:val="000000" w:themeColor="text1"/>
                <w:sz w:val="21"/>
                <w:szCs w:val="21"/>
                <w14:textFill>
                  <w14:solidFill>
                    <w14:schemeClr w14:val="tx1"/>
                  </w14:solidFill>
                </w14:textFill>
              </w:rPr>
              <w:t>88°25′36.59</w:t>
            </w:r>
            <w:r>
              <w:rPr>
                <w:rFonts w:hint="eastAsia"/>
                <w:color w:val="000000" w:themeColor="text1"/>
                <w:sz w:val="21"/>
                <w:szCs w:val="21"/>
                <w14:textFill>
                  <w14:solidFill>
                    <w14:schemeClr w14:val="tx1"/>
                  </w14:solidFill>
                </w14:textFill>
              </w:rPr>
              <w:t>1</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，N</w:t>
            </w:r>
            <w:r>
              <w:rPr>
                <w:color w:val="000000" w:themeColor="text1"/>
                <w:sz w:val="21"/>
                <w:szCs w:val="21"/>
                <w14:textFill>
                  <w14:solidFill>
                    <w14:schemeClr w14:val="tx1"/>
                  </w14:solidFill>
                </w14:textFill>
              </w:rPr>
              <w:t>39°0′9.36</w:t>
            </w:r>
            <w:r>
              <w:rPr>
                <w:rFonts w:hint="eastAsia"/>
                <w:color w:val="000000" w:themeColor="text1"/>
                <w:sz w:val="21"/>
                <w:szCs w:val="21"/>
                <w14:textFill>
                  <w14:solidFill>
                    <w14:schemeClr w14:val="tx1"/>
                  </w14:solidFill>
                </w14:textFill>
              </w:rPr>
              <w:t>8</w:t>
            </w:r>
            <w:r>
              <w:rPr>
                <w:color w:val="000000" w:themeColor="text1"/>
                <w:sz w:val="21"/>
                <w:szCs w:val="21"/>
                <w14:textFill>
                  <w14:solidFill>
                    <w14:schemeClr w14:val="tx1"/>
                  </w14:solidFill>
                </w14:textFill>
              </w:rPr>
              <w:t>″</w:t>
            </w:r>
          </w:p>
        </w:tc>
        <w:tc>
          <w:tcPr>
            <w:tcW w:w="1068" w:type="pct"/>
            <w:vMerge w:val="continue"/>
            <w:tcBorders>
              <w:tl2br w:val="nil"/>
              <w:tr2bl w:val="nil"/>
            </w:tcBorders>
            <w:vAlign w:val="center"/>
          </w:tcPr>
          <w:p w14:paraId="3D714B80">
            <w:pPr>
              <w:pStyle w:val="17"/>
              <w:spacing w:line="240" w:lineRule="auto"/>
              <w:ind w:left="0" w:firstLine="0" w:firstLineChars="0"/>
              <w:jc w:val="center"/>
              <w:rPr>
                <w:rFonts w:ascii="Times New Roman" w:hAnsi="Times New Roman"/>
                <w:color w:val="000000" w:themeColor="text1"/>
                <w:sz w:val="21"/>
                <w:szCs w:val="21"/>
                <w14:textFill>
                  <w14:solidFill>
                    <w14:schemeClr w14:val="tx1"/>
                  </w14:solidFill>
                </w14:textFill>
              </w:rPr>
            </w:pPr>
          </w:p>
        </w:tc>
      </w:tr>
    </w:tbl>
    <w:p w14:paraId="0B06AB66">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665" w:name="_Toc14226"/>
      <w:bookmarkStart w:id="666" w:name="_Toc20021"/>
      <w:bookmarkStart w:id="667" w:name="_Toc7553"/>
      <w:bookmarkStart w:id="668" w:name="_Toc7582"/>
      <w:bookmarkStart w:id="669" w:name="_Toc3856"/>
      <w:bookmarkStart w:id="670" w:name="_Toc1816"/>
      <w:bookmarkStart w:id="671" w:name="_Toc8018"/>
      <w:bookmarkStart w:id="672" w:name="_Toc29122"/>
      <w:bookmarkStart w:id="673" w:name="_Toc21585"/>
      <w:bookmarkStart w:id="674" w:name="_Toc6798"/>
      <w:bookmarkStart w:id="675" w:name="_Toc10364"/>
      <w:r>
        <w:rPr>
          <w:bCs/>
          <w:color w:val="000000" w:themeColor="text1"/>
          <w:sz w:val="28"/>
          <w:szCs w:val="32"/>
          <w14:textFill>
            <w14:solidFill>
              <w14:schemeClr w14:val="tx1"/>
            </w14:solidFill>
          </w14:textFill>
        </w:rPr>
        <w:t>4.3.3监测频次</w:t>
      </w:r>
      <w:bookmarkEnd w:id="665"/>
      <w:bookmarkEnd w:id="666"/>
      <w:bookmarkEnd w:id="667"/>
      <w:bookmarkEnd w:id="668"/>
      <w:bookmarkEnd w:id="669"/>
      <w:bookmarkEnd w:id="670"/>
      <w:bookmarkEnd w:id="671"/>
      <w:bookmarkEnd w:id="672"/>
      <w:bookmarkEnd w:id="673"/>
      <w:bookmarkEnd w:id="674"/>
      <w:bookmarkEnd w:id="675"/>
    </w:p>
    <w:p w14:paraId="19EA1491">
      <w:pPr>
        <w:pStyle w:val="11"/>
        <w:ind w:firstLine="480"/>
        <w:rPr>
          <w:rFonts w:ascii="Times New Roman" w:hAnsi="Times New Roman"/>
          <w:color w:val="000000" w:themeColor="text1"/>
          <w:szCs w:val="24"/>
          <w:u w:val="single"/>
          <w14:textFill>
            <w14:solidFill>
              <w14:schemeClr w14:val="tx1"/>
            </w14:solidFill>
          </w14:textFill>
        </w:rPr>
      </w:pPr>
      <w:r>
        <w:rPr>
          <w:rFonts w:ascii="Times New Roman" w:hAnsi="Times New Roman"/>
          <w:color w:val="000000" w:themeColor="text1"/>
          <w:szCs w:val="24"/>
          <w14:textFill>
            <w14:solidFill>
              <w14:schemeClr w14:val="tx1"/>
            </w14:solidFill>
          </w14:textFill>
        </w:rPr>
        <w:t>各监测点位监测一次。</w:t>
      </w:r>
    </w:p>
    <w:p w14:paraId="4423AE1B">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676" w:name="_Toc27854"/>
      <w:bookmarkStart w:id="677" w:name="_Toc22160"/>
      <w:bookmarkStart w:id="678" w:name="_Toc8300"/>
      <w:bookmarkStart w:id="679" w:name="_Toc3085"/>
      <w:bookmarkStart w:id="680" w:name="_Toc28477"/>
      <w:bookmarkStart w:id="681" w:name="_Toc11353"/>
      <w:bookmarkStart w:id="682" w:name="_Toc24644"/>
      <w:bookmarkStart w:id="683" w:name="_Toc20122"/>
      <w:bookmarkStart w:id="684" w:name="_Toc30632"/>
      <w:bookmarkStart w:id="685" w:name="_Toc6376"/>
      <w:bookmarkStart w:id="686" w:name="_Toc22106"/>
      <w:r>
        <w:rPr>
          <w:bCs/>
          <w:color w:val="000000" w:themeColor="text1"/>
          <w:sz w:val="28"/>
          <w:szCs w:val="32"/>
          <w14:textFill>
            <w14:solidFill>
              <w14:schemeClr w14:val="tx1"/>
            </w14:solidFill>
          </w14:textFill>
        </w:rPr>
        <w:t>4.3.4监测方法及仪器</w:t>
      </w:r>
      <w:bookmarkEnd w:id="676"/>
      <w:bookmarkEnd w:id="677"/>
      <w:bookmarkEnd w:id="678"/>
      <w:bookmarkEnd w:id="679"/>
      <w:bookmarkEnd w:id="680"/>
      <w:bookmarkEnd w:id="681"/>
      <w:bookmarkEnd w:id="682"/>
      <w:bookmarkEnd w:id="683"/>
      <w:bookmarkEnd w:id="684"/>
      <w:bookmarkEnd w:id="685"/>
      <w:bookmarkEnd w:id="686"/>
    </w:p>
    <w:p w14:paraId="27DB1AD3">
      <w:pPr>
        <w:ind w:firstLine="480"/>
        <w:rPr>
          <w:color w:val="000000" w:themeColor="text1"/>
          <w14:textFill>
            <w14:solidFill>
              <w14:schemeClr w14:val="tx1"/>
            </w14:solidFill>
          </w14:textFill>
        </w:rPr>
      </w:pPr>
      <w:r>
        <w:rPr>
          <w:color w:val="000000" w:themeColor="text1"/>
          <w14:textFill>
            <w14:solidFill>
              <w14:schemeClr w14:val="tx1"/>
            </w14:solidFill>
          </w14:textFill>
        </w:rPr>
        <w:t>（1）监测方法</w:t>
      </w:r>
    </w:p>
    <w:p w14:paraId="1BA0E267">
      <w:pPr>
        <w:ind w:firstLine="480"/>
        <w:rPr>
          <w:color w:val="000000" w:themeColor="text1"/>
          <w14:textFill>
            <w14:solidFill>
              <w14:schemeClr w14:val="tx1"/>
            </w14:solidFill>
          </w14:textFill>
        </w:rPr>
      </w:pPr>
      <w:r>
        <w:rPr>
          <w:color w:val="000000" w:themeColor="text1"/>
          <w14:textFill>
            <w14:solidFill>
              <w14:schemeClr w14:val="tx1"/>
            </w14:solidFill>
          </w14:textFill>
        </w:rPr>
        <w:t>《交流输变电工程电磁环境监测方法（试行）》（HJ681-2013）</w:t>
      </w:r>
      <w:r>
        <w:rPr>
          <w:rFonts w:hint="eastAsia"/>
          <w:color w:val="000000" w:themeColor="text1"/>
          <w14:textFill>
            <w14:solidFill>
              <w14:schemeClr w14:val="tx1"/>
            </w14:solidFill>
          </w14:textFill>
        </w:rPr>
        <w:t>。</w:t>
      </w:r>
    </w:p>
    <w:p w14:paraId="061A436B">
      <w:pPr>
        <w:ind w:firstLine="480"/>
        <w:rPr>
          <w:color w:val="000000" w:themeColor="text1"/>
          <w14:textFill>
            <w14:solidFill>
              <w14:schemeClr w14:val="tx1"/>
            </w14:solidFill>
          </w14:textFill>
        </w:rPr>
      </w:pPr>
      <w:r>
        <w:rPr>
          <w:color w:val="000000" w:themeColor="text1"/>
          <w14:textFill>
            <w14:solidFill>
              <w14:schemeClr w14:val="tx1"/>
            </w14:solidFill>
          </w14:textFill>
        </w:rPr>
        <w:t>（2）监测仪器</w:t>
      </w:r>
    </w:p>
    <w:p w14:paraId="3899039D">
      <w:pPr>
        <w:ind w:firstLine="480"/>
        <w:rPr>
          <w:color w:val="000000" w:themeColor="text1"/>
          <w14:textFill>
            <w14:solidFill>
              <w14:schemeClr w14:val="tx1"/>
            </w14:solidFill>
          </w14:textFill>
        </w:rPr>
      </w:pPr>
      <w:r>
        <w:rPr>
          <w:color w:val="000000" w:themeColor="text1"/>
          <w14:textFill>
            <w14:solidFill>
              <w14:schemeClr w14:val="tx1"/>
            </w14:solidFill>
          </w14:textFill>
        </w:rPr>
        <w:t>电磁环境现状监测仪器一览表见</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"../../../Admin/Desktop/评审项目/(标注1)1-包头英华500kV输变电工程2021.12.17.doc" \l "表42" </w:instrText>
      </w:r>
      <w:r>
        <w:rPr>
          <w:color w:val="000000" w:themeColor="text1"/>
          <w14:textFill>
            <w14:solidFill>
              <w14:schemeClr w14:val="tx1"/>
            </w14:solidFill>
          </w14:textFill>
        </w:rPr>
        <w:fldChar w:fldCharType="separate"/>
      </w:r>
      <w:r>
        <w:rPr>
          <w:rStyle w:val="31"/>
          <w:color w:val="000000" w:themeColor="text1"/>
          <w:u w:val="none"/>
          <w14:textFill>
            <w14:solidFill>
              <w14:schemeClr w14:val="tx1"/>
            </w14:solidFill>
          </w14:textFill>
        </w:rPr>
        <w:t>表4.3-</w:t>
      </w:r>
      <w:r>
        <w:rPr>
          <w:rStyle w:val="31"/>
          <w:color w:val="000000" w:themeColor="text1"/>
          <w:u w:val="none"/>
          <w14:textFill>
            <w14:solidFill>
              <w14:schemeClr w14:val="tx1"/>
            </w14:solidFill>
          </w14:textFill>
        </w:rPr>
        <w:fldChar w:fldCharType="end"/>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p>
    <w:p w14:paraId="612C6A29">
      <w:pPr>
        <w:snapToGrid w:val="0"/>
        <w:spacing w:before="156" w:beforeLines="50"/>
        <w:ind w:firstLine="422"/>
        <w:jc w:val="center"/>
        <w:rPr>
          <w:b/>
          <w:bCs/>
          <w:color w:val="000000" w:themeColor="text1"/>
          <w:sz w:val="21"/>
          <w:szCs w:val="21"/>
          <w14:textFill>
            <w14:solidFill>
              <w14:schemeClr w14:val="tx1"/>
            </w14:solidFill>
          </w14:textFill>
        </w:rPr>
      </w:pPr>
      <w:bookmarkStart w:id="687" w:name="表42"/>
      <w:bookmarkEnd w:id="687"/>
      <w:r>
        <w:rPr>
          <w:b/>
          <w:bCs/>
          <w:color w:val="000000" w:themeColor="text1"/>
          <w:sz w:val="21"/>
          <w:szCs w:val="21"/>
          <w14:textFill>
            <w14:solidFill>
              <w14:schemeClr w14:val="tx1"/>
            </w14:solidFill>
          </w14:textFill>
        </w:rPr>
        <w:t>表4.3-</w:t>
      </w:r>
      <w:r>
        <w:rPr>
          <w:rFonts w:hint="eastAsia"/>
          <w:b/>
          <w:bCs/>
          <w:color w:val="000000" w:themeColor="text1"/>
          <w:sz w:val="21"/>
          <w:szCs w:val="21"/>
          <w14:textFill>
            <w14:solidFill>
              <w14:schemeClr w14:val="tx1"/>
            </w14:solidFill>
          </w14:textFill>
        </w:rPr>
        <w:t>2</w:t>
      </w:r>
      <w:r>
        <w:rPr>
          <w:b/>
          <w:bCs/>
          <w:color w:val="000000" w:themeColor="text1"/>
          <w:sz w:val="21"/>
          <w:szCs w:val="21"/>
          <w14:textFill>
            <w14:solidFill>
              <w14:schemeClr w14:val="tx1"/>
            </w14:solidFill>
          </w14:textFill>
        </w:rPr>
        <w:t xml:space="preserve">  电磁环境现状监测仪器一览表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897"/>
        <w:gridCol w:w="1212"/>
        <w:gridCol w:w="1222"/>
        <w:gridCol w:w="1144"/>
        <w:gridCol w:w="1243"/>
        <w:gridCol w:w="1897"/>
      </w:tblGrid>
      <w:tr w14:paraId="0D5E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33" w:type="pct"/>
            <w:vAlign w:val="center"/>
          </w:tcPr>
          <w:p w14:paraId="7FF195B6">
            <w:pPr>
              <w:pStyle w:val="40"/>
              <w:rPr>
                <w:color w:val="000000" w:themeColor="text1"/>
                <w14:textFill>
                  <w14:solidFill>
                    <w14:schemeClr w14:val="tx1"/>
                  </w14:solidFill>
                </w14:textFill>
              </w:rPr>
            </w:pPr>
            <w:r>
              <w:rPr>
                <w:color w:val="000000" w:themeColor="text1"/>
                <w14:textFill>
                  <w14:solidFill>
                    <w14:schemeClr w14:val="tx1"/>
                  </w14:solidFill>
                </w14:textFill>
              </w:rPr>
              <w:t>检测因子</w:t>
            </w:r>
          </w:p>
        </w:tc>
        <w:tc>
          <w:tcPr>
            <w:tcW w:w="527" w:type="pct"/>
            <w:vAlign w:val="center"/>
          </w:tcPr>
          <w:p w14:paraId="720959C1">
            <w:pPr>
              <w:pStyle w:val="40"/>
              <w:rPr>
                <w:color w:val="000000" w:themeColor="text1"/>
                <w14:textFill>
                  <w14:solidFill>
                    <w14:schemeClr w14:val="tx1"/>
                  </w14:solidFill>
                </w14:textFill>
              </w:rPr>
            </w:pPr>
            <w:r>
              <w:rPr>
                <w:color w:val="000000" w:themeColor="text1"/>
                <w14:textFill>
                  <w14:solidFill>
                    <w14:schemeClr w14:val="tx1"/>
                  </w14:solidFill>
                </w14:textFill>
              </w:rPr>
              <w:t>仪器名称</w:t>
            </w:r>
          </w:p>
        </w:tc>
        <w:tc>
          <w:tcPr>
            <w:tcW w:w="710" w:type="pct"/>
            <w:vAlign w:val="center"/>
          </w:tcPr>
          <w:p w14:paraId="6BC53E04">
            <w:pPr>
              <w:pStyle w:val="40"/>
              <w:rPr>
                <w:color w:val="000000" w:themeColor="text1"/>
                <w14:textFill>
                  <w14:solidFill>
                    <w14:schemeClr w14:val="tx1"/>
                  </w14:solidFill>
                </w14:textFill>
              </w:rPr>
            </w:pPr>
            <w:r>
              <w:rPr>
                <w:color w:val="000000" w:themeColor="text1"/>
                <w14:textFill>
                  <w14:solidFill>
                    <w14:schemeClr w14:val="tx1"/>
                  </w14:solidFill>
                </w14:textFill>
              </w:rPr>
              <w:t>型号</w:t>
            </w:r>
          </w:p>
        </w:tc>
        <w:tc>
          <w:tcPr>
            <w:tcW w:w="716" w:type="pct"/>
            <w:vAlign w:val="center"/>
          </w:tcPr>
          <w:p w14:paraId="08E917DE">
            <w:pPr>
              <w:pStyle w:val="40"/>
              <w:rPr>
                <w:color w:val="000000" w:themeColor="text1"/>
                <w14:textFill>
                  <w14:solidFill>
                    <w14:schemeClr w14:val="tx1"/>
                  </w14:solidFill>
                </w14:textFill>
              </w:rPr>
            </w:pPr>
            <w:r>
              <w:rPr>
                <w:color w:val="000000" w:themeColor="text1"/>
                <w14:textFill>
                  <w14:solidFill>
                    <w14:schemeClr w14:val="tx1"/>
                  </w14:solidFill>
                </w14:textFill>
              </w:rPr>
              <w:t>仪器编号</w:t>
            </w:r>
          </w:p>
        </w:tc>
        <w:tc>
          <w:tcPr>
            <w:tcW w:w="670" w:type="pct"/>
            <w:vAlign w:val="center"/>
          </w:tcPr>
          <w:p w14:paraId="71454F3A">
            <w:pPr>
              <w:pStyle w:val="40"/>
              <w:rPr>
                <w:color w:val="000000" w:themeColor="text1"/>
                <w14:textFill>
                  <w14:solidFill>
                    <w14:schemeClr w14:val="tx1"/>
                  </w14:solidFill>
                </w14:textFill>
              </w:rPr>
            </w:pPr>
            <w:r>
              <w:rPr>
                <w:color w:val="000000" w:themeColor="text1"/>
                <w14:textFill>
                  <w14:solidFill>
                    <w14:schemeClr w14:val="tx1"/>
                  </w14:solidFill>
                </w14:textFill>
              </w:rPr>
              <w:t>校准证书编号</w:t>
            </w:r>
          </w:p>
        </w:tc>
        <w:tc>
          <w:tcPr>
            <w:tcW w:w="728" w:type="pct"/>
            <w:vAlign w:val="center"/>
          </w:tcPr>
          <w:p w14:paraId="0AFD4B06">
            <w:pPr>
              <w:pStyle w:val="40"/>
              <w:rPr>
                <w:color w:val="000000" w:themeColor="text1"/>
                <w14:textFill>
                  <w14:solidFill>
                    <w14:schemeClr w14:val="tx1"/>
                  </w14:solidFill>
                </w14:textFill>
              </w:rPr>
            </w:pPr>
            <w:r>
              <w:rPr>
                <w:color w:val="000000" w:themeColor="text1"/>
                <w14:textFill>
                  <w14:solidFill>
                    <w14:schemeClr w14:val="tx1"/>
                  </w14:solidFill>
                </w14:textFill>
              </w:rPr>
              <w:t>检定有效期</w:t>
            </w:r>
          </w:p>
        </w:tc>
        <w:tc>
          <w:tcPr>
            <w:tcW w:w="1112" w:type="pct"/>
            <w:vAlign w:val="center"/>
          </w:tcPr>
          <w:p w14:paraId="3233EED6">
            <w:pPr>
              <w:pStyle w:val="40"/>
              <w:rPr>
                <w:color w:val="000000" w:themeColor="text1"/>
                <w14:textFill>
                  <w14:solidFill>
                    <w14:schemeClr w14:val="tx1"/>
                  </w14:solidFill>
                </w14:textFill>
              </w:rPr>
            </w:pPr>
            <w:r>
              <w:rPr>
                <w:color w:val="000000" w:themeColor="text1"/>
                <w14:textFill>
                  <w14:solidFill>
                    <w14:schemeClr w14:val="tx1"/>
                  </w14:solidFill>
                </w14:textFill>
              </w:rPr>
              <w:t>测量范围</w:t>
            </w:r>
          </w:p>
        </w:tc>
      </w:tr>
      <w:tr w14:paraId="256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533" w:type="pct"/>
            <w:vAlign w:val="center"/>
          </w:tcPr>
          <w:p w14:paraId="7640206A">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电场强度</w:t>
            </w:r>
          </w:p>
        </w:tc>
        <w:tc>
          <w:tcPr>
            <w:tcW w:w="527" w:type="pct"/>
            <w:vMerge w:val="restart"/>
            <w:vAlign w:val="center"/>
          </w:tcPr>
          <w:p w14:paraId="152872E7">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宽频电磁辐射分析仪</w:t>
            </w:r>
          </w:p>
        </w:tc>
        <w:tc>
          <w:tcPr>
            <w:tcW w:w="710" w:type="pct"/>
            <w:vMerge w:val="restart"/>
            <w:vAlign w:val="center"/>
          </w:tcPr>
          <w:p w14:paraId="4BCCCD14">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NBM-550&amp;EHP-50F</w:t>
            </w:r>
          </w:p>
        </w:tc>
        <w:tc>
          <w:tcPr>
            <w:tcW w:w="716" w:type="pct"/>
            <w:vMerge w:val="restart"/>
            <w:vAlign w:val="center"/>
          </w:tcPr>
          <w:p w14:paraId="0AE444D9">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H-0402+100WY70716</w:t>
            </w:r>
          </w:p>
        </w:tc>
        <w:tc>
          <w:tcPr>
            <w:tcW w:w="670" w:type="pct"/>
            <w:vMerge w:val="restart"/>
            <w:vAlign w:val="center"/>
          </w:tcPr>
          <w:p w14:paraId="7231DE5E">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25SJ25030688-1921</w:t>
            </w:r>
          </w:p>
        </w:tc>
        <w:tc>
          <w:tcPr>
            <w:tcW w:w="728" w:type="pct"/>
            <w:vMerge w:val="restart"/>
            <w:vAlign w:val="center"/>
          </w:tcPr>
          <w:p w14:paraId="7E2CBC6C">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2025.02.18-2026.02.17</w:t>
            </w:r>
          </w:p>
        </w:tc>
        <w:tc>
          <w:tcPr>
            <w:tcW w:w="1112" w:type="pct"/>
            <w:vAlign w:val="center"/>
          </w:tcPr>
          <w:p w14:paraId="15457A3E">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电场：0.01V/m-100kV/m</w:t>
            </w:r>
          </w:p>
        </w:tc>
      </w:tr>
      <w:tr w14:paraId="5B53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3" w:type="pct"/>
            <w:vAlign w:val="center"/>
          </w:tcPr>
          <w:p w14:paraId="39B0696F">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磁感应强度</w:t>
            </w:r>
          </w:p>
        </w:tc>
        <w:tc>
          <w:tcPr>
            <w:tcW w:w="527" w:type="pct"/>
            <w:vMerge w:val="continue"/>
            <w:vAlign w:val="center"/>
          </w:tcPr>
          <w:p w14:paraId="3FC98B6F">
            <w:pPr>
              <w:pStyle w:val="40"/>
              <w:rPr>
                <w:b w:val="0"/>
                <w:color w:val="000000" w:themeColor="text1"/>
                <w14:textFill>
                  <w14:solidFill>
                    <w14:schemeClr w14:val="tx1"/>
                  </w14:solidFill>
                </w14:textFill>
              </w:rPr>
            </w:pPr>
          </w:p>
        </w:tc>
        <w:tc>
          <w:tcPr>
            <w:tcW w:w="710" w:type="pct"/>
            <w:vMerge w:val="continue"/>
            <w:vAlign w:val="center"/>
          </w:tcPr>
          <w:p w14:paraId="31F6FF6F">
            <w:pPr>
              <w:pStyle w:val="40"/>
              <w:rPr>
                <w:b w:val="0"/>
                <w:color w:val="000000" w:themeColor="text1"/>
                <w14:textFill>
                  <w14:solidFill>
                    <w14:schemeClr w14:val="tx1"/>
                  </w14:solidFill>
                </w14:textFill>
              </w:rPr>
            </w:pPr>
          </w:p>
        </w:tc>
        <w:tc>
          <w:tcPr>
            <w:tcW w:w="716" w:type="pct"/>
            <w:vMerge w:val="continue"/>
            <w:vAlign w:val="center"/>
          </w:tcPr>
          <w:p w14:paraId="6BB2248E">
            <w:pPr>
              <w:pStyle w:val="40"/>
              <w:rPr>
                <w:b w:val="0"/>
                <w:color w:val="000000" w:themeColor="text1"/>
                <w14:textFill>
                  <w14:solidFill>
                    <w14:schemeClr w14:val="tx1"/>
                  </w14:solidFill>
                </w14:textFill>
              </w:rPr>
            </w:pPr>
          </w:p>
        </w:tc>
        <w:tc>
          <w:tcPr>
            <w:tcW w:w="670" w:type="pct"/>
            <w:vMerge w:val="continue"/>
            <w:vAlign w:val="center"/>
          </w:tcPr>
          <w:p w14:paraId="2C31569F">
            <w:pPr>
              <w:pStyle w:val="40"/>
              <w:rPr>
                <w:b w:val="0"/>
                <w:color w:val="000000" w:themeColor="text1"/>
                <w14:textFill>
                  <w14:solidFill>
                    <w14:schemeClr w14:val="tx1"/>
                  </w14:solidFill>
                </w14:textFill>
              </w:rPr>
            </w:pPr>
          </w:p>
        </w:tc>
        <w:tc>
          <w:tcPr>
            <w:tcW w:w="728" w:type="pct"/>
            <w:vMerge w:val="continue"/>
            <w:vAlign w:val="center"/>
          </w:tcPr>
          <w:p w14:paraId="7BD4CF20">
            <w:pPr>
              <w:pStyle w:val="40"/>
              <w:rPr>
                <w:b w:val="0"/>
                <w:color w:val="000000" w:themeColor="text1"/>
                <w14:textFill>
                  <w14:solidFill>
                    <w14:schemeClr w14:val="tx1"/>
                  </w14:solidFill>
                </w14:textFill>
              </w:rPr>
            </w:pPr>
          </w:p>
        </w:tc>
        <w:tc>
          <w:tcPr>
            <w:tcW w:w="1112" w:type="pct"/>
            <w:vAlign w:val="center"/>
          </w:tcPr>
          <w:p w14:paraId="2E1AF5C3">
            <w:pPr>
              <w:pStyle w:val="40"/>
              <w:rPr>
                <w:b w:val="0"/>
                <w:color w:val="000000" w:themeColor="text1"/>
                <w14:textFill>
                  <w14:solidFill>
                    <w14:schemeClr w14:val="tx1"/>
                  </w14:solidFill>
                </w14:textFill>
              </w:rPr>
            </w:pPr>
            <w:r>
              <w:rPr>
                <w:b w:val="0"/>
                <w:color w:val="000000" w:themeColor="text1"/>
                <w14:textFill>
                  <w14:solidFill>
                    <w14:schemeClr w14:val="tx1"/>
                  </w14:solidFill>
                </w14:textFill>
              </w:rPr>
              <w:t>磁场：1nT-10mT</w:t>
            </w:r>
          </w:p>
        </w:tc>
      </w:tr>
    </w:tbl>
    <w:p w14:paraId="1C12D84D">
      <w:pPr>
        <w:spacing w:before="156" w:beforeLines="50"/>
        <w:ind w:firstLine="480"/>
        <w:rPr>
          <w:color w:val="000000" w:themeColor="text1"/>
          <w14:textFill>
            <w14:solidFill>
              <w14:schemeClr w14:val="tx1"/>
            </w14:solidFill>
          </w14:textFill>
        </w:rPr>
      </w:pPr>
      <w:r>
        <w:rPr>
          <w:color w:val="000000" w:themeColor="text1"/>
          <w14:textFill>
            <w14:solidFill>
              <w14:schemeClr w14:val="tx1"/>
            </w14:solidFill>
          </w14:textFill>
        </w:rPr>
        <w:t>（3）监测单位、时间及监测条件</w:t>
      </w:r>
    </w:p>
    <w:p w14:paraId="1A00C0FD">
      <w:pPr>
        <w:ind w:firstLine="480"/>
        <w:rPr>
          <w:color w:val="000000" w:themeColor="text1"/>
          <w14:textFill>
            <w14:solidFill>
              <w14:schemeClr w14:val="tx1"/>
            </w14:solidFill>
          </w14:textFill>
        </w:rPr>
      </w:pPr>
      <w:r>
        <w:rPr>
          <w:color w:val="000000" w:themeColor="text1"/>
          <w14:textFill>
            <w14:solidFill>
              <w14:schemeClr w14:val="tx1"/>
            </w14:solidFill>
          </w14:textFill>
        </w:rPr>
        <w:t>监测单位、监测时间及监测时环境天气状况见</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"../../../Admin/Desktop/评审项目/(标注1)1-包头英华500kV输变电工程2021.12.17.doc" \l "表43" </w:instrText>
      </w:r>
      <w:r>
        <w:rPr>
          <w:color w:val="000000" w:themeColor="text1"/>
          <w14:textFill>
            <w14:solidFill>
              <w14:schemeClr w14:val="tx1"/>
            </w14:solidFill>
          </w14:textFill>
        </w:rPr>
        <w:fldChar w:fldCharType="separate"/>
      </w:r>
      <w:r>
        <w:rPr>
          <w:rStyle w:val="31"/>
          <w:color w:val="000000" w:themeColor="text1"/>
          <w:u w:val="none"/>
          <w14:textFill>
            <w14:solidFill>
              <w14:schemeClr w14:val="tx1"/>
            </w14:solidFill>
          </w14:textFill>
        </w:rPr>
        <w:t>表4.3-</w:t>
      </w:r>
      <w:r>
        <w:rPr>
          <w:rStyle w:val="31"/>
          <w:color w:val="000000" w:themeColor="text1"/>
          <w:u w:val="none"/>
          <w14:textFill>
            <w14:solidFill>
              <w14:schemeClr w14:val="tx1"/>
            </w14:solidFill>
          </w14:textFill>
        </w:rPr>
        <w:fldChar w:fldCharType="end"/>
      </w:r>
      <w:bookmarkStart w:id="688" w:name="表43"/>
      <w:bookmarkEnd w:id="688"/>
      <w:bookmarkStart w:id="689" w:name="_Ref262156423"/>
      <w:bookmarkStart w:id="690" w:name="_Ref406579912"/>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p>
    <w:bookmarkEnd w:id="689"/>
    <w:bookmarkEnd w:id="690"/>
    <w:p w14:paraId="29F87A89">
      <w:pPr>
        <w:ind w:firstLine="422"/>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表4.3-</w:t>
      </w:r>
      <w:r>
        <w:rPr>
          <w:rFonts w:hint="eastAsia"/>
          <w:b/>
          <w:bCs/>
          <w:color w:val="000000" w:themeColor="text1"/>
          <w:sz w:val="21"/>
          <w:szCs w:val="21"/>
          <w14:textFill>
            <w14:solidFill>
              <w14:schemeClr w14:val="tx1"/>
            </w14:solidFill>
          </w14:textFill>
        </w:rPr>
        <w:t>3</w:t>
      </w:r>
      <w:r>
        <w:rPr>
          <w:b/>
          <w:bCs/>
          <w:color w:val="000000" w:themeColor="text1"/>
          <w:sz w:val="21"/>
          <w:szCs w:val="21"/>
          <w14:textFill>
            <w14:solidFill>
              <w14:schemeClr w14:val="tx1"/>
            </w14:solidFill>
          </w14:textFill>
        </w:rPr>
        <w:t xml:space="preserve">  监测情况表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1243"/>
        <w:gridCol w:w="934"/>
        <w:gridCol w:w="934"/>
        <w:gridCol w:w="919"/>
        <w:gridCol w:w="1130"/>
        <w:gridCol w:w="1098"/>
        <w:gridCol w:w="1067"/>
      </w:tblGrid>
      <w:tr w14:paraId="09F2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01" w:type="pct"/>
            <w:vMerge w:val="restart"/>
            <w:vAlign w:val="center"/>
          </w:tcPr>
          <w:p w14:paraId="3C819E54">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监测单位</w:t>
            </w:r>
          </w:p>
        </w:tc>
        <w:tc>
          <w:tcPr>
            <w:tcW w:w="1277" w:type="pct"/>
            <w:gridSpan w:val="2"/>
            <w:vMerge w:val="restart"/>
            <w:vAlign w:val="center"/>
          </w:tcPr>
          <w:p w14:paraId="53A3DE12">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监测时间</w:t>
            </w:r>
          </w:p>
        </w:tc>
        <w:tc>
          <w:tcPr>
            <w:tcW w:w="3020" w:type="pct"/>
            <w:gridSpan w:val="5"/>
            <w:vAlign w:val="center"/>
          </w:tcPr>
          <w:p w14:paraId="508B4569">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气象参数</w:t>
            </w:r>
          </w:p>
        </w:tc>
      </w:tr>
      <w:tr w14:paraId="4EA0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01" w:type="pct"/>
            <w:vMerge w:val="continue"/>
            <w:vAlign w:val="center"/>
          </w:tcPr>
          <w:p w14:paraId="3C8CC843">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p>
        </w:tc>
        <w:tc>
          <w:tcPr>
            <w:tcW w:w="1277" w:type="pct"/>
            <w:gridSpan w:val="2"/>
            <w:vMerge w:val="continue"/>
            <w:vAlign w:val="center"/>
          </w:tcPr>
          <w:p w14:paraId="7FEB92FE">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p>
        </w:tc>
        <w:tc>
          <w:tcPr>
            <w:tcW w:w="548" w:type="pct"/>
            <w:vAlign w:val="center"/>
          </w:tcPr>
          <w:p w14:paraId="0B73269E">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天气</w:t>
            </w:r>
          </w:p>
        </w:tc>
        <w:tc>
          <w:tcPr>
            <w:tcW w:w="539" w:type="pct"/>
            <w:vAlign w:val="center"/>
          </w:tcPr>
          <w:p w14:paraId="5B9D371D">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风向</w:t>
            </w:r>
          </w:p>
        </w:tc>
        <w:tc>
          <w:tcPr>
            <w:tcW w:w="663" w:type="pct"/>
            <w:vAlign w:val="center"/>
          </w:tcPr>
          <w:p w14:paraId="39584AD2">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气温（</w:t>
            </w:r>
            <w:r>
              <w:rPr>
                <w:b/>
                <w:bCs/>
                <w:color w:val="000000" w:themeColor="text1"/>
                <w:kern w:val="0"/>
                <w:sz w:val="21"/>
                <w:szCs w:val="21"/>
                <w14:textFill>
                  <w14:solidFill>
                    <w14:schemeClr w14:val="tx1"/>
                  </w14:solidFill>
                </w14:textFill>
              </w:rPr>
              <w:t>℃</w:t>
            </w:r>
            <w:r>
              <w:rPr>
                <w:rFonts w:hint="eastAsia"/>
                <w:b/>
                <w:bCs/>
                <w:color w:val="000000" w:themeColor="text1"/>
                <w:kern w:val="0"/>
                <w:sz w:val="21"/>
                <w:szCs w:val="21"/>
                <w14:textFill>
                  <w14:solidFill>
                    <w14:schemeClr w14:val="tx1"/>
                  </w14:solidFill>
                </w14:textFill>
              </w:rPr>
              <w:t>）</w:t>
            </w:r>
          </w:p>
        </w:tc>
        <w:tc>
          <w:tcPr>
            <w:tcW w:w="644" w:type="pct"/>
            <w:vAlign w:val="center"/>
          </w:tcPr>
          <w:p w14:paraId="0B3B3ABA">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相对湿度（%）</w:t>
            </w:r>
          </w:p>
        </w:tc>
        <w:tc>
          <w:tcPr>
            <w:tcW w:w="624" w:type="pct"/>
            <w:vAlign w:val="center"/>
          </w:tcPr>
          <w:p w14:paraId="7A489C47">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风速（m/s）</w:t>
            </w:r>
          </w:p>
        </w:tc>
      </w:tr>
      <w:tr w14:paraId="3A1E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01" w:type="pct"/>
            <w:vAlign w:val="center"/>
          </w:tcPr>
          <w:p w14:paraId="747D9A2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新疆天熙环保科技有限公司</w:t>
            </w:r>
          </w:p>
        </w:tc>
        <w:tc>
          <w:tcPr>
            <w:tcW w:w="729" w:type="pct"/>
            <w:vAlign w:val="center"/>
          </w:tcPr>
          <w:p w14:paraId="11900CF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202</w:t>
            </w:r>
            <w:r>
              <w:rPr>
                <w:rFonts w:hint="eastAsia"/>
                <w:color w:val="000000" w:themeColor="text1"/>
                <w:kern w:val="0"/>
                <w:sz w:val="21"/>
                <w:szCs w:val="21"/>
                <w14:textFill>
                  <w14:solidFill>
                    <w14:schemeClr w14:val="tx1"/>
                  </w14:solidFill>
                </w14:textFill>
              </w:rPr>
              <w:t>5</w:t>
            </w:r>
            <w:r>
              <w:rPr>
                <w:color w:val="000000" w:themeColor="text1"/>
                <w:kern w:val="0"/>
                <w:sz w:val="21"/>
                <w:szCs w:val="21"/>
                <w14:textFill>
                  <w14:solidFill>
                    <w14:schemeClr w14:val="tx1"/>
                  </w14:solidFill>
                </w14:textFill>
              </w:rPr>
              <w:t>年</w:t>
            </w:r>
            <w:r>
              <w:rPr>
                <w:rFonts w:hint="eastAsia"/>
                <w:color w:val="000000" w:themeColor="text1"/>
                <w:kern w:val="0"/>
                <w:sz w:val="21"/>
                <w:szCs w:val="21"/>
                <w14:textFill>
                  <w14:solidFill>
                    <w14:schemeClr w14:val="tx1"/>
                  </w14:solidFill>
                </w14:textFill>
              </w:rPr>
              <w:t>4</w:t>
            </w:r>
            <w:r>
              <w:rPr>
                <w:color w:val="000000" w:themeColor="text1"/>
                <w:kern w:val="0"/>
                <w:sz w:val="21"/>
                <w:szCs w:val="21"/>
                <w14:textFill>
                  <w14:solidFill>
                    <w14:schemeClr w14:val="tx1"/>
                  </w14:solidFill>
                </w14:textFill>
              </w:rPr>
              <w:t>月</w:t>
            </w:r>
            <w:r>
              <w:rPr>
                <w:rFonts w:hint="eastAsia"/>
                <w:color w:val="000000" w:themeColor="text1"/>
                <w:kern w:val="0"/>
                <w:sz w:val="21"/>
                <w:szCs w:val="21"/>
                <w14:textFill>
                  <w14:solidFill>
                    <w14:schemeClr w14:val="tx1"/>
                  </w14:solidFill>
                </w14:textFill>
              </w:rPr>
              <w:t>9</w:t>
            </w:r>
            <w:r>
              <w:rPr>
                <w:color w:val="000000" w:themeColor="text1"/>
                <w:kern w:val="0"/>
                <w:sz w:val="21"/>
                <w:szCs w:val="21"/>
                <w14:textFill>
                  <w14:solidFill>
                    <w14:schemeClr w14:val="tx1"/>
                  </w14:solidFill>
                </w14:textFill>
              </w:rPr>
              <w:t>日</w:t>
            </w:r>
          </w:p>
        </w:tc>
        <w:tc>
          <w:tcPr>
            <w:tcW w:w="548" w:type="pct"/>
            <w:vAlign w:val="center"/>
          </w:tcPr>
          <w:p w14:paraId="5E4EDD36">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昼间</w:t>
            </w:r>
          </w:p>
        </w:tc>
        <w:tc>
          <w:tcPr>
            <w:tcW w:w="548" w:type="pct"/>
            <w:vAlign w:val="center"/>
          </w:tcPr>
          <w:p w14:paraId="12894D44">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晴</w:t>
            </w:r>
          </w:p>
        </w:tc>
        <w:tc>
          <w:tcPr>
            <w:tcW w:w="539" w:type="pct"/>
            <w:vAlign w:val="center"/>
          </w:tcPr>
          <w:p w14:paraId="3865EBB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东风</w:t>
            </w:r>
          </w:p>
        </w:tc>
        <w:tc>
          <w:tcPr>
            <w:tcW w:w="663" w:type="pct"/>
            <w:vAlign w:val="center"/>
          </w:tcPr>
          <w:p w14:paraId="3910A64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20~34.3</w:t>
            </w:r>
          </w:p>
        </w:tc>
        <w:tc>
          <w:tcPr>
            <w:tcW w:w="644" w:type="pct"/>
            <w:vAlign w:val="center"/>
          </w:tcPr>
          <w:p w14:paraId="4EC86AC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18.7~19.0</w:t>
            </w:r>
          </w:p>
        </w:tc>
        <w:tc>
          <w:tcPr>
            <w:tcW w:w="624" w:type="pct"/>
            <w:vAlign w:val="center"/>
          </w:tcPr>
          <w:p w14:paraId="79B544D5">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4.0</w:t>
            </w:r>
          </w:p>
        </w:tc>
      </w:tr>
    </w:tbl>
    <w:p w14:paraId="42DA3484">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r>
        <w:rPr>
          <w:bCs/>
          <w:color w:val="000000" w:themeColor="text1"/>
          <w:sz w:val="28"/>
          <w:szCs w:val="32"/>
          <w14:textFill>
            <w14:solidFill>
              <w14:schemeClr w14:val="tx1"/>
            </w14:solidFill>
          </w14:textFill>
        </w:rPr>
        <w:t>4.3.5监测结果</w:t>
      </w:r>
    </w:p>
    <w:p w14:paraId="481D7F93">
      <w:pPr>
        <w:pStyle w:val="6"/>
        <w:ind w:firstLine="480"/>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本工程</w:t>
      </w:r>
      <w:r>
        <w:rPr>
          <w:rFonts w:hint="eastAsia" w:ascii="Times New Roman" w:hAnsi="Times New Roman"/>
          <w:color w:val="000000" w:themeColor="text1"/>
          <w:sz w:val="24"/>
          <w:szCs w:val="24"/>
          <w14:textFill>
            <w14:solidFill>
              <w14:schemeClr w14:val="tx1"/>
            </w14:solidFill>
          </w14:textFill>
        </w:rPr>
        <w:t>线路</w:t>
      </w:r>
      <w:r>
        <w:rPr>
          <w:rFonts w:ascii="Times New Roman" w:hAnsi="Times New Roman"/>
          <w:color w:val="000000" w:themeColor="text1"/>
          <w:sz w:val="24"/>
          <w:szCs w:val="24"/>
          <w14:textFill>
            <w14:solidFill>
              <w14:schemeClr w14:val="tx1"/>
            </w14:solidFill>
          </w14:textFill>
        </w:rPr>
        <w:t>工频电场、工频磁感应强度环境现状监测结果见</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"../../../Admin/Desktop/评审项目/(标注1)1-包头英华500kV输变电工程2021.12.17.doc" \l "表44" </w:instrText>
      </w:r>
      <w:r>
        <w:rPr>
          <w:color w:val="000000" w:themeColor="text1"/>
          <w14:textFill>
            <w14:solidFill>
              <w14:schemeClr w14:val="tx1"/>
            </w14:solidFill>
          </w14:textFill>
        </w:rPr>
        <w:fldChar w:fldCharType="separate"/>
      </w:r>
      <w:r>
        <w:rPr>
          <w:rStyle w:val="31"/>
          <w:rFonts w:ascii="Times New Roman" w:hAnsi="Times New Roman"/>
          <w:color w:val="000000" w:themeColor="text1"/>
          <w:sz w:val="24"/>
          <w:szCs w:val="24"/>
          <w:u w:val="none"/>
          <w14:textFill>
            <w14:solidFill>
              <w14:schemeClr w14:val="tx1"/>
            </w14:solidFill>
          </w14:textFill>
        </w:rPr>
        <w:t>表4.3-</w:t>
      </w:r>
      <w:r>
        <w:rPr>
          <w:rStyle w:val="31"/>
          <w:rFonts w:ascii="Times New Roman" w:hAnsi="Times New Roman"/>
          <w:color w:val="000000" w:themeColor="text1"/>
          <w:sz w:val="24"/>
          <w:szCs w:val="24"/>
          <w:u w:val="none"/>
          <w14:textFill>
            <w14:solidFill>
              <w14:schemeClr w14:val="tx1"/>
            </w14:solidFill>
          </w14:textFill>
        </w:rPr>
        <w:fldChar w:fldCharType="end"/>
      </w:r>
      <w:r>
        <w:rPr>
          <w:rFonts w:hint="eastAsia" w:ascii="Times New Roman" w:hAnsi="Times New Roman"/>
          <w:color w:val="000000" w:themeColor="text1"/>
          <w:sz w:val="24"/>
          <w:szCs w:val="24"/>
          <w14:textFill>
            <w14:solidFill>
              <w14:schemeClr w14:val="tx1"/>
            </w14:solidFill>
          </w14:textFill>
        </w:rPr>
        <w:t>4</w:t>
      </w:r>
      <w:r>
        <w:rPr>
          <w:rFonts w:ascii="Times New Roman" w:hAnsi="Times New Roman"/>
          <w:color w:val="000000" w:themeColor="text1"/>
          <w:sz w:val="24"/>
          <w:szCs w:val="24"/>
          <w14:textFill>
            <w14:solidFill>
              <w14:schemeClr w14:val="tx1"/>
            </w14:solidFill>
          </w14:textFill>
        </w:rPr>
        <w:t>。</w:t>
      </w:r>
    </w:p>
    <w:p w14:paraId="2EB3F927">
      <w:pPr>
        <w:ind w:firstLine="422"/>
        <w:jc w:val="center"/>
        <w:rPr>
          <w:color w:val="000000" w:themeColor="text1"/>
          <w:sz w:val="21"/>
          <w:szCs w:val="21"/>
          <w:highlight w:val="yellow"/>
          <w14:textFill>
            <w14:solidFill>
              <w14:schemeClr w14:val="tx1"/>
            </w14:solidFill>
          </w14:textFill>
        </w:rPr>
      </w:pPr>
      <w:bookmarkStart w:id="691" w:name="表44"/>
      <w:bookmarkEnd w:id="691"/>
      <w:r>
        <w:rPr>
          <w:b/>
          <w:bCs/>
          <w:color w:val="000000" w:themeColor="text1"/>
          <w:sz w:val="21"/>
          <w:szCs w:val="21"/>
          <w14:textFill>
            <w14:solidFill>
              <w14:schemeClr w14:val="tx1"/>
            </w14:solidFill>
          </w14:textFill>
        </w:rPr>
        <w:t>表4.3-</w:t>
      </w:r>
      <w:r>
        <w:rPr>
          <w:rFonts w:hint="eastAsia"/>
          <w:b/>
          <w:bCs/>
          <w:color w:val="000000" w:themeColor="text1"/>
          <w:sz w:val="21"/>
          <w:szCs w:val="21"/>
          <w14:textFill>
            <w14:solidFill>
              <w14:schemeClr w14:val="tx1"/>
            </w14:solidFill>
          </w14:textFill>
        </w:rPr>
        <w:t>4</w:t>
      </w:r>
      <w:r>
        <w:rPr>
          <w:b/>
          <w:bCs/>
          <w:color w:val="000000" w:themeColor="text1"/>
          <w:sz w:val="21"/>
          <w:szCs w:val="21"/>
          <w14:textFill>
            <w14:solidFill>
              <w14:schemeClr w14:val="tx1"/>
            </w14:solidFill>
          </w14:textFill>
        </w:rPr>
        <w:t xml:space="preserve">  工频电磁场强度环境现状监测结果</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56"/>
        <w:gridCol w:w="2625"/>
        <w:gridCol w:w="1135"/>
        <w:gridCol w:w="1495"/>
        <w:gridCol w:w="1294"/>
      </w:tblGrid>
      <w:tr w14:paraId="4EA10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17" w:type="dxa"/>
            <w:vAlign w:val="center"/>
          </w:tcPr>
          <w:p w14:paraId="496A2356">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bookmarkStart w:id="692" w:name="_Toc23816"/>
            <w:bookmarkStart w:id="693" w:name="_Toc15533"/>
            <w:r>
              <w:rPr>
                <w:b/>
                <w:bCs/>
                <w:color w:val="000000" w:themeColor="text1"/>
                <w:kern w:val="0"/>
                <w:sz w:val="21"/>
                <w:szCs w:val="21"/>
                <w14:textFill>
                  <w14:solidFill>
                    <w14:schemeClr w14:val="tx1"/>
                  </w14:solidFill>
                </w14:textFill>
              </w:rPr>
              <w:t>点位编号</w:t>
            </w:r>
          </w:p>
        </w:tc>
        <w:tc>
          <w:tcPr>
            <w:tcW w:w="1156" w:type="dxa"/>
            <w:vAlign w:val="center"/>
          </w:tcPr>
          <w:p w14:paraId="07DA6FBD">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项目名称</w:t>
            </w:r>
          </w:p>
        </w:tc>
        <w:tc>
          <w:tcPr>
            <w:tcW w:w="2625" w:type="dxa"/>
            <w:vAlign w:val="center"/>
          </w:tcPr>
          <w:p w14:paraId="61FD62CD">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监测点位置</w:t>
            </w:r>
          </w:p>
        </w:tc>
        <w:tc>
          <w:tcPr>
            <w:tcW w:w="1135" w:type="dxa"/>
            <w:vAlign w:val="center"/>
          </w:tcPr>
          <w:p w14:paraId="50C434B4">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测试高度</w:t>
            </w:r>
          </w:p>
          <w:p w14:paraId="1226BC41">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（m）</w:t>
            </w:r>
          </w:p>
        </w:tc>
        <w:tc>
          <w:tcPr>
            <w:tcW w:w="1495" w:type="dxa"/>
            <w:vAlign w:val="center"/>
          </w:tcPr>
          <w:p w14:paraId="7310BB70">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工频电场强度</w:t>
            </w:r>
          </w:p>
          <w:p w14:paraId="63F3AFDF">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w:t>
            </w:r>
            <w:r>
              <w:rPr>
                <w:rFonts w:hint="eastAsia"/>
                <w:b/>
                <w:bCs/>
                <w:color w:val="000000" w:themeColor="text1"/>
                <w:kern w:val="0"/>
                <w:sz w:val="21"/>
                <w:szCs w:val="21"/>
                <w:lang w:val="en-US" w:eastAsia="zh-CN"/>
                <w14:textFill>
                  <w14:solidFill>
                    <w14:schemeClr w14:val="tx1"/>
                  </w14:solidFill>
                </w14:textFill>
              </w:rPr>
              <w:t>k</w:t>
            </w:r>
            <w:r>
              <w:rPr>
                <w:b/>
                <w:bCs/>
                <w:color w:val="000000" w:themeColor="text1"/>
                <w:kern w:val="0"/>
                <w:sz w:val="21"/>
                <w:szCs w:val="21"/>
                <w14:textFill>
                  <w14:solidFill>
                    <w14:schemeClr w14:val="tx1"/>
                  </w14:solidFill>
                </w14:textFill>
              </w:rPr>
              <w:t>V/m）</w:t>
            </w:r>
          </w:p>
        </w:tc>
        <w:tc>
          <w:tcPr>
            <w:tcW w:w="1294" w:type="dxa"/>
            <w:vAlign w:val="center"/>
          </w:tcPr>
          <w:p w14:paraId="16AEE557">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工频磁感应强度（μT）</w:t>
            </w:r>
          </w:p>
        </w:tc>
      </w:tr>
      <w:tr w14:paraId="26C8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17" w:type="dxa"/>
            <w:vAlign w:val="center"/>
          </w:tcPr>
          <w:p w14:paraId="11A06D5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E1</w:t>
            </w:r>
          </w:p>
        </w:tc>
        <w:tc>
          <w:tcPr>
            <w:tcW w:w="1156" w:type="dxa"/>
            <w:vMerge w:val="restart"/>
            <w:vAlign w:val="center"/>
          </w:tcPr>
          <w:p w14:paraId="5290275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新建</w:t>
            </w:r>
            <w:r>
              <w:rPr>
                <w:color w:val="000000" w:themeColor="text1"/>
                <w:kern w:val="0"/>
                <w:sz w:val="21"/>
                <w:szCs w:val="21"/>
                <w14:textFill>
                  <w14:solidFill>
                    <w14:schemeClr w14:val="tx1"/>
                  </w14:solidFill>
                </w14:textFill>
              </w:rPr>
              <w:t>750kV</w:t>
            </w:r>
            <w:r>
              <w:rPr>
                <w:rFonts w:hint="eastAsia"/>
                <w:color w:val="000000" w:themeColor="text1"/>
                <w:kern w:val="0"/>
                <w:sz w:val="21"/>
                <w:szCs w:val="21"/>
                <w14:textFill>
                  <w14:solidFill>
                    <w14:schemeClr w14:val="tx1"/>
                  </w14:solidFill>
                </w14:textFill>
              </w:rPr>
              <w:t>输电线路</w:t>
            </w:r>
          </w:p>
        </w:tc>
        <w:tc>
          <w:tcPr>
            <w:tcW w:w="2625" w:type="dxa"/>
            <w:vAlign w:val="center"/>
          </w:tcPr>
          <w:p w14:paraId="7F42AC1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输电线路起点</w:t>
            </w:r>
          </w:p>
        </w:tc>
        <w:tc>
          <w:tcPr>
            <w:tcW w:w="1135" w:type="dxa"/>
            <w:vAlign w:val="center"/>
          </w:tcPr>
          <w:p w14:paraId="3BD0ECF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1.5</w:t>
            </w:r>
          </w:p>
        </w:tc>
        <w:tc>
          <w:tcPr>
            <w:tcW w:w="1495" w:type="dxa"/>
            <w:vAlign w:val="center"/>
          </w:tcPr>
          <w:p w14:paraId="5920587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3.266</w:t>
            </w:r>
          </w:p>
        </w:tc>
        <w:tc>
          <w:tcPr>
            <w:tcW w:w="1294" w:type="dxa"/>
            <w:vAlign w:val="center"/>
          </w:tcPr>
          <w:p w14:paraId="48EF7E3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0.0109</w:t>
            </w:r>
          </w:p>
        </w:tc>
      </w:tr>
      <w:tr w14:paraId="1AB4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17" w:type="dxa"/>
            <w:vAlign w:val="center"/>
          </w:tcPr>
          <w:p w14:paraId="02A9901B">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sz w:val="21"/>
                <w:szCs w:val="21"/>
                <w14:textFill>
                  <w14:solidFill>
                    <w14:schemeClr w14:val="tx1"/>
                  </w14:solidFill>
                </w14:textFill>
              </w:rPr>
              <w:t>E2</w:t>
            </w:r>
          </w:p>
        </w:tc>
        <w:tc>
          <w:tcPr>
            <w:tcW w:w="1156" w:type="dxa"/>
            <w:vMerge w:val="continue"/>
            <w:vAlign w:val="center"/>
          </w:tcPr>
          <w:p w14:paraId="3E0A0518">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2625" w:type="dxa"/>
            <w:vAlign w:val="center"/>
          </w:tcPr>
          <w:p w14:paraId="217246C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输电线路沿线1</w:t>
            </w:r>
          </w:p>
        </w:tc>
        <w:tc>
          <w:tcPr>
            <w:tcW w:w="1135" w:type="dxa"/>
            <w:vAlign w:val="center"/>
          </w:tcPr>
          <w:p w14:paraId="3812481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1.5</w:t>
            </w:r>
          </w:p>
        </w:tc>
        <w:tc>
          <w:tcPr>
            <w:tcW w:w="1495" w:type="dxa"/>
            <w:vAlign w:val="center"/>
          </w:tcPr>
          <w:p w14:paraId="30636CB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2.534</w:t>
            </w:r>
          </w:p>
        </w:tc>
        <w:tc>
          <w:tcPr>
            <w:tcW w:w="1294" w:type="dxa"/>
            <w:vAlign w:val="center"/>
          </w:tcPr>
          <w:p w14:paraId="714FBA8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0.0095</w:t>
            </w:r>
          </w:p>
        </w:tc>
      </w:tr>
      <w:tr w14:paraId="3617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17" w:type="dxa"/>
            <w:vAlign w:val="center"/>
          </w:tcPr>
          <w:p w14:paraId="140307BA">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sz w:val="21"/>
                <w:szCs w:val="21"/>
                <w14:textFill>
                  <w14:solidFill>
                    <w14:schemeClr w14:val="tx1"/>
                  </w14:solidFill>
                </w14:textFill>
              </w:rPr>
              <w:t>E3</w:t>
            </w:r>
          </w:p>
        </w:tc>
        <w:tc>
          <w:tcPr>
            <w:tcW w:w="1156" w:type="dxa"/>
            <w:vMerge w:val="continue"/>
            <w:vAlign w:val="center"/>
          </w:tcPr>
          <w:p w14:paraId="534C340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2625" w:type="dxa"/>
            <w:vAlign w:val="center"/>
          </w:tcPr>
          <w:p w14:paraId="2D73BE24">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输电线路沿线2</w:t>
            </w:r>
          </w:p>
        </w:tc>
        <w:tc>
          <w:tcPr>
            <w:tcW w:w="1135" w:type="dxa"/>
            <w:vAlign w:val="center"/>
          </w:tcPr>
          <w:p w14:paraId="4C52324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1.5</w:t>
            </w:r>
          </w:p>
        </w:tc>
        <w:tc>
          <w:tcPr>
            <w:tcW w:w="1495" w:type="dxa"/>
            <w:vAlign w:val="center"/>
          </w:tcPr>
          <w:p w14:paraId="085EFD4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7.103</w:t>
            </w:r>
          </w:p>
        </w:tc>
        <w:tc>
          <w:tcPr>
            <w:tcW w:w="1294" w:type="dxa"/>
            <w:vAlign w:val="center"/>
          </w:tcPr>
          <w:p w14:paraId="3F26299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0.0103</w:t>
            </w:r>
          </w:p>
        </w:tc>
      </w:tr>
      <w:tr w14:paraId="0963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17" w:type="dxa"/>
            <w:vAlign w:val="center"/>
          </w:tcPr>
          <w:p w14:paraId="31A7A4AD">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sz w:val="21"/>
                <w:szCs w:val="21"/>
                <w14:textFill>
                  <w14:solidFill>
                    <w14:schemeClr w14:val="tx1"/>
                  </w14:solidFill>
                </w14:textFill>
              </w:rPr>
              <w:t>E4</w:t>
            </w:r>
          </w:p>
        </w:tc>
        <w:tc>
          <w:tcPr>
            <w:tcW w:w="1156" w:type="dxa"/>
            <w:vMerge w:val="continue"/>
            <w:vAlign w:val="center"/>
          </w:tcPr>
          <w:p w14:paraId="076542DD">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2625" w:type="dxa"/>
            <w:vAlign w:val="center"/>
          </w:tcPr>
          <w:p w14:paraId="52C2CCB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输电线路终点</w:t>
            </w:r>
          </w:p>
        </w:tc>
        <w:tc>
          <w:tcPr>
            <w:tcW w:w="1135" w:type="dxa"/>
            <w:vAlign w:val="center"/>
          </w:tcPr>
          <w:p w14:paraId="163527D5">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1.5</w:t>
            </w:r>
          </w:p>
        </w:tc>
        <w:tc>
          <w:tcPr>
            <w:tcW w:w="1495" w:type="dxa"/>
            <w:vAlign w:val="center"/>
          </w:tcPr>
          <w:p w14:paraId="1045E09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2.840</w:t>
            </w:r>
          </w:p>
        </w:tc>
        <w:tc>
          <w:tcPr>
            <w:tcW w:w="1294" w:type="dxa"/>
            <w:vAlign w:val="center"/>
          </w:tcPr>
          <w:p w14:paraId="63C4A10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0.0064</w:t>
            </w:r>
          </w:p>
        </w:tc>
      </w:tr>
    </w:tbl>
    <w:p w14:paraId="38113251">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694" w:name="_Toc10"/>
      <w:bookmarkStart w:id="695" w:name="_Toc23037"/>
      <w:bookmarkStart w:id="696" w:name="_Toc26106"/>
      <w:bookmarkStart w:id="697" w:name="_Toc8193"/>
      <w:bookmarkStart w:id="698" w:name="_Toc1041"/>
      <w:bookmarkStart w:id="699" w:name="_Toc17873"/>
      <w:bookmarkStart w:id="700" w:name="_Toc4688"/>
      <w:bookmarkStart w:id="701" w:name="_Toc3624"/>
      <w:bookmarkStart w:id="702" w:name="_Toc18905"/>
      <w:r>
        <w:rPr>
          <w:bCs/>
          <w:color w:val="000000" w:themeColor="text1"/>
          <w:sz w:val="28"/>
          <w:szCs w:val="32"/>
          <w14:textFill>
            <w14:solidFill>
              <w14:schemeClr w14:val="tx1"/>
            </w14:solidFill>
          </w14:textFill>
        </w:rPr>
        <w:t>4.3.6评价及结论</w:t>
      </w:r>
      <w:bookmarkEnd w:id="692"/>
      <w:bookmarkEnd w:id="693"/>
      <w:bookmarkEnd w:id="694"/>
      <w:bookmarkEnd w:id="695"/>
      <w:bookmarkEnd w:id="696"/>
      <w:bookmarkEnd w:id="697"/>
      <w:bookmarkEnd w:id="698"/>
      <w:bookmarkEnd w:id="699"/>
      <w:bookmarkEnd w:id="700"/>
      <w:bookmarkEnd w:id="701"/>
      <w:bookmarkEnd w:id="702"/>
    </w:p>
    <w:p w14:paraId="06C4204D">
      <w:pPr>
        <w:widowControl/>
        <w:ind w:firstLine="480"/>
        <w:jc w:val="left"/>
        <w:rPr>
          <w:color w:val="000000" w:themeColor="text1"/>
          <w14:textFill>
            <w14:solidFill>
              <w14:schemeClr w14:val="tx1"/>
            </w14:solidFill>
          </w14:textFill>
        </w:rPr>
      </w:pPr>
      <w:bookmarkStart w:id="703" w:name="_Toc432166990"/>
      <w:bookmarkStart w:id="704" w:name="_Toc26376"/>
      <w:bookmarkStart w:id="705" w:name="_Toc430943247"/>
      <w:bookmarkStart w:id="706" w:name="_Toc12226"/>
      <w:bookmarkStart w:id="707" w:name="_Toc19519"/>
      <w:r>
        <w:rPr>
          <w:rFonts w:hint="eastAsia"/>
          <w:color w:val="000000" w:themeColor="text1"/>
          <w14:textFill>
            <w14:solidFill>
              <w14:schemeClr w14:val="tx1"/>
            </w14:solidFill>
          </w14:textFill>
        </w:rPr>
        <w:t>（1）</w:t>
      </w:r>
      <w:r>
        <w:rPr>
          <w:color w:val="000000" w:themeColor="text1"/>
          <w14:textFill>
            <w14:solidFill>
              <w14:schemeClr w14:val="tx1"/>
            </w14:solidFill>
          </w14:textFill>
        </w:rPr>
        <w:t>工频电场强度</w:t>
      </w:r>
    </w:p>
    <w:p w14:paraId="2D17D96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输电线路沿线监测点的工频电场强度监测结果为</w:t>
      </w:r>
      <w:r>
        <w:rPr>
          <w:rFonts w:hint="eastAsia"/>
          <w:color w:val="000000" w:themeColor="text1"/>
          <w:kern w:val="0"/>
          <w:lang w:bidi="ar"/>
          <w14:textFill>
            <w14:solidFill>
              <w14:schemeClr w14:val="tx1"/>
            </w14:solidFill>
          </w14:textFill>
        </w:rPr>
        <w:t>2.534</w:t>
      </w:r>
      <w:r>
        <w:rPr>
          <w:rFonts w:hint="eastAsia"/>
          <w:color w:val="000000" w:themeColor="text1"/>
          <w:kern w:val="0"/>
          <w:lang w:val="en-US" w:eastAsia="zh-CN" w:bidi="ar"/>
          <w14:textFill>
            <w14:solidFill>
              <w14:schemeClr w14:val="tx1"/>
            </w14:solidFill>
          </w14:textFill>
        </w:rPr>
        <w:t>k</w:t>
      </w:r>
      <w:r>
        <w:rPr>
          <w:color w:val="000000" w:themeColor="text1"/>
          <w:kern w:val="0"/>
          <w:lang w:bidi="ar"/>
          <w14:textFill>
            <w14:solidFill>
              <w14:schemeClr w14:val="tx1"/>
            </w14:solidFill>
          </w14:textFill>
        </w:rPr>
        <w:t>V/m</w:t>
      </w:r>
      <w:r>
        <w:rPr>
          <w:rFonts w:hint="eastAsia" w:ascii="宋体" w:hAnsi="宋体" w:cs="宋体"/>
          <w:color w:val="000000" w:themeColor="text1"/>
          <w:kern w:val="0"/>
          <w:lang w:bidi="ar"/>
          <w14:textFill>
            <w14:solidFill>
              <w14:schemeClr w14:val="tx1"/>
            </w14:solidFill>
          </w14:textFill>
        </w:rPr>
        <w:t>～</w:t>
      </w:r>
      <w:r>
        <w:rPr>
          <w:rFonts w:hint="eastAsia"/>
          <w:color w:val="000000" w:themeColor="text1"/>
          <w:kern w:val="0"/>
          <w:lang w:bidi="ar"/>
          <w14:textFill>
            <w14:solidFill>
              <w14:schemeClr w14:val="tx1"/>
            </w14:solidFill>
          </w14:textFill>
        </w:rPr>
        <w:t>7.103</w:t>
      </w:r>
      <w:r>
        <w:rPr>
          <w:rFonts w:hint="eastAsia"/>
          <w:color w:val="000000" w:themeColor="text1"/>
          <w:kern w:val="0"/>
          <w:lang w:val="en-US" w:eastAsia="zh-CN" w:bidi="ar"/>
          <w14:textFill>
            <w14:solidFill>
              <w14:schemeClr w14:val="tx1"/>
            </w14:solidFill>
          </w14:textFill>
        </w:rPr>
        <w:t>k</w:t>
      </w:r>
      <w:r>
        <w:rPr>
          <w:color w:val="000000" w:themeColor="text1"/>
          <w:kern w:val="0"/>
          <w:lang w:bidi="ar"/>
          <w14:textFill>
            <w14:solidFill>
              <w14:schemeClr w14:val="tx1"/>
            </w14:solidFill>
          </w14:textFill>
        </w:rPr>
        <w:t>V/m</w:t>
      </w:r>
      <w:r>
        <w:rPr>
          <w:rFonts w:hint="eastAsia" w:ascii="宋体" w:hAnsi="宋体" w:cs="宋体"/>
          <w:color w:val="000000" w:themeColor="text1"/>
          <w:kern w:val="0"/>
          <w:lang w:bidi="ar"/>
          <w14:textFill>
            <w14:solidFill>
              <w14:schemeClr w14:val="tx1"/>
            </w14:solidFill>
          </w14:textFill>
        </w:rPr>
        <w:t>，满足</w:t>
      </w:r>
      <w:r>
        <w:rPr>
          <w:color w:val="000000" w:themeColor="text1"/>
          <w:kern w:val="0"/>
          <w:lang w:bidi="ar"/>
          <w14:textFill>
            <w14:solidFill>
              <w14:schemeClr w14:val="tx1"/>
            </w14:solidFill>
          </w14:textFill>
        </w:rPr>
        <w:t>10kV/m</w:t>
      </w:r>
      <w:r>
        <w:rPr>
          <w:rFonts w:hint="eastAsia" w:ascii="宋体" w:hAnsi="宋体" w:cs="宋体"/>
          <w:color w:val="000000" w:themeColor="text1"/>
          <w:kern w:val="0"/>
          <w:lang w:bidi="ar"/>
          <w14:textFill>
            <w14:solidFill>
              <w14:schemeClr w14:val="tx1"/>
            </w14:solidFill>
          </w14:textFill>
        </w:rPr>
        <w:t>作为架空输电线路线下的耕地、园地、牧草地、畜禽饲养地、养殖水面、道路等场所电场强度控制限值。</w:t>
      </w:r>
    </w:p>
    <w:p w14:paraId="06FC1D70">
      <w:pPr>
        <w:widowControl/>
        <w:ind w:firstLine="480"/>
        <w:jc w:val="left"/>
        <w:rPr>
          <w:color w:val="000000" w:themeColor="text1"/>
          <w14:textFill>
            <w14:solidFill>
              <w14:schemeClr w14:val="tx1"/>
            </w14:solidFill>
          </w14:textFill>
        </w:rPr>
      </w:pPr>
      <w:r>
        <w:rPr>
          <w:color w:val="000000" w:themeColor="text1"/>
          <w14:textFill>
            <w14:solidFill>
              <w14:schemeClr w14:val="tx1"/>
            </w14:solidFill>
          </w14:textFill>
        </w:rPr>
        <w:t>（2）工频磁感应强度</w:t>
      </w:r>
    </w:p>
    <w:p w14:paraId="1101FD1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沿线监测点的工频磁感应强度为</w:t>
      </w:r>
      <w:r>
        <w:rPr>
          <w:color w:val="000000" w:themeColor="text1"/>
          <w:kern w:val="0"/>
          <w:lang w:bidi="ar"/>
          <w14:textFill>
            <w14:solidFill>
              <w14:schemeClr w14:val="tx1"/>
            </w14:solidFill>
          </w14:textFill>
        </w:rPr>
        <w:t>0.0</w:t>
      </w:r>
      <w:r>
        <w:rPr>
          <w:rFonts w:hint="eastAsia"/>
          <w:color w:val="000000" w:themeColor="text1"/>
          <w:kern w:val="0"/>
          <w:lang w:bidi="ar"/>
          <w14:textFill>
            <w14:solidFill>
              <w14:schemeClr w14:val="tx1"/>
            </w14:solidFill>
          </w14:textFill>
        </w:rPr>
        <w:t>064</w:t>
      </w:r>
      <w:r>
        <w:rPr>
          <w:color w:val="000000" w:themeColor="text1"/>
          <w:kern w:val="0"/>
          <w:lang w:bidi="ar"/>
          <w14:textFill>
            <w14:solidFill>
              <w14:schemeClr w14:val="tx1"/>
            </w14:solidFill>
          </w14:textFill>
        </w:rPr>
        <w:t>μT</w:t>
      </w: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0.0</w:t>
      </w:r>
      <w:r>
        <w:rPr>
          <w:rFonts w:hint="eastAsia"/>
          <w:color w:val="000000" w:themeColor="text1"/>
          <w:kern w:val="0"/>
          <w:lang w:bidi="ar"/>
          <w14:textFill>
            <w14:solidFill>
              <w14:schemeClr w14:val="tx1"/>
            </w14:solidFill>
          </w14:textFill>
        </w:rPr>
        <w:t>109</w:t>
      </w:r>
      <w:r>
        <w:rPr>
          <w:color w:val="000000" w:themeColor="text1"/>
          <w:kern w:val="0"/>
          <w:lang w:bidi="ar"/>
          <w14:textFill>
            <w14:solidFill>
              <w14:schemeClr w14:val="tx1"/>
            </w14:solidFill>
          </w14:textFill>
        </w:rPr>
        <w:t>μT</w:t>
      </w:r>
      <w:r>
        <w:rPr>
          <w:rFonts w:hint="eastAsia" w:ascii="宋体" w:hAnsi="宋体" w:cs="宋体"/>
          <w:color w:val="000000" w:themeColor="text1"/>
          <w:kern w:val="0"/>
          <w:lang w:bidi="ar"/>
          <w14:textFill>
            <w14:solidFill>
              <w14:schemeClr w14:val="tx1"/>
            </w14:solidFill>
          </w14:textFill>
        </w:rPr>
        <w:t>，满足</w:t>
      </w:r>
      <w:r>
        <w:rPr>
          <w:color w:val="000000" w:themeColor="text1"/>
          <w:kern w:val="0"/>
          <w:lang w:bidi="ar"/>
          <w14:textFill>
            <w14:solidFill>
              <w14:schemeClr w14:val="tx1"/>
            </w14:solidFill>
          </w14:textFill>
        </w:rPr>
        <w:t>100μT</w:t>
      </w:r>
      <w:r>
        <w:rPr>
          <w:rFonts w:hint="eastAsia" w:ascii="宋体" w:hAnsi="宋体" w:cs="宋体"/>
          <w:color w:val="000000" w:themeColor="text1"/>
          <w:kern w:val="0"/>
          <w:lang w:bidi="ar"/>
          <w14:textFill>
            <w14:solidFill>
              <w14:schemeClr w14:val="tx1"/>
            </w14:solidFill>
          </w14:textFill>
        </w:rPr>
        <w:t>公众曝露控制限值。</w:t>
      </w:r>
    </w:p>
    <w:bookmarkEnd w:id="703"/>
    <w:bookmarkEnd w:id="704"/>
    <w:bookmarkEnd w:id="705"/>
    <w:bookmarkEnd w:id="706"/>
    <w:bookmarkEnd w:id="707"/>
    <w:p w14:paraId="14567BE6">
      <w:pPr>
        <w:pStyle w:val="3"/>
        <w:keepNext/>
        <w:keepLines/>
        <w:tabs>
          <w:tab w:val="clear" w:pos="420"/>
          <w:tab w:val="clear" w:pos="907"/>
          <w:tab w:val="clear" w:pos="1267"/>
        </w:tabs>
        <w:adjustRightInd/>
        <w:spacing w:before="156" w:beforeLines="50" w:after="156" w:afterLines="50"/>
        <w:rPr>
          <w:color w:val="000000" w:themeColor="text1"/>
          <w:szCs w:val="32"/>
          <w:highlight w:val="green"/>
          <w14:textFill>
            <w14:solidFill>
              <w14:schemeClr w14:val="tx1"/>
            </w14:solidFill>
          </w14:textFill>
        </w:rPr>
      </w:pPr>
      <w:bookmarkStart w:id="708" w:name="_Toc6507"/>
      <w:bookmarkStart w:id="709" w:name="_Toc16600"/>
      <w:bookmarkStart w:id="710" w:name="_Toc15298"/>
      <w:bookmarkStart w:id="711" w:name="_Toc26698"/>
      <w:bookmarkStart w:id="712" w:name="_Toc5853"/>
      <w:bookmarkStart w:id="713" w:name="_Toc28409"/>
      <w:bookmarkStart w:id="714" w:name="_Toc19110"/>
      <w:bookmarkStart w:id="715" w:name="_Toc18927"/>
      <w:bookmarkStart w:id="716" w:name="_Toc9925"/>
      <w:bookmarkStart w:id="717" w:name="_Toc249"/>
      <w:bookmarkStart w:id="718" w:name="_Toc31403"/>
      <w:r>
        <w:rPr>
          <w:color w:val="000000" w:themeColor="text1"/>
          <w:szCs w:val="32"/>
          <w14:textFill>
            <w14:solidFill>
              <w14:schemeClr w14:val="tx1"/>
            </w14:solidFill>
          </w14:textFill>
        </w:rPr>
        <w:t>4.4声环境现状评价</w:t>
      </w:r>
      <w:bookmarkEnd w:id="708"/>
      <w:bookmarkEnd w:id="709"/>
      <w:bookmarkEnd w:id="710"/>
      <w:bookmarkEnd w:id="711"/>
      <w:bookmarkEnd w:id="712"/>
      <w:bookmarkEnd w:id="713"/>
      <w:bookmarkEnd w:id="714"/>
      <w:bookmarkEnd w:id="715"/>
      <w:bookmarkEnd w:id="716"/>
      <w:bookmarkEnd w:id="717"/>
      <w:bookmarkEnd w:id="718"/>
    </w:p>
    <w:p w14:paraId="54DBF0A8">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719" w:name="_Toc7052"/>
      <w:bookmarkStart w:id="720" w:name="_Toc5121"/>
      <w:bookmarkStart w:id="721" w:name="_Toc20982"/>
      <w:bookmarkStart w:id="722" w:name="_Toc13672"/>
      <w:bookmarkStart w:id="723" w:name="_Toc16731"/>
      <w:bookmarkStart w:id="724" w:name="_Toc4447"/>
      <w:bookmarkStart w:id="725" w:name="_Toc5183"/>
      <w:bookmarkStart w:id="726" w:name="_Toc21955"/>
      <w:bookmarkStart w:id="727" w:name="_Toc23474"/>
      <w:bookmarkStart w:id="728" w:name="_Toc9751"/>
      <w:bookmarkStart w:id="729" w:name="_Toc2883"/>
      <w:r>
        <w:rPr>
          <w:bCs/>
          <w:color w:val="000000" w:themeColor="text1"/>
          <w:sz w:val="28"/>
          <w:szCs w:val="32"/>
          <w14:textFill>
            <w14:solidFill>
              <w14:schemeClr w14:val="tx1"/>
            </w14:solidFill>
          </w14:textFill>
        </w:rPr>
        <w:t>4.4.1监测因子</w:t>
      </w:r>
      <w:bookmarkEnd w:id="719"/>
      <w:bookmarkEnd w:id="720"/>
      <w:bookmarkEnd w:id="721"/>
      <w:bookmarkEnd w:id="722"/>
      <w:bookmarkEnd w:id="723"/>
      <w:bookmarkEnd w:id="724"/>
      <w:bookmarkEnd w:id="725"/>
      <w:bookmarkEnd w:id="726"/>
      <w:bookmarkEnd w:id="727"/>
      <w:bookmarkEnd w:id="728"/>
      <w:bookmarkEnd w:id="729"/>
    </w:p>
    <w:p w14:paraId="14AC4F86">
      <w:pPr>
        <w:ind w:firstLine="480"/>
        <w:rPr>
          <w:color w:val="000000" w:themeColor="text1"/>
          <w14:textFill>
            <w14:solidFill>
              <w14:schemeClr w14:val="tx1"/>
            </w14:solidFill>
          </w14:textFill>
        </w:rPr>
      </w:pPr>
      <w:r>
        <w:rPr>
          <w:color w:val="000000" w:themeColor="text1"/>
          <w14:textFill>
            <w14:solidFill>
              <w14:schemeClr w14:val="tx1"/>
            </w14:solidFill>
          </w14:textFill>
        </w:rPr>
        <w:t>等效连续A声级</w:t>
      </w:r>
      <w:r>
        <w:rPr>
          <w:rFonts w:hint="eastAsia"/>
          <w:color w:val="000000" w:themeColor="text1"/>
          <w14:textFill>
            <w14:solidFill>
              <w14:schemeClr w14:val="tx1"/>
            </w14:solidFill>
          </w14:textFill>
        </w:rPr>
        <w:t>。</w:t>
      </w:r>
    </w:p>
    <w:p w14:paraId="31739023">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730" w:name="_Toc28278"/>
      <w:bookmarkStart w:id="731" w:name="_Toc15203"/>
      <w:bookmarkStart w:id="732" w:name="_Toc9470"/>
      <w:bookmarkStart w:id="733" w:name="_Toc16514"/>
      <w:bookmarkStart w:id="734" w:name="_Toc7543"/>
      <w:bookmarkStart w:id="735" w:name="_Toc8268"/>
      <w:bookmarkStart w:id="736" w:name="_Toc15220"/>
      <w:bookmarkStart w:id="737" w:name="_Toc16243"/>
      <w:bookmarkStart w:id="738" w:name="_Toc26878"/>
      <w:bookmarkStart w:id="739" w:name="_Toc11686"/>
      <w:bookmarkStart w:id="740" w:name="_Toc23817"/>
      <w:r>
        <w:rPr>
          <w:bCs/>
          <w:color w:val="000000" w:themeColor="text1"/>
          <w:sz w:val="28"/>
          <w:szCs w:val="32"/>
          <w14:textFill>
            <w14:solidFill>
              <w14:schemeClr w14:val="tx1"/>
            </w14:solidFill>
          </w14:textFill>
        </w:rPr>
        <w:t>4.4.2监测点位及布点方法</w:t>
      </w:r>
      <w:bookmarkEnd w:id="730"/>
      <w:bookmarkEnd w:id="731"/>
      <w:bookmarkEnd w:id="732"/>
      <w:bookmarkEnd w:id="733"/>
      <w:bookmarkEnd w:id="734"/>
      <w:bookmarkEnd w:id="735"/>
      <w:bookmarkEnd w:id="736"/>
      <w:bookmarkEnd w:id="737"/>
      <w:bookmarkEnd w:id="738"/>
      <w:bookmarkEnd w:id="739"/>
      <w:bookmarkEnd w:id="740"/>
    </w:p>
    <w:p w14:paraId="396D5AFE">
      <w:pPr>
        <w:ind w:firstLine="480"/>
        <w:rPr>
          <w:color w:val="000000" w:themeColor="text1"/>
          <w14:textFill>
            <w14:solidFill>
              <w14:schemeClr w14:val="tx1"/>
            </w14:solidFill>
          </w14:textFill>
        </w:rPr>
      </w:pPr>
      <w:r>
        <w:rPr>
          <w:color w:val="000000" w:themeColor="text1"/>
          <w14:textFill>
            <w14:solidFill>
              <w14:schemeClr w14:val="tx1"/>
            </w14:solidFill>
          </w14:textFill>
        </w:rPr>
        <w:t>根据本项目工程特点并考虑监测可操作性等原则，</w:t>
      </w:r>
      <w:r>
        <w:rPr>
          <w:rFonts w:hint="eastAsia"/>
          <w:color w:val="000000" w:themeColor="text1"/>
          <w14:textFill>
            <w14:solidFill>
              <w14:schemeClr w14:val="tx1"/>
            </w14:solidFill>
          </w14:textFill>
        </w:rPr>
        <w:t>项目声环境现状</w:t>
      </w:r>
      <w:r>
        <w:rPr>
          <w:color w:val="000000" w:themeColor="text1"/>
          <w14:textFill>
            <w14:solidFill>
              <w14:schemeClr w14:val="tx1"/>
            </w14:solidFill>
          </w14:textFill>
        </w:rPr>
        <w:t>共布设</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个监测点。</w:t>
      </w:r>
      <w:r>
        <w:rPr>
          <w:rFonts w:hint="eastAsia"/>
          <w:color w:val="000000" w:themeColor="text1"/>
          <w14:textFill>
            <w14:solidFill>
              <w14:schemeClr w14:val="tx1"/>
            </w14:solidFill>
          </w14:textFill>
        </w:rPr>
        <w:t>监测点位布置见表4.4-1。</w:t>
      </w:r>
      <w:r>
        <w:rPr>
          <w:color w:val="000000" w:themeColor="text1"/>
          <w14:textFill>
            <w14:solidFill>
              <w14:schemeClr w14:val="tx1"/>
            </w14:solidFill>
          </w14:textFill>
        </w:rPr>
        <w:t>监测点位布置见</w:t>
      </w:r>
      <w:r>
        <w:rPr>
          <w:rFonts w:hint="eastAsia"/>
          <w:color w:val="000000" w:themeColor="text1"/>
          <w14:textFill>
            <w14:solidFill>
              <w14:schemeClr w14:val="tx1"/>
            </w14:solidFill>
          </w14:textFill>
        </w:rPr>
        <w:t>图</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-1。</w:t>
      </w:r>
    </w:p>
    <w:p w14:paraId="334898AB">
      <w:pPr>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表4.4-1  声环境现状监测点位布设情况</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4"/>
        <w:gridCol w:w="2062"/>
        <w:gridCol w:w="3192"/>
        <w:gridCol w:w="2171"/>
      </w:tblGrid>
      <w:tr w14:paraId="2405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2" w:type="pct"/>
            <w:tcBorders>
              <w:top w:val="single" w:color="auto" w:sz="4" w:space="0"/>
              <w:left w:val="single" w:color="auto" w:sz="4" w:space="0"/>
              <w:bottom w:val="single" w:color="auto" w:sz="4" w:space="0"/>
              <w:right w:val="single" w:color="auto" w:sz="4" w:space="0"/>
            </w:tcBorders>
            <w:vAlign w:val="center"/>
          </w:tcPr>
          <w:p w14:paraId="03159C29">
            <w:pPr>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编号</w:t>
            </w:r>
          </w:p>
        </w:tc>
        <w:tc>
          <w:tcPr>
            <w:tcW w:w="1210" w:type="pct"/>
            <w:tcBorders>
              <w:top w:val="single" w:color="auto" w:sz="4" w:space="0"/>
              <w:left w:val="single" w:color="auto" w:sz="4" w:space="0"/>
              <w:bottom w:val="single" w:color="auto" w:sz="4" w:space="0"/>
              <w:right w:val="single" w:color="auto" w:sz="4" w:space="0"/>
            </w:tcBorders>
            <w:vAlign w:val="center"/>
          </w:tcPr>
          <w:p w14:paraId="6F1481AC">
            <w:pPr>
              <w:pStyle w:val="17"/>
              <w:spacing w:line="240" w:lineRule="auto"/>
              <w:ind w:left="0"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监测点名称</w:t>
            </w:r>
          </w:p>
        </w:tc>
        <w:tc>
          <w:tcPr>
            <w:tcW w:w="1873" w:type="pct"/>
            <w:tcBorders>
              <w:top w:val="single" w:color="auto" w:sz="4" w:space="0"/>
              <w:left w:val="single" w:color="auto" w:sz="4" w:space="0"/>
              <w:bottom w:val="single" w:color="auto" w:sz="4" w:space="0"/>
              <w:right w:val="single" w:color="auto" w:sz="4" w:space="0"/>
            </w:tcBorders>
            <w:vAlign w:val="center"/>
          </w:tcPr>
          <w:p w14:paraId="00BF86D9">
            <w:pPr>
              <w:pStyle w:val="17"/>
              <w:spacing w:line="240" w:lineRule="auto"/>
              <w:ind w:left="0"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监测点坐标</w:t>
            </w:r>
          </w:p>
        </w:tc>
        <w:tc>
          <w:tcPr>
            <w:tcW w:w="1274" w:type="pct"/>
            <w:tcBorders>
              <w:top w:val="single" w:color="auto" w:sz="4" w:space="0"/>
              <w:left w:val="single" w:color="auto" w:sz="4" w:space="0"/>
              <w:bottom w:val="single" w:color="auto" w:sz="4" w:space="0"/>
              <w:right w:val="single" w:color="auto" w:sz="4" w:space="0"/>
            </w:tcBorders>
            <w:vAlign w:val="center"/>
          </w:tcPr>
          <w:p w14:paraId="4EA4D17A">
            <w:pPr>
              <w:pStyle w:val="17"/>
              <w:spacing w:line="240" w:lineRule="auto"/>
              <w:ind w:left="0" w:firstLine="0" w:firstLineChars="0"/>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监测因子</w:t>
            </w:r>
          </w:p>
        </w:tc>
      </w:tr>
      <w:tr w14:paraId="2BF7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2" w:type="pct"/>
            <w:tcBorders>
              <w:top w:val="single" w:color="auto" w:sz="4" w:space="0"/>
              <w:left w:val="single" w:color="auto" w:sz="4" w:space="0"/>
              <w:bottom w:val="single" w:color="auto" w:sz="4" w:space="0"/>
              <w:right w:val="single" w:color="auto" w:sz="4" w:space="0"/>
            </w:tcBorders>
            <w:vAlign w:val="center"/>
          </w:tcPr>
          <w:p w14:paraId="72CFC1C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N1</w:t>
            </w:r>
          </w:p>
        </w:tc>
        <w:tc>
          <w:tcPr>
            <w:tcW w:w="1210" w:type="pct"/>
            <w:tcBorders>
              <w:top w:val="single" w:color="auto" w:sz="4" w:space="0"/>
              <w:left w:val="single" w:color="auto" w:sz="4" w:space="0"/>
              <w:bottom w:val="single" w:color="auto" w:sz="4" w:space="0"/>
              <w:right w:val="single" w:color="auto" w:sz="4" w:space="0"/>
            </w:tcBorders>
            <w:vAlign w:val="center"/>
          </w:tcPr>
          <w:p w14:paraId="274926FD">
            <w:pPr>
              <w:autoSpaceDE w:val="0"/>
              <w:autoSpaceDN w:val="0"/>
              <w:adjustRightInd w:val="0"/>
              <w:spacing w:line="240" w:lineRule="auto"/>
              <w:ind w:firstLine="0" w:firstLineChars="0"/>
              <w:jc w:val="center"/>
              <w:textAlignment w:val="baseline"/>
              <w:rPr>
                <w:rFonts w:hint="eastAsia" w:eastAsia="宋体"/>
                <w:color w:val="000000" w:themeColor="text1"/>
                <w:sz w:val="21"/>
                <w:szCs w:val="21"/>
                <w:lang w:eastAsia="zh-CN"/>
                <w14:textFill>
                  <w14:solidFill>
                    <w14:schemeClr w14:val="tx1"/>
                  </w14:solidFill>
                </w14:textFill>
              </w:rPr>
            </w:pPr>
            <w:r>
              <w:rPr>
                <w:color w:val="000000" w:themeColor="text1"/>
                <w:kern w:val="0"/>
                <w:sz w:val="21"/>
                <w:szCs w:val="21"/>
                <w14:textFill>
                  <w14:solidFill>
                    <w14:schemeClr w14:val="tx1"/>
                  </w14:solidFill>
                </w14:textFill>
              </w:rPr>
              <w:t>输电线路起点</w:t>
            </w:r>
            <w:r>
              <w:rPr>
                <w:rFonts w:hint="eastAsia"/>
                <w:color w:val="000000" w:themeColor="text1"/>
                <w:kern w:val="0"/>
                <w:sz w:val="21"/>
                <w:szCs w:val="21"/>
                <w:lang w:eastAsia="zh-CN"/>
                <w14:textFill>
                  <w14:solidFill>
                    <w14:schemeClr w14:val="tx1"/>
                  </w14:solidFill>
                </w14:textFill>
              </w:rPr>
              <w:t>（</w:t>
            </w:r>
            <w:r>
              <w:rPr>
                <w:rFonts w:hint="eastAsia"/>
                <w:color w:val="000000" w:themeColor="text1"/>
                <w:kern w:val="0"/>
                <w:sz w:val="21"/>
                <w:szCs w:val="21"/>
                <w:lang w:val="en-US" w:eastAsia="zh-CN"/>
                <w14:textFill>
                  <w14:solidFill>
                    <w14:schemeClr w14:val="tx1"/>
                  </w14:solidFill>
                </w14:textFill>
              </w:rPr>
              <w:t>若羌火电厂</w:t>
            </w:r>
            <w:r>
              <w:rPr>
                <w:rFonts w:hint="eastAsia"/>
                <w:color w:val="000000" w:themeColor="text1"/>
                <w:kern w:val="0"/>
                <w:sz w:val="21"/>
                <w:szCs w:val="21"/>
                <w:lang w:eastAsia="zh-CN"/>
                <w14:textFill>
                  <w14:solidFill>
                    <w14:schemeClr w14:val="tx1"/>
                  </w14:solidFill>
                </w14:textFill>
              </w:rPr>
              <w:t>）</w:t>
            </w:r>
          </w:p>
        </w:tc>
        <w:tc>
          <w:tcPr>
            <w:tcW w:w="1873" w:type="pct"/>
            <w:tcBorders>
              <w:top w:val="single" w:color="auto" w:sz="4" w:space="0"/>
              <w:left w:val="single" w:color="auto" w:sz="4" w:space="0"/>
              <w:bottom w:val="single" w:color="auto" w:sz="4" w:space="0"/>
              <w:right w:val="single" w:color="auto" w:sz="4" w:space="0"/>
            </w:tcBorders>
            <w:vAlign w:val="center"/>
          </w:tcPr>
          <w:p w14:paraId="3C6986F6">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w:t>
            </w:r>
            <w:r>
              <w:rPr>
                <w:color w:val="000000" w:themeColor="text1"/>
                <w:sz w:val="21"/>
                <w:szCs w:val="21"/>
                <w14:textFill>
                  <w14:solidFill>
                    <w14:schemeClr w14:val="tx1"/>
                  </w14:solidFill>
                </w14:textFill>
              </w:rPr>
              <w:t>88°31′32.625″</w:t>
            </w:r>
            <w:r>
              <w:rPr>
                <w:rFonts w:hint="eastAsia"/>
                <w:color w:val="000000" w:themeColor="text1"/>
                <w:sz w:val="21"/>
                <w:szCs w:val="21"/>
                <w14:textFill>
                  <w14:solidFill>
                    <w14:schemeClr w14:val="tx1"/>
                  </w14:solidFill>
                </w14:textFill>
              </w:rPr>
              <w:t>，N</w:t>
            </w:r>
            <w:r>
              <w:rPr>
                <w:color w:val="000000" w:themeColor="text1"/>
                <w:sz w:val="21"/>
                <w:szCs w:val="21"/>
                <w14:textFill>
                  <w14:solidFill>
                    <w14:schemeClr w14:val="tx1"/>
                  </w14:solidFill>
                </w14:textFill>
              </w:rPr>
              <w:t>38°58′2.01</w:t>
            </w: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w:t>
            </w:r>
          </w:p>
        </w:tc>
        <w:tc>
          <w:tcPr>
            <w:tcW w:w="1274" w:type="pct"/>
            <w:vMerge w:val="restart"/>
            <w:tcBorders>
              <w:top w:val="single" w:color="auto" w:sz="4" w:space="0"/>
              <w:left w:val="single" w:color="auto" w:sz="4" w:space="0"/>
              <w:right w:val="single" w:color="auto" w:sz="4" w:space="0"/>
            </w:tcBorders>
            <w:vAlign w:val="center"/>
          </w:tcPr>
          <w:p w14:paraId="376B570C">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连续等效A声级</w:t>
            </w:r>
          </w:p>
        </w:tc>
      </w:tr>
      <w:tr w14:paraId="49C2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2" w:type="pct"/>
            <w:tcBorders>
              <w:top w:val="single" w:color="auto" w:sz="4" w:space="0"/>
              <w:left w:val="single" w:color="auto" w:sz="4" w:space="0"/>
              <w:bottom w:val="single" w:color="auto" w:sz="4" w:space="0"/>
              <w:right w:val="single" w:color="auto" w:sz="4" w:space="0"/>
            </w:tcBorders>
            <w:vAlign w:val="center"/>
          </w:tcPr>
          <w:p w14:paraId="446DF727">
            <w:pPr>
              <w:spacing w:line="240" w:lineRule="auto"/>
              <w:ind w:firstLine="0" w:firstLineChars="0"/>
              <w:jc w:val="center"/>
              <w:rPr>
                <w:rFonts w:eastAsiaTheme="minor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N2</w:t>
            </w:r>
          </w:p>
        </w:tc>
        <w:tc>
          <w:tcPr>
            <w:tcW w:w="1210" w:type="pct"/>
            <w:tcBorders>
              <w:top w:val="single" w:color="auto" w:sz="4" w:space="0"/>
              <w:left w:val="single" w:color="auto" w:sz="4" w:space="0"/>
              <w:bottom w:val="single" w:color="auto" w:sz="4" w:space="0"/>
              <w:right w:val="single" w:color="auto" w:sz="4" w:space="0"/>
            </w:tcBorders>
            <w:vAlign w:val="center"/>
          </w:tcPr>
          <w:p w14:paraId="49AF675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输电线路沿线1</w:t>
            </w:r>
          </w:p>
        </w:tc>
        <w:tc>
          <w:tcPr>
            <w:tcW w:w="1873" w:type="pct"/>
            <w:tcBorders>
              <w:top w:val="single" w:color="auto" w:sz="4" w:space="0"/>
              <w:left w:val="single" w:color="auto" w:sz="4" w:space="0"/>
              <w:bottom w:val="single" w:color="auto" w:sz="4" w:space="0"/>
              <w:right w:val="single" w:color="auto" w:sz="4" w:space="0"/>
            </w:tcBorders>
            <w:vAlign w:val="center"/>
          </w:tcPr>
          <w:p w14:paraId="691B413A">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w:t>
            </w:r>
            <w:r>
              <w:rPr>
                <w:color w:val="000000" w:themeColor="text1"/>
                <w:sz w:val="21"/>
                <w:szCs w:val="21"/>
                <w14:textFill>
                  <w14:solidFill>
                    <w14:schemeClr w14:val="tx1"/>
                  </w14:solidFill>
                </w14:textFill>
              </w:rPr>
              <w:t>88°30′10.43</w:t>
            </w:r>
            <w:r>
              <w:rPr>
                <w:rFonts w:hint="eastAsia"/>
                <w:color w:val="000000" w:themeColor="text1"/>
                <w:sz w:val="21"/>
                <w:szCs w:val="21"/>
                <w14:textFill>
                  <w14:solidFill>
                    <w14:schemeClr w14:val="tx1"/>
                  </w14:solidFill>
                </w14:textFill>
              </w:rPr>
              <w:t>4</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，N</w:t>
            </w:r>
            <w:r>
              <w:rPr>
                <w:color w:val="000000" w:themeColor="text1"/>
                <w:sz w:val="21"/>
                <w:szCs w:val="21"/>
                <w14:textFill>
                  <w14:solidFill>
                    <w14:schemeClr w14:val="tx1"/>
                  </w14:solidFill>
                </w14:textFill>
              </w:rPr>
              <w:t>38°59′19.012″</w:t>
            </w:r>
          </w:p>
        </w:tc>
        <w:tc>
          <w:tcPr>
            <w:tcW w:w="1274" w:type="pct"/>
            <w:vMerge w:val="continue"/>
            <w:tcBorders>
              <w:left w:val="single" w:color="auto" w:sz="4" w:space="0"/>
              <w:right w:val="single" w:color="auto" w:sz="4" w:space="0"/>
            </w:tcBorders>
            <w:vAlign w:val="center"/>
          </w:tcPr>
          <w:p w14:paraId="55A22DC1">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p>
        </w:tc>
      </w:tr>
      <w:tr w14:paraId="3175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2" w:type="pct"/>
            <w:tcBorders>
              <w:top w:val="single" w:color="auto" w:sz="4" w:space="0"/>
              <w:left w:val="single" w:color="auto" w:sz="4" w:space="0"/>
              <w:bottom w:val="single" w:color="auto" w:sz="4" w:space="0"/>
              <w:right w:val="single" w:color="auto" w:sz="4" w:space="0"/>
            </w:tcBorders>
            <w:vAlign w:val="center"/>
          </w:tcPr>
          <w:p w14:paraId="36E82B4A">
            <w:pPr>
              <w:spacing w:line="240" w:lineRule="auto"/>
              <w:ind w:firstLine="0" w:firstLineChars="0"/>
              <w:jc w:val="center"/>
              <w:rPr>
                <w:rFonts w:eastAsiaTheme="minor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N3</w:t>
            </w:r>
          </w:p>
        </w:tc>
        <w:tc>
          <w:tcPr>
            <w:tcW w:w="1210" w:type="pct"/>
            <w:tcBorders>
              <w:top w:val="single" w:color="auto" w:sz="4" w:space="0"/>
              <w:left w:val="single" w:color="auto" w:sz="4" w:space="0"/>
              <w:bottom w:val="single" w:color="auto" w:sz="4" w:space="0"/>
              <w:right w:val="single" w:color="auto" w:sz="4" w:space="0"/>
            </w:tcBorders>
            <w:vAlign w:val="center"/>
          </w:tcPr>
          <w:p w14:paraId="03D17AF8">
            <w:pPr>
              <w:autoSpaceDE w:val="0"/>
              <w:autoSpaceDN w:val="0"/>
              <w:adjustRightInd w:val="0"/>
              <w:spacing w:line="240" w:lineRule="auto"/>
              <w:ind w:firstLine="0" w:firstLineChars="0"/>
              <w:jc w:val="center"/>
              <w:textAlignment w:val="baseline"/>
              <w:rPr>
                <w:color w:val="000000" w:themeColor="text1"/>
                <w:sz w:val="21"/>
                <w:szCs w:val="21"/>
                <w14:textFill>
                  <w14:solidFill>
                    <w14:schemeClr w14:val="tx1"/>
                  </w14:solidFill>
                </w14:textFill>
              </w:rPr>
            </w:pPr>
            <w:r>
              <w:rPr>
                <w:color w:val="000000" w:themeColor="text1"/>
                <w:kern w:val="0"/>
                <w:sz w:val="21"/>
                <w:szCs w:val="21"/>
                <w14:textFill>
                  <w14:solidFill>
                    <w14:schemeClr w14:val="tx1"/>
                  </w14:solidFill>
                </w14:textFill>
              </w:rPr>
              <w:t>输电线路沿线2</w:t>
            </w:r>
          </w:p>
        </w:tc>
        <w:tc>
          <w:tcPr>
            <w:tcW w:w="1873" w:type="pct"/>
            <w:tcBorders>
              <w:top w:val="single" w:color="auto" w:sz="4" w:space="0"/>
              <w:left w:val="single" w:color="auto" w:sz="4" w:space="0"/>
              <w:bottom w:val="single" w:color="auto" w:sz="4" w:space="0"/>
              <w:right w:val="single" w:color="auto" w:sz="4" w:space="0"/>
            </w:tcBorders>
            <w:vAlign w:val="center"/>
          </w:tcPr>
          <w:p w14:paraId="166741B4">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w:t>
            </w:r>
            <w:r>
              <w:rPr>
                <w:color w:val="000000" w:themeColor="text1"/>
                <w:sz w:val="21"/>
                <w:szCs w:val="21"/>
                <w14:textFill>
                  <w14:solidFill>
                    <w14:schemeClr w14:val="tx1"/>
                  </w14:solidFill>
                </w14:textFill>
              </w:rPr>
              <w:t>88°28′2.685″</w:t>
            </w:r>
            <w:r>
              <w:rPr>
                <w:rFonts w:hint="eastAsia"/>
                <w:color w:val="000000" w:themeColor="text1"/>
                <w:sz w:val="21"/>
                <w:szCs w:val="21"/>
                <w14:textFill>
                  <w14:solidFill>
                    <w14:schemeClr w14:val="tx1"/>
                  </w14:solidFill>
                </w14:textFill>
              </w:rPr>
              <w:t>，N</w:t>
            </w:r>
            <w:r>
              <w:rPr>
                <w:color w:val="000000" w:themeColor="text1"/>
                <w:sz w:val="21"/>
                <w:szCs w:val="21"/>
                <w14:textFill>
                  <w14:solidFill>
                    <w14:schemeClr w14:val="tx1"/>
                  </w14:solidFill>
                </w14:textFill>
              </w:rPr>
              <w:t>39°0′19.48</w:t>
            </w:r>
            <w:r>
              <w:rPr>
                <w:rFonts w:hint="eastAsia"/>
                <w:color w:val="000000" w:themeColor="text1"/>
                <w:sz w:val="21"/>
                <w:szCs w:val="21"/>
                <w14:textFill>
                  <w14:solidFill>
                    <w14:schemeClr w14:val="tx1"/>
                  </w14:solidFill>
                </w14:textFill>
              </w:rPr>
              <w:t>3</w:t>
            </w:r>
            <w:r>
              <w:rPr>
                <w:color w:val="000000" w:themeColor="text1"/>
                <w:sz w:val="21"/>
                <w:szCs w:val="21"/>
                <w14:textFill>
                  <w14:solidFill>
                    <w14:schemeClr w14:val="tx1"/>
                  </w14:solidFill>
                </w14:textFill>
              </w:rPr>
              <w:t>″</w:t>
            </w:r>
          </w:p>
        </w:tc>
        <w:tc>
          <w:tcPr>
            <w:tcW w:w="1274" w:type="pct"/>
            <w:vMerge w:val="continue"/>
            <w:tcBorders>
              <w:left w:val="single" w:color="auto" w:sz="4" w:space="0"/>
              <w:right w:val="single" w:color="auto" w:sz="4" w:space="0"/>
            </w:tcBorders>
            <w:vAlign w:val="center"/>
          </w:tcPr>
          <w:p w14:paraId="1250666B">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p>
        </w:tc>
      </w:tr>
      <w:tr w14:paraId="27E6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2" w:type="pct"/>
            <w:tcBorders>
              <w:top w:val="single" w:color="auto" w:sz="4" w:space="0"/>
              <w:left w:val="single" w:color="auto" w:sz="4" w:space="0"/>
              <w:bottom w:val="single" w:color="auto" w:sz="4" w:space="0"/>
              <w:right w:val="single" w:color="auto" w:sz="4" w:space="0"/>
            </w:tcBorders>
            <w:vAlign w:val="center"/>
          </w:tcPr>
          <w:p w14:paraId="0ED50A86">
            <w:pPr>
              <w:spacing w:line="240" w:lineRule="auto"/>
              <w:ind w:firstLine="0" w:firstLineChars="0"/>
              <w:jc w:val="center"/>
              <w:rPr>
                <w:rFonts w:eastAsiaTheme="minor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N4</w:t>
            </w:r>
          </w:p>
        </w:tc>
        <w:tc>
          <w:tcPr>
            <w:tcW w:w="1210" w:type="pct"/>
            <w:tcBorders>
              <w:top w:val="single" w:color="auto" w:sz="4" w:space="0"/>
              <w:left w:val="single" w:color="auto" w:sz="4" w:space="0"/>
              <w:bottom w:val="single" w:color="auto" w:sz="4" w:space="0"/>
              <w:right w:val="single" w:color="auto" w:sz="4" w:space="0"/>
            </w:tcBorders>
            <w:vAlign w:val="center"/>
          </w:tcPr>
          <w:p w14:paraId="1E017A31">
            <w:pPr>
              <w:autoSpaceDE w:val="0"/>
              <w:autoSpaceDN w:val="0"/>
              <w:adjustRightInd w:val="0"/>
              <w:spacing w:line="240" w:lineRule="auto"/>
              <w:ind w:firstLine="0" w:firstLineChars="0"/>
              <w:jc w:val="center"/>
              <w:textAlignment w:val="baseline"/>
              <w:rPr>
                <w:rFonts w:hint="eastAsia" w:eastAsia="宋体"/>
                <w:color w:val="000000" w:themeColor="text1"/>
                <w:sz w:val="21"/>
                <w:szCs w:val="21"/>
                <w:lang w:val="en-US" w:eastAsia="zh-CN"/>
                <w14:textFill>
                  <w14:solidFill>
                    <w14:schemeClr w14:val="tx1"/>
                  </w14:solidFill>
                </w14:textFill>
              </w:rPr>
            </w:pPr>
            <w:r>
              <w:rPr>
                <w:color w:val="000000" w:themeColor="text1"/>
                <w:kern w:val="0"/>
                <w:sz w:val="21"/>
                <w:szCs w:val="21"/>
                <w14:textFill>
                  <w14:solidFill>
                    <w14:schemeClr w14:val="tx1"/>
                  </w14:solidFill>
                </w14:textFill>
              </w:rPr>
              <w:t>输电线路终点</w:t>
            </w:r>
            <w:r>
              <w:rPr>
                <w:rFonts w:hint="eastAsia"/>
                <w:color w:val="000000" w:themeColor="text1"/>
                <w:kern w:val="0"/>
                <w:sz w:val="21"/>
                <w:szCs w:val="21"/>
                <w:lang w:eastAsia="zh-CN"/>
                <w14:textFill>
                  <w14:solidFill>
                    <w14:schemeClr w14:val="tx1"/>
                  </w14:solidFill>
                </w14:textFill>
              </w:rPr>
              <w:t>（</w:t>
            </w:r>
            <w:r>
              <w:rPr>
                <w:rFonts w:hint="eastAsia"/>
                <w:color w:val="000000" w:themeColor="text1"/>
                <w:kern w:val="0"/>
                <w:sz w:val="21"/>
                <w:szCs w:val="21"/>
                <w:lang w:val="en-US" w:eastAsia="zh-CN"/>
                <w14:textFill>
                  <w14:solidFill>
                    <w14:schemeClr w14:val="tx1"/>
                  </w14:solidFill>
                </w14:textFill>
              </w:rPr>
              <w:t>若羌±800kV换流站</w:t>
            </w:r>
            <w:r>
              <w:rPr>
                <w:rFonts w:hint="eastAsia"/>
                <w:color w:val="000000" w:themeColor="text1"/>
                <w:kern w:val="0"/>
                <w:sz w:val="21"/>
                <w:szCs w:val="21"/>
                <w:lang w:eastAsia="zh-CN"/>
                <w14:textFill>
                  <w14:solidFill>
                    <w14:schemeClr w14:val="tx1"/>
                  </w14:solidFill>
                </w14:textFill>
              </w:rPr>
              <w:t>）</w:t>
            </w:r>
          </w:p>
        </w:tc>
        <w:tc>
          <w:tcPr>
            <w:tcW w:w="1873" w:type="pct"/>
            <w:tcBorders>
              <w:top w:val="single" w:color="auto" w:sz="4" w:space="0"/>
              <w:left w:val="single" w:color="auto" w:sz="4" w:space="0"/>
              <w:bottom w:val="single" w:color="auto" w:sz="4" w:space="0"/>
              <w:right w:val="single" w:color="auto" w:sz="4" w:space="0"/>
            </w:tcBorders>
            <w:vAlign w:val="center"/>
          </w:tcPr>
          <w:p w14:paraId="39B97687">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E</w:t>
            </w:r>
            <w:r>
              <w:rPr>
                <w:color w:val="000000" w:themeColor="text1"/>
                <w:sz w:val="21"/>
                <w:szCs w:val="21"/>
                <w14:textFill>
                  <w14:solidFill>
                    <w14:schemeClr w14:val="tx1"/>
                  </w14:solidFill>
                </w14:textFill>
              </w:rPr>
              <w:t>88°25′36.59</w:t>
            </w:r>
            <w:r>
              <w:rPr>
                <w:rFonts w:hint="eastAsia"/>
                <w:color w:val="000000" w:themeColor="text1"/>
                <w:sz w:val="21"/>
                <w:szCs w:val="21"/>
                <w14:textFill>
                  <w14:solidFill>
                    <w14:schemeClr w14:val="tx1"/>
                  </w14:solidFill>
                </w14:textFill>
              </w:rPr>
              <w:t>1</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，N</w:t>
            </w:r>
            <w:r>
              <w:rPr>
                <w:color w:val="000000" w:themeColor="text1"/>
                <w:sz w:val="21"/>
                <w:szCs w:val="21"/>
                <w14:textFill>
                  <w14:solidFill>
                    <w14:schemeClr w14:val="tx1"/>
                  </w14:solidFill>
                </w14:textFill>
              </w:rPr>
              <w:t>39°0′9.36</w:t>
            </w:r>
            <w:r>
              <w:rPr>
                <w:rFonts w:hint="eastAsia"/>
                <w:color w:val="000000" w:themeColor="text1"/>
                <w:sz w:val="21"/>
                <w:szCs w:val="21"/>
                <w14:textFill>
                  <w14:solidFill>
                    <w14:schemeClr w14:val="tx1"/>
                  </w14:solidFill>
                </w14:textFill>
              </w:rPr>
              <w:t>8</w:t>
            </w:r>
            <w:r>
              <w:rPr>
                <w:color w:val="000000" w:themeColor="text1"/>
                <w:sz w:val="21"/>
                <w:szCs w:val="21"/>
                <w14:textFill>
                  <w14:solidFill>
                    <w14:schemeClr w14:val="tx1"/>
                  </w14:solidFill>
                </w14:textFill>
              </w:rPr>
              <w:t>″</w:t>
            </w:r>
          </w:p>
        </w:tc>
        <w:tc>
          <w:tcPr>
            <w:tcW w:w="1274" w:type="pct"/>
            <w:vMerge w:val="continue"/>
            <w:tcBorders>
              <w:left w:val="single" w:color="auto" w:sz="4" w:space="0"/>
              <w:bottom w:val="single" w:color="auto" w:sz="4" w:space="0"/>
              <w:right w:val="single" w:color="auto" w:sz="4" w:space="0"/>
            </w:tcBorders>
            <w:vAlign w:val="center"/>
          </w:tcPr>
          <w:p w14:paraId="1B04F2E2">
            <w:pPr>
              <w:pStyle w:val="21"/>
              <w:widowControl/>
              <w:spacing w:before="0" w:beforeAutospacing="0" w:after="0" w:afterAutospacing="0" w:line="240" w:lineRule="auto"/>
              <w:ind w:firstLine="0" w:firstLineChars="0"/>
              <w:jc w:val="center"/>
              <w:rPr>
                <w:color w:val="000000" w:themeColor="text1"/>
                <w:sz w:val="21"/>
                <w:szCs w:val="21"/>
                <w14:textFill>
                  <w14:solidFill>
                    <w14:schemeClr w14:val="tx1"/>
                  </w14:solidFill>
                </w14:textFill>
              </w:rPr>
            </w:pPr>
          </w:p>
        </w:tc>
      </w:tr>
    </w:tbl>
    <w:p w14:paraId="54A61A51">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741" w:name="表45"/>
      <w:bookmarkEnd w:id="741"/>
      <w:bookmarkStart w:id="742" w:name="_Toc29699"/>
      <w:bookmarkStart w:id="743" w:name="_Toc22278"/>
      <w:bookmarkStart w:id="744" w:name="_Toc16305"/>
      <w:bookmarkStart w:id="745" w:name="_Toc4193"/>
      <w:bookmarkStart w:id="746" w:name="_Toc11334"/>
      <w:bookmarkStart w:id="747" w:name="_Toc8343"/>
      <w:bookmarkStart w:id="748" w:name="_Toc6817"/>
      <w:bookmarkStart w:id="749" w:name="_Toc23791"/>
      <w:bookmarkStart w:id="750" w:name="_Toc23141"/>
      <w:bookmarkStart w:id="751" w:name="_Toc30236"/>
      <w:bookmarkStart w:id="752" w:name="_Toc6596"/>
      <w:bookmarkStart w:id="753" w:name="_Toc19717"/>
      <w:bookmarkStart w:id="754" w:name="_Toc26296"/>
      <w:bookmarkStart w:id="755" w:name="_Toc14312"/>
      <w:bookmarkStart w:id="756" w:name="_Toc25632"/>
      <w:bookmarkStart w:id="757" w:name="_Toc17956"/>
      <w:bookmarkStart w:id="758" w:name="_Toc4531"/>
      <w:bookmarkStart w:id="759" w:name="_Toc21913"/>
      <w:bookmarkStart w:id="760" w:name="_Toc15355"/>
      <w:bookmarkStart w:id="761" w:name="_Toc6474"/>
      <w:bookmarkStart w:id="762" w:name="_Toc25971"/>
      <w:bookmarkStart w:id="763" w:name="_Toc432166993"/>
      <w:r>
        <w:rPr>
          <w:bCs/>
          <w:color w:val="000000" w:themeColor="text1"/>
          <w:sz w:val="28"/>
          <w:szCs w:val="32"/>
          <w14:textFill>
            <w14:solidFill>
              <w14:schemeClr w14:val="tx1"/>
            </w14:solidFill>
          </w14:textFill>
        </w:rPr>
        <w:t>4.4.3监测频次</w:t>
      </w:r>
      <w:bookmarkEnd w:id="742"/>
      <w:bookmarkEnd w:id="743"/>
      <w:bookmarkEnd w:id="744"/>
      <w:bookmarkEnd w:id="745"/>
      <w:bookmarkEnd w:id="746"/>
      <w:bookmarkEnd w:id="747"/>
      <w:bookmarkEnd w:id="748"/>
      <w:bookmarkEnd w:id="749"/>
      <w:bookmarkEnd w:id="750"/>
      <w:bookmarkEnd w:id="751"/>
      <w:bookmarkEnd w:id="752"/>
    </w:p>
    <w:p w14:paraId="034C8A05">
      <w:pPr>
        <w:ind w:firstLine="480"/>
        <w:rPr>
          <w:color w:val="000000" w:themeColor="text1"/>
          <w14:textFill>
            <w14:solidFill>
              <w14:schemeClr w14:val="tx1"/>
            </w14:solidFill>
          </w14:textFill>
        </w:rPr>
      </w:pPr>
      <w:r>
        <w:rPr>
          <w:color w:val="000000" w:themeColor="text1"/>
          <w14:textFill>
            <w14:solidFill>
              <w14:schemeClr w14:val="tx1"/>
            </w14:solidFill>
          </w14:textFill>
        </w:rPr>
        <w:t>连续监测</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天，昼间和夜间各监测一次。</w:t>
      </w:r>
    </w:p>
    <w:p w14:paraId="2A578735">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764" w:name="_Toc10231"/>
      <w:bookmarkStart w:id="765" w:name="_Toc25407"/>
      <w:bookmarkStart w:id="766" w:name="_Toc2465"/>
      <w:bookmarkStart w:id="767" w:name="_Toc30762"/>
      <w:bookmarkStart w:id="768" w:name="_Toc18321"/>
      <w:bookmarkStart w:id="769" w:name="_Toc16996"/>
      <w:bookmarkStart w:id="770" w:name="_Toc19494"/>
      <w:bookmarkStart w:id="771" w:name="_Toc17295"/>
      <w:bookmarkStart w:id="772" w:name="_Toc32387"/>
      <w:bookmarkStart w:id="773" w:name="_Toc14871"/>
      <w:bookmarkStart w:id="774" w:name="_Toc3540"/>
      <w:r>
        <w:rPr>
          <w:bCs/>
          <w:color w:val="000000" w:themeColor="text1"/>
          <w:sz w:val="28"/>
          <w:szCs w:val="32"/>
          <w14:textFill>
            <w14:solidFill>
              <w14:schemeClr w14:val="tx1"/>
            </w14:solidFill>
          </w14:textFill>
        </w:rPr>
        <w:t>4.4.4监测方法及仪器</w:t>
      </w:r>
      <w:bookmarkEnd w:id="764"/>
      <w:bookmarkEnd w:id="765"/>
      <w:bookmarkEnd w:id="766"/>
      <w:bookmarkEnd w:id="767"/>
      <w:bookmarkEnd w:id="768"/>
      <w:bookmarkEnd w:id="769"/>
      <w:bookmarkEnd w:id="770"/>
      <w:bookmarkEnd w:id="771"/>
      <w:bookmarkEnd w:id="772"/>
      <w:bookmarkEnd w:id="773"/>
      <w:bookmarkEnd w:id="774"/>
    </w:p>
    <w:p w14:paraId="7AEAC83B">
      <w:pPr>
        <w:ind w:firstLine="480"/>
        <w:rPr>
          <w:color w:val="000000" w:themeColor="text1"/>
          <w14:textFill>
            <w14:solidFill>
              <w14:schemeClr w14:val="tx1"/>
            </w14:solidFill>
          </w14:textFill>
        </w:rPr>
      </w:pPr>
      <w:r>
        <w:rPr>
          <w:color w:val="000000" w:themeColor="text1"/>
          <w14:textFill>
            <w14:solidFill>
              <w14:schemeClr w14:val="tx1"/>
            </w14:solidFill>
          </w14:textFill>
        </w:rPr>
        <w:t>（1）监测方法</w:t>
      </w:r>
    </w:p>
    <w:p w14:paraId="1C107752">
      <w:pPr>
        <w:ind w:firstLine="480"/>
        <w:rPr>
          <w:color w:val="000000" w:themeColor="text1"/>
          <w14:textFill>
            <w14:solidFill>
              <w14:schemeClr w14:val="tx1"/>
            </w14:solidFill>
          </w14:textFill>
        </w:rPr>
      </w:pPr>
      <w:r>
        <w:rPr>
          <w:color w:val="000000" w:themeColor="text1"/>
          <w14:textFill>
            <w14:solidFill>
              <w14:schemeClr w14:val="tx1"/>
            </w14:solidFill>
          </w14:textFill>
        </w:rPr>
        <w:t>按</w:t>
      </w:r>
      <w:r>
        <w:rPr>
          <w:rFonts w:hint="default" w:ascii="Times New Roman" w:hAnsi="Times New Roman" w:cs="Times New Roman" w:eastAsiaTheme="minorEastAsia"/>
          <w:color w:val="000000" w:themeColor="text1"/>
          <w:sz w:val="24"/>
          <w:szCs w:val="24"/>
          <w:highlight w:val="none"/>
          <w:lang w:val="zh-CN"/>
          <w14:textFill>
            <w14:solidFill>
              <w14:schemeClr w14:val="tx1"/>
            </w14:solidFill>
          </w14:textFill>
        </w:rPr>
        <w:t>《</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声环境质量标准</w:t>
      </w:r>
      <w:r>
        <w:rPr>
          <w:rFonts w:hint="default" w:ascii="Times New Roman" w:hAnsi="Times New Roman" w:cs="Times New Roman" w:eastAsiaTheme="minorEastAsia"/>
          <w:color w:val="000000" w:themeColor="text1"/>
          <w:sz w:val="24"/>
          <w:szCs w:val="24"/>
          <w:highlight w:val="none"/>
          <w:lang w:val="zh-CN"/>
          <w14:textFill>
            <w14:solidFill>
              <w14:schemeClr w14:val="tx1"/>
            </w14:solidFill>
          </w14:textFill>
        </w:rPr>
        <w:t>》</w:t>
      </w:r>
      <w:r>
        <w:rPr>
          <w:color w:val="000000" w:themeColor="text1"/>
          <w:lang w:val="zh-CN"/>
          <w14:textFill>
            <w14:solidFill>
              <w14:schemeClr w14:val="tx1"/>
            </w14:solidFill>
          </w14:textFill>
        </w:rPr>
        <w:t>（GB</w:t>
      </w:r>
      <w:r>
        <w:rPr>
          <w:rFonts w:hint="eastAsia"/>
          <w:color w:val="000000" w:themeColor="text1"/>
          <w:lang w:val="en-US" w:eastAsia="zh-CN"/>
          <w14:textFill>
            <w14:solidFill>
              <w14:schemeClr w14:val="tx1"/>
            </w14:solidFill>
          </w14:textFill>
        </w:rPr>
        <w:t>3096</w:t>
      </w:r>
      <w:r>
        <w:rPr>
          <w:color w:val="000000" w:themeColor="text1"/>
          <w:lang w:val="zh-CN"/>
          <w14:textFill>
            <w14:solidFill>
              <w14:schemeClr w14:val="tx1"/>
            </w14:solidFill>
          </w14:textFill>
        </w:rPr>
        <w:t>-2008）</w:t>
      </w:r>
      <w:r>
        <w:rPr>
          <w:rFonts w:hint="eastAsia"/>
          <w:color w:val="000000" w:themeColor="text1"/>
          <w:lang w:val="en-US" w:eastAsia="zh-CN"/>
          <w14:textFill>
            <w14:solidFill>
              <w14:schemeClr w14:val="tx1"/>
            </w14:solidFill>
          </w14:textFill>
        </w:rPr>
        <w:t>中</w:t>
      </w:r>
      <w:r>
        <w:rPr>
          <w:color w:val="000000" w:themeColor="text1"/>
          <w14:textFill>
            <w14:solidFill>
              <w14:schemeClr w14:val="tx1"/>
            </w14:solidFill>
          </w14:textFill>
        </w:rPr>
        <w:t>的监测方法进行。</w:t>
      </w:r>
    </w:p>
    <w:p w14:paraId="3EBE503E">
      <w:pPr>
        <w:ind w:firstLine="480"/>
        <w:rPr>
          <w:color w:val="000000" w:themeColor="text1"/>
          <w14:textFill>
            <w14:solidFill>
              <w14:schemeClr w14:val="tx1"/>
            </w14:solidFill>
          </w14:textFill>
        </w:rPr>
      </w:pPr>
      <w:r>
        <w:rPr>
          <w:color w:val="000000" w:themeColor="text1"/>
          <w14:textFill>
            <w14:solidFill>
              <w14:schemeClr w14:val="tx1"/>
            </w14:solidFill>
          </w14:textFill>
        </w:rPr>
        <w:t>（2）监测仪器</w:t>
      </w:r>
    </w:p>
    <w:p w14:paraId="261930FE">
      <w:pPr>
        <w:ind w:firstLine="480"/>
        <w:rPr>
          <w:color w:val="000000" w:themeColor="text1"/>
          <w14:textFill>
            <w14:solidFill>
              <w14:schemeClr w14:val="tx1"/>
            </w14:solidFill>
          </w14:textFill>
        </w:rPr>
      </w:pPr>
      <w:r>
        <w:rPr>
          <w:color w:val="000000" w:themeColor="text1"/>
          <w14:textFill>
            <w14:solidFill>
              <w14:schemeClr w14:val="tx1"/>
            </w14:solidFill>
          </w14:textFill>
        </w:rPr>
        <w:t>声环境现状监测仪器一览表见表4.4-</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p>
    <w:bookmarkEnd w:id="753"/>
    <w:bookmarkEnd w:id="754"/>
    <w:bookmarkEnd w:id="755"/>
    <w:bookmarkEnd w:id="756"/>
    <w:bookmarkEnd w:id="757"/>
    <w:bookmarkEnd w:id="758"/>
    <w:bookmarkEnd w:id="759"/>
    <w:bookmarkEnd w:id="760"/>
    <w:bookmarkEnd w:id="761"/>
    <w:bookmarkEnd w:id="762"/>
    <w:p w14:paraId="2F794B47">
      <w:pPr>
        <w:snapToGrid w:val="0"/>
        <w:ind w:firstLine="422"/>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表4.4-</w:t>
      </w:r>
      <w:r>
        <w:rPr>
          <w:rFonts w:hint="eastAsia"/>
          <w:b/>
          <w:bCs/>
          <w:color w:val="000000" w:themeColor="text1"/>
          <w:sz w:val="21"/>
          <w:szCs w:val="21"/>
          <w14:textFill>
            <w14:solidFill>
              <w14:schemeClr w14:val="tx1"/>
            </w14:solidFill>
          </w14:textFill>
        </w:rPr>
        <w:t>2</w:t>
      </w:r>
      <w:r>
        <w:rPr>
          <w:b/>
          <w:bCs/>
          <w:color w:val="000000" w:themeColor="text1"/>
          <w:sz w:val="21"/>
          <w:szCs w:val="21"/>
          <w14:textFill>
            <w14:solidFill>
              <w14:schemeClr w14:val="tx1"/>
            </w14:solidFill>
          </w14:textFill>
        </w:rPr>
        <w:t xml:space="preserve">  声环境现状监测仪器一览表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650"/>
        <w:gridCol w:w="1239"/>
        <w:gridCol w:w="1442"/>
        <w:gridCol w:w="1579"/>
        <w:gridCol w:w="1899"/>
      </w:tblGrid>
      <w:tr w14:paraId="5713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vAlign w:val="center"/>
          </w:tcPr>
          <w:p w14:paraId="5B49B5D0">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序号</w:t>
            </w:r>
          </w:p>
        </w:tc>
        <w:tc>
          <w:tcPr>
            <w:tcW w:w="968" w:type="pct"/>
            <w:vAlign w:val="center"/>
          </w:tcPr>
          <w:p w14:paraId="35D0D04B">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仪器设备名称</w:t>
            </w:r>
          </w:p>
        </w:tc>
        <w:tc>
          <w:tcPr>
            <w:tcW w:w="727" w:type="pct"/>
            <w:vAlign w:val="center"/>
          </w:tcPr>
          <w:p w14:paraId="26D39E05">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仪器型号</w:t>
            </w:r>
          </w:p>
        </w:tc>
        <w:tc>
          <w:tcPr>
            <w:tcW w:w="845" w:type="pct"/>
            <w:vAlign w:val="center"/>
          </w:tcPr>
          <w:p w14:paraId="1F61F851">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仪器编号</w:t>
            </w:r>
          </w:p>
        </w:tc>
        <w:tc>
          <w:tcPr>
            <w:tcW w:w="927" w:type="pct"/>
            <w:vAlign w:val="center"/>
          </w:tcPr>
          <w:p w14:paraId="0C7FEE61">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校准证书编号</w:t>
            </w:r>
          </w:p>
        </w:tc>
        <w:tc>
          <w:tcPr>
            <w:tcW w:w="1114" w:type="pct"/>
            <w:vAlign w:val="center"/>
          </w:tcPr>
          <w:p w14:paraId="22E8C67F">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有效日期</w:t>
            </w:r>
          </w:p>
        </w:tc>
      </w:tr>
      <w:tr w14:paraId="0026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vAlign w:val="center"/>
          </w:tcPr>
          <w:p w14:paraId="2CA02CB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w:t>
            </w:r>
          </w:p>
        </w:tc>
        <w:tc>
          <w:tcPr>
            <w:tcW w:w="968" w:type="pct"/>
            <w:vAlign w:val="center"/>
          </w:tcPr>
          <w:p w14:paraId="17DF66B5">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多功能声级计</w:t>
            </w:r>
          </w:p>
        </w:tc>
        <w:tc>
          <w:tcPr>
            <w:tcW w:w="727" w:type="pct"/>
            <w:vAlign w:val="center"/>
          </w:tcPr>
          <w:p w14:paraId="7073F083">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AWA6228+</w:t>
            </w:r>
          </w:p>
        </w:tc>
        <w:tc>
          <w:tcPr>
            <w:tcW w:w="845" w:type="pct"/>
            <w:vAlign w:val="center"/>
          </w:tcPr>
          <w:p w14:paraId="2ADECBB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0</w:t>
            </w:r>
            <w:r>
              <w:rPr>
                <w:rFonts w:hint="eastAsia"/>
                <w:color w:val="000000" w:themeColor="text1"/>
                <w:kern w:val="0"/>
                <w:sz w:val="21"/>
                <w:szCs w:val="21"/>
                <w14:textFill>
                  <w14:solidFill>
                    <w14:schemeClr w14:val="tx1"/>
                  </w14:solidFill>
                </w14:textFill>
              </w:rPr>
              <w:t>0300018</w:t>
            </w:r>
          </w:p>
        </w:tc>
        <w:tc>
          <w:tcPr>
            <w:tcW w:w="927" w:type="pct"/>
            <w:vAlign w:val="center"/>
          </w:tcPr>
          <w:p w14:paraId="403A550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24030609423</w:t>
            </w:r>
          </w:p>
        </w:tc>
        <w:tc>
          <w:tcPr>
            <w:tcW w:w="1114" w:type="pct"/>
            <w:vAlign w:val="center"/>
          </w:tcPr>
          <w:p w14:paraId="18DD62D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2024.08.19-2025.08.18</w:t>
            </w:r>
          </w:p>
        </w:tc>
      </w:tr>
      <w:tr w14:paraId="7F52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5" w:type="pct"/>
            <w:vAlign w:val="center"/>
          </w:tcPr>
          <w:p w14:paraId="5B3ABDF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2</w:t>
            </w:r>
          </w:p>
        </w:tc>
        <w:tc>
          <w:tcPr>
            <w:tcW w:w="968" w:type="pct"/>
            <w:vAlign w:val="center"/>
          </w:tcPr>
          <w:p w14:paraId="7795C54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声压级测量范围</w:t>
            </w:r>
          </w:p>
        </w:tc>
        <w:tc>
          <w:tcPr>
            <w:tcW w:w="1573" w:type="pct"/>
            <w:gridSpan w:val="2"/>
            <w:vAlign w:val="center"/>
          </w:tcPr>
          <w:p w14:paraId="47BD3CC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低量程：20-1</w:t>
            </w:r>
            <w:r>
              <w:rPr>
                <w:rFonts w:hint="eastAsia"/>
                <w:color w:val="000000" w:themeColor="text1"/>
                <w:kern w:val="0"/>
                <w:sz w:val="21"/>
                <w:szCs w:val="21"/>
                <w14:textFill>
                  <w14:solidFill>
                    <w14:schemeClr w14:val="tx1"/>
                  </w14:solidFill>
                </w14:textFill>
              </w:rPr>
              <w:t>42</w:t>
            </w:r>
            <w:r>
              <w:rPr>
                <w:color w:val="000000" w:themeColor="text1"/>
                <w:kern w:val="0"/>
                <w:sz w:val="21"/>
                <w:szCs w:val="21"/>
                <w14:textFill>
                  <w14:solidFill>
                    <w14:schemeClr w14:val="tx1"/>
                  </w14:solidFill>
                </w14:textFill>
              </w:rPr>
              <w:t>dBA</w:t>
            </w:r>
          </w:p>
        </w:tc>
        <w:tc>
          <w:tcPr>
            <w:tcW w:w="2042" w:type="pct"/>
            <w:gridSpan w:val="2"/>
            <w:vAlign w:val="center"/>
          </w:tcPr>
          <w:p w14:paraId="41D0B8E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本项目应用低量程</w:t>
            </w:r>
          </w:p>
        </w:tc>
      </w:tr>
    </w:tbl>
    <w:p w14:paraId="266B6099">
      <w:pPr>
        <w:spacing w:before="156" w:beforeLines="50"/>
        <w:ind w:firstLine="480"/>
        <w:rPr>
          <w:color w:val="000000" w:themeColor="text1"/>
          <w14:textFill>
            <w14:solidFill>
              <w14:schemeClr w14:val="tx1"/>
            </w14:solidFill>
          </w14:textFill>
        </w:rPr>
      </w:pPr>
      <w:r>
        <w:rPr>
          <w:color w:val="000000" w:themeColor="text1"/>
          <w14:textFill>
            <w14:solidFill>
              <w14:schemeClr w14:val="tx1"/>
            </w14:solidFill>
          </w14:textFill>
        </w:rPr>
        <w:t>（3）监测单位、时间及监测条件</w:t>
      </w:r>
    </w:p>
    <w:p w14:paraId="00659EE2">
      <w:pPr>
        <w:ind w:firstLine="480"/>
        <w:rPr>
          <w:color w:val="000000" w:themeColor="text1"/>
          <w14:textFill>
            <w14:solidFill>
              <w14:schemeClr w14:val="tx1"/>
            </w14:solidFill>
          </w14:textFill>
        </w:rPr>
      </w:pPr>
      <w:r>
        <w:rPr>
          <w:color w:val="000000" w:themeColor="text1"/>
          <w14:textFill>
            <w14:solidFill>
              <w14:schemeClr w14:val="tx1"/>
            </w14:solidFill>
          </w14:textFill>
        </w:rPr>
        <w:t>监测单位、监测时间及监测时环境天气状况见</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"../../../Admin/Desktop/评审项目/(标注1)1-包头英华500kV输变电工程2021.12.17.doc" \l "表48" </w:instrText>
      </w:r>
      <w:r>
        <w:rPr>
          <w:color w:val="000000" w:themeColor="text1"/>
          <w14:textFill>
            <w14:solidFill>
              <w14:schemeClr w14:val="tx1"/>
            </w14:solidFill>
          </w14:textFill>
        </w:rPr>
        <w:fldChar w:fldCharType="separate"/>
      </w:r>
      <w:r>
        <w:rPr>
          <w:rStyle w:val="31"/>
          <w:color w:val="000000" w:themeColor="text1"/>
          <w:u w:val="none"/>
          <w14:textFill>
            <w14:solidFill>
              <w14:schemeClr w14:val="tx1"/>
            </w14:solidFill>
          </w14:textFill>
        </w:rPr>
        <w:t>表</w:t>
      </w:r>
      <w:r>
        <w:rPr>
          <w:rStyle w:val="31"/>
          <w:color w:val="000000" w:themeColor="text1"/>
          <w:u w:val="none"/>
          <w14:textFill>
            <w14:solidFill>
              <w14:schemeClr w14:val="tx1"/>
            </w14:solidFill>
          </w14:textFill>
        </w:rPr>
        <w:fldChar w:fldCharType="end"/>
      </w:r>
      <w:r>
        <w:rPr>
          <w:color w:val="000000" w:themeColor="text1"/>
          <w14:textFill>
            <w14:solidFill>
              <w14:schemeClr w14:val="tx1"/>
            </w14:solidFill>
          </w14:textFill>
        </w:rPr>
        <w:t>4.4-</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p>
    <w:p w14:paraId="558CFAA6">
      <w:pPr>
        <w:snapToGrid w:val="0"/>
        <w:ind w:firstLine="422"/>
        <w:jc w:val="center"/>
        <w:rPr>
          <w:color w:val="000000" w:themeColor="text1"/>
          <w:sz w:val="21"/>
          <w:szCs w:val="21"/>
          <w:highlight w:val="green"/>
          <w14:textFill>
            <w14:solidFill>
              <w14:schemeClr w14:val="tx1"/>
            </w14:solidFill>
          </w14:textFill>
        </w:rPr>
      </w:pPr>
      <w:bookmarkStart w:id="775" w:name="表48"/>
      <w:bookmarkEnd w:id="775"/>
      <w:r>
        <w:rPr>
          <w:b/>
          <w:bCs/>
          <w:color w:val="000000" w:themeColor="text1"/>
          <w:sz w:val="21"/>
          <w:szCs w:val="21"/>
          <w14:textFill>
            <w14:solidFill>
              <w14:schemeClr w14:val="tx1"/>
            </w14:solidFill>
          </w14:textFill>
        </w:rPr>
        <w:t>表4.4-</w:t>
      </w:r>
      <w:r>
        <w:rPr>
          <w:rFonts w:hint="eastAsia"/>
          <w:b/>
          <w:bCs/>
          <w:color w:val="000000" w:themeColor="text1"/>
          <w:sz w:val="21"/>
          <w:szCs w:val="21"/>
          <w14:textFill>
            <w14:solidFill>
              <w14:schemeClr w14:val="tx1"/>
            </w14:solidFill>
          </w14:textFill>
        </w:rPr>
        <w:t>3</w:t>
      </w:r>
      <w:r>
        <w:rPr>
          <w:b/>
          <w:bCs/>
          <w:color w:val="000000" w:themeColor="text1"/>
          <w:sz w:val="21"/>
          <w:szCs w:val="21"/>
          <w14:textFill>
            <w14:solidFill>
              <w14:schemeClr w14:val="tx1"/>
            </w14:solidFill>
          </w14:textFill>
        </w:rPr>
        <w:t xml:space="preserve">  监测情况表</w:t>
      </w:r>
    </w:p>
    <w:bookmarkEnd w:id="763"/>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1698"/>
        <w:gridCol w:w="5184"/>
      </w:tblGrid>
      <w:tr w14:paraId="1118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pct"/>
            <w:vAlign w:val="center"/>
          </w:tcPr>
          <w:p w14:paraId="1C789524">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bookmarkStart w:id="776" w:name="_Toc432166995"/>
            <w:r>
              <w:rPr>
                <w:b/>
                <w:bCs/>
                <w:color w:val="000000" w:themeColor="text1"/>
                <w:kern w:val="0"/>
                <w:sz w:val="21"/>
                <w:szCs w:val="21"/>
                <w14:textFill>
                  <w14:solidFill>
                    <w14:schemeClr w14:val="tx1"/>
                  </w14:solidFill>
                </w14:textFill>
              </w:rPr>
              <w:t>监测单位</w:t>
            </w:r>
          </w:p>
        </w:tc>
        <w:tc>
          <w:tcPr>
            <w:tcW w:w="996" w:type="pct"/>
            <w:vAlign w:val="center"/>
          </w:tcPr>
          <w:p w14:paraId="58FE37FB">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监测时间</w:t>
            </w:r>
          </w:p>
        </w:tc>
        <w:tc>
          <w:tcPr>
            <w:tcW w:w="3040" w:type="pct"/>
            <w:vAlign w:val="center"/>
          </w:tcPr>
          <w:p w14:paraId="2BB670FA">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天气状况</w:t>
            </w:r>
          </w:p>
        </w:tc>
      </w:tr>
      <w:tr w14:paraId="7AB7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exact"/>
          <w:jc w:val="center"/>
        </w:trPr>
        <w:tc>
          <w:tcPr>
            <w:tcW w:w="962" w:type="pct"/>
            <w:vAlign w:val="center"/>
          </w:tcPr>
          <w:p w14:paraId="02E2B71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新疆天熙环保科技有限公司</w:t>
            </w:r>
          </w:p>
        </w:tc>
        <w:tc>
          <w:tcPr>
            <w:tcW w:w="996" w:type="pct"/>
            <w:vAlign w:val="center"/>
          </w:tcPr>
          <w:p w14:paraId="4E97C2E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202</w:t>
            </w:r>
            <w:r>
              <w:rPr>
                <w:rFonts w:hint="eastAsia"/>
                <w:color w:val="000000" w:themeColor="text1"/>
                <w:kern w:val="0"/>
                <w:sz w:val="21"/>
                <w:szCs w:val="21"/>
                <w14:textFill>
                  <w14:solidFill>
                    <w14:schemeClr w14:val="tx1"/>
                  </w14:solidFill>
                </w14:textFill>
              </w:rPr>
              <w:t>5</w:t>
            </w:r>
            <w:r>
              <w:rPr>
                <w:color w:val="000000" w:themeColor="text1"/>
                <w:kern w:val="0"/>
                <w:sz w:val="21"/>
                <w:szCs w:val="21"/>
                <w14:textFill>
                  <w14:solidFill>
                    <w14:schemeClr w14:val="tx1"/>
                  </w14:solidFill>
                </w14:textFill>
              </w:rPr>
              <w:t>年</w:t>
            </w:r>
            <w:r>
              <w:rPr>
                <w:rFonts w:hint="eastAsia"/>
                <w:color w:val="000000" w:themeColor="text1"/>
                <w:kern w:val="0"/>
                <w:sz w:val="21"/>
                <w:szCs w:val="21"/>
                <w14:textFill>
                  <w14:solidFill>
                    <w14:schemeClr w14:val="tx1"/>
                  </w14:solidFill>
                </w14:textFill>
              </w:rPr>
              <w:t>4</w:t>
            </w:r>
            <w:r>
              <w:rPr>
                <w:color w:val="000000" w:themeColor="text1"/>
                <w:kern w:val="0"/>
                <w:sz w:val="21"/>
                <w:szCs w:val="21"/>
                <w14:textFill>
                  <w14:solidFill>
                    <w14:schemeClr w14:val="tx1"/>
                  </w14:solidFill>
                </w14:textFill>
              </w:rPr>
              <w:t>月</w:t>
            </w:r>
            <w:r>
              <w:rPr>
                <w:rFonts w:hint="eastAsia"/>
                <w:color w:val="000000" w:themeColor="text1"/>
                <w:kern w:val="0"/>
                <w:sz w:val="21"/>
                <w:szCs w:val="21"/>
                <w14:textFill>
                  <w14:solidFill>
                    <w14:schemeClr w14:val="tx1"/>
                  </w14:solidFill>
                </w14:textFill>
              </w:rPr>
              <w:t>9</w:t>
            </w:r>
            <w:r>
              <w:rPr>
                <w:color w:val="000000" w:themeColor="text1"/>
                <w:kern w:val="0"/>
                <w:sz w:val="21"/>
                <w:szCs w:val="21"/>
                <w14:textFill>
                  <w14:solidFill>
                    <w14:schemeClr w14:val="tx1"/>
                  </w14:solidFill>
                </w14:textFill>
              </w:rPr>
              <w:t>日</w:t>
            </w:r>
            <w:r>
              <w:rPr>
                <w:rFonts w:hint="eastAsia"/>
                <w:color w:val="000000" w:themeColor="text1"/>
                <w:kern w:val="0"/>
                <w:sz w:val="21"/>
                <w:szCs w:val="21"/>
                <w14:textFill>
                  <w14:solidFill>
                    <w14:schemeClr w14:val="tx1"/>
                  </w14:solidFill>
                </w14:textFill>
              </w:rPr>
              <w:t>~10日</w:t>
            </w:r>
          </w:p>
        </w:tc>
        <w:tc>
          <w:tcPr>
            <w:tcW w:w="3040" w:type="pct"/>
            <w:vAlign w:val="center"/>
          </w:tcPr>
          <w:p w14:paraId="2F1C086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昼间：晴</w:t>
            </w:r>
            <w:r>
              <w:rPr>
                <w:color w:val="000000" w:themeColor="text1"/>
                <w:kern w:val="0"/>
                <w:sz w:val="21"/>
                <w:szCs w:val="21"/>
                <w14:textFill>
                  <w14:solidFill>
                    <w14:schemeClr w14:val="tx1"/>
                  </w14:solidFill>
                </w14:textFill>
              </w:rPr>
              <w:t>；风向：</w:t>
            </w:r>
            <w:r>
              <w:rPr>
                <w:rFonts w:hint="eastAsia"/>
                <w:color w:val="000000" w:themeColor="text1"/>
                <w:kern w:val="0"/>
                <w:sz w:val="21"/>
                <w:szCs w:val="21"/>
                <w14:textFill>
                  <w14:solidFill>
                    <w14:schemeClr w14:val="tx1"/>
                  </w14:solidFill>
                </w14:textFill>
              </w:rPr>
              <w:t>东</w:t>
            </w:r>
            <w:r>
              <w:rPr>
                <w:color w:val="000000" w:themeColor="text1"/>
                <w:kern w:val="0"/>
                <w:sz w:val="21"/>
                <w:szCs w:val="21"/>
                <w14:textFill>
                  <w14:solidFill>
                    <w14:schemeClr w14:val="tx1"/>
                  </w14:solidFill>
                </w14:textFill>
              </w:rPr>
              <w:t>风；风速：</w:t>
            </w:r>
            <w:r>
              <w:rPr>
                <w:rFonts w:hint="eastAsia"/>
                <w:color w:val="000000" w:themeColor="text1"/>
                <w:kern w:val="0"/>
                <w:sz w:val="21"/>
                <w:szCs w:val="21"/>
                <w14:textFill>
                  <w14:solidFill>
                    <w14:schemeClr w14:val="tx1"/>
                  </w14:solidFill>
                </w14:textFill>
              </w:rPr>
              <w:t>3.8~4.0</w:t>
            </w:r>
            <w:r>
              <w:rPr>
                <w:color w:val="000000" w:themeColor="text1"/>
                <w:kern w:val="0"/>
                <w:sz w:val="21"/>
                <w:szCs w:val="21"/>
                <w14:textFill>
                  <w14:solidFill>
                    <w14:schemeClr w14:val="tx1"/>
                  </w14:solidFill>
                </w14:textFill>
              </w:rPr>
              <w:t>m/s；温度：</w:t>
            </w:r>
            <w:r>
              <w:rPr>
                <w:rFonts w:hint="eastAsia"/>
                <w:color w:val="000000" w:themeColor="text1"/>
                <w:kern w:val="0"/>
                <w:sz w:val="21"/>
                <w:szCs w:val="21"/>
                <w14:textFill>
                  <w14:solidFill>
                    <w14:schemeClr w14:val="tx1"/>
                  </w14:solidFill>
                </w14:textFill>
              </w:rPr>
              <w:t>20~34.3</w:t>
            </w:r>
            <w:r>
              <w:rPr>
                <w:color w:val="000000" w:themeColor="text1"/>
                <w:kern w:val="0"/>
                <w:sz w:val="21"/>
                <w:szCs w:val="21"/>
                <w14:textFill>
                  <w14:solidFill>
                    <w14:schemeClr w14:val="tx1"/>
                  </w14:solidFill>
                </w14:textFill>
              </w:rPr>
              <w:t>°C</w:t>
            </w:r>
            <w:r>
              <w:rPr>
                <w:rFonts w:hint="eastAsia"/>
                <w:color w:val="000000" w:themeColor="text1"/>
                <w:kern w:val="0"/>
                <w:sz w:val="21"/>
                <w:szCs w:val="21"/>
                <w14:textFill>
                  <w14:solidFill>
                    <w14:schemeClr w14:val="tx1"/>
                  </w14:solidFill>
                </w14:textFill>
              </w:rPr>
              <w:t>；相对湿度：18.7%～19%</w:t>
            </w:r>
          </w:p>
          <w:p w14:paraId="617C5AD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夜间：晴</w:t>
            </w:r>
            <w:r>
              <w:rPr>
                <w:color w:val="000000" w:themeColor="text1"/>
                <w:kern w:val="0"/>
                <w:sz w:val="21"/>
                <w:szCs w:val="21"/>
                <w14:textFill>
                  <w14:solidFill>
                    <w14:schemeClr w14:val="tx1"/>
                  </w14:solidFill>
                </w14:textFill>
              </w:rPr>
              <w:t>；风向：</w:t>
            </w:r>
            <w:r>
              <w:rPr>
                <w:rFonts w:hint="eastAsia"/>
                <w:color w:val="000000" w:themeColor="text1"/>
                <w:kern w:val="0"/>
                <w:sz w:val="21"/>
                <w:szCs w:val="21"/>
                <w14:textFill>
                  <w14:solidFill>
                    <w14:schemeClr w14:val="tx1"/>
                  </w14:solidFill>
                </w14:textFill>
              </w:rPr>
              <w:t>东</w:t>
            </w:r>
            <w:r>
              <w:rPr>
                <w:color w:val="000000" w:themeColor="text1"/>
                <w:kern w:val="0"/>
                <w:sz w:val="21"/>
                <w:szCs w:val="21"/>
                <w14:textFill>
                  <w14:solidFill>
                    <w14:schemeClr w14:val="tx1"/>
                  </w14:solidFill>
                </w14:textFill>
              </w:rPr>
              <w:t>风；风速：</w:t>
            </w:r>
            <w:r>
              <w:rPr>
                <w:rFonts w:hint="eastAsia"/>
                <w:color w:val="000000" w:themeColor="text1"/>
                <w:kern w:val="0"/>
                <w:sz w:val="21"/>
                <w:szCs w:val="21"/>
                <w14:textFill>
                  <w14:solidFill>
                    <w14:schemeClr w14:val="tx1"/>
                  </w14:solidFill>
                </w14:textFill>
              </w:rPr>
              <w:t>3.8~4.0</w:t>
            </w:r>
            <w:r>
              <w:rPr>
                <w:color w:val="000000" w:themeColor="text1"/>
                <w:kern w:val="0"/>
                <w:sz w:val="21"/>
                <w:szCs w:val="21"/>
                <w14:textFill>
                  <w14:solidFill>
                    <w14:schemeClr w14:val="tx1"/>
                  </w14:solidFill>
                </w14:textFill>
              </w:rPr>
              <w:t>m/s；温度：</w:t>
            </w:r>
            <w:r>
              <w:rPr>
                <w:rFonts w:hint="eastAsia"/>
                <w:color w:val="000000" w:themeColor="text1"/>
                <w:kern w:val="0"/>
                <w:sz w:val="21"/>
                <w:szCs w:val="21"/>
                <w14:textFill>
                  <w14:solidFill>
                    <w14:schemeClr w14:val="tx1"/>
                  </w14:solidFill>
                </w14:textFill>
              </w:rPr>
              <w:t>20~34.3</w:t>
            </w:r>
            <w:r>
              <w:rPr>
                <w:color w:val="000000" w:themeColor="text1"/>
                <w:kern w:val="0"/>
                <w:sz w:val="21"/>
                <w:szCs w:val="21"/>
                <w14:textFill>
                  <w14:solidFill>
                    <w14:schemeClr w14:val="tx1"/>
                  </w14:solidFill>
                </w14:textFill>
              </w:rPr>
              <w:t>°C</w:t>
            </w:r>
            <w:r>
              <w:rPr>
                <w:rFonts w:hint="eastAsia"/>
                <w:color w:val="000000" w:themeColor="text1"/>
                <w:kern w:val="0"/>
                <w:sz w:val="21"/>
                <w:szCs w:val="21"/>
                <w14:textFill>
                  <w14:solidFill>
                    <w14:schemeClr w14:val="tx1"/>
                  </w14:solidFill>
                </w14:textFill>
              </w:rPr>
              <w:t>；相对湿度：18.7%～19%</w:t>
            </w:r>
          </w:p>
        </w:tc>
      </w:tr>
      <w:bookmarkEnd w:id="776"/>
    </w:tbl>
    <w:p w14:paraId="59ACE968">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777" w:name="_Toc4137"/>
      <w:bookmarkStart w:id="778" w:name="_Toc10636"/>
      <w:bookmarkStart w:id="779" w:name="_Toc15835"/>
      <w:bookmarkStart w:id="780" w:name="_Toc22026"/>
      <w:bookmarkStart w:id="781" w:name="_Toc11570"/>
      <w:bookmarkStart w:id="782" w:name="_Toc23154"/>
      <w:bookmarkStart w:id="783" w:name="_Toc16426"/>
      <w:bookmarkStart w:id="784" w:name="_Toc11702"/>
      <w:bookmarkStart w:id="785" w:name="_Toc12482"/>
      <w:bookmarkStart w:id="786" w:name="_Toc30498"/>
      <w:bookmarkStart w:id="787" w:name="_Toc26326"/>
      <w:r>
        <w:rPr>
          <w:bCs/>
          <w:color w:val="000000" w:themeColor="text1"/>
          <w:sz w:val="28"/>
          <w:szCs w:val="32"/>
          <w14:textFill>
            <w14:solidFill>
              <w14:schemeClr w14:val="tx1"/>
            </w14:solidFill>
          </w14:textFill>
        </w:rPr>
        <w:t>4.4.5监测结果</w:t>
      </w:r>
      <w:bookmarkEnd w:id="777"/>
      <w:bookmarkEnd w:id="778"/>
      <w:bookmarkEnd w:id="779"/>
      <w:bookmarkEnd w:id="780"/>
      <w:bookmarkEnd w:id="781"/>
      <w:bookmarkEnd w:id="782"/>
      <w:bookmarkEnd w:id="783"/>
      <w:bookmarkEnd w:id="784"/>
      <w:bookmarkEnd w:id="785"/>
      <w:bookmarkEnd w:id="786"/>
      <w:bookmarkEnd w:id="787"/>
    </w:p>
    <w:p w14:paraId="5983275A">
      <w:pPr>
        <w:ind w:firstLine="480"/>
        <w:rPr>
          <w:color w:val="000000" w:themeColor="text1"/>
          <w14:textFill>
            <w14:solidFill>
              <w14:schemeClr w14:val="tx1"/>
            </w14:solidFill>
          </w14:textFill>
        </w:rPr>
      </w:pPr>
      <w:r>
        <w:rPr>
          <w:color w:val="000000" w:themeColor="text1"/>
          <w14:textFill>
            <w14:solidFill>
              <w14:schemeClr w14:val="tx1"/>
            </w14:solidFill>
          </w14:textFill>
        </w:rPr>
        <w:t>本工程噪声现状监测结果见4.4-</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p>
    <w:p w14:paraId="1789891B">
      <w:pPr>
        <w:snapToGrid w:val="0"/>
        <w:spacing w:before="156" w:beforeLines="50"/>
        <w:ind w:firstLine="422"/>
        <w:jc w:val="center"/>
        <w:rPr>
          <w:b/>
          <w:bCs/>
          <w:color w:val="000000" w:themeColor="text1"/>
          <w:sz w:val="21"/>
          <w:szCs w:val="21"/>
          <w:highlight w:val="green"/>
          <w14:textFill>
            <w14:solidFill>
              <w14:schemeClr w14:val="tx1"/>
            </w14:solidFill>
          </w14:textFill>
        </w:rPr>
      </w:pPr>
      <w:bookmarkStart w:id="788" w:name="表49"/>
      <w:bookmarkEnd w:id="788"/>
      <w:r>
        <w:rPr>
          <w:b/>
          <w:bCs/>
          <w:color w:val="000000" w:themeColor="text1"/>
          <w:sz w:val="21"/>
          <w:szCs w:val="21"/>
          <w14:textFill>
            <w14:solidFill>
              <w14:schemeClr w14:val="tx1"/>
            </w14:solidFill>
          </w14:textFill>
        </w:rPr>
        <w:t>表4.4-</w:t>
      </w:r>
      <w:r>
        <w:rPr>
          <w:rFonts w:hint="eastAsia"/>
          <w:b/>
          <w:bCs/>
          <w:color w:val="000000" w:themeColor="text1"/>
          <w:sz w:val="21"/>
          <w:szCs w:val="21"/>
          <w14:textFill>
            <w14:solidFill>
              <w14:schemeClr w14:val="tx1"/>
            </w14:solidFill>
          </w14:textFill>
        </w:rPr>
        <w:t>4</w:t>
      </w:r>
      <w:r>
        <w:rPr>
          <w:b/>
          <w:bCs/>
          <w:color w:val="000000" w:themeColor="text1"/>
          <w:sz w:val="21"/>
          <w:szCs w:val="21"/>
          <w14:textFill>
            <w14:solidFill>
              <w14:schemeClr w14:val="tx1"/>
            </w14:solidFill>
          </w14:textFill>
        </w:rPr>
        <w:t xml:space="preserve">  声环境现状监测结果</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897"/>
        <w:gridCol w:w="2119"/>
        <w:gridCol w:w="915"/>
        <w:gridCol w:w="953"/>
        <w:gridCol w:w="973"/>
        <w:gridCol w:w="960"/>
        <w:gridCol w:w="1063"/>
      </w:tblGrid>
      <w:tr w14:paraId="09E0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75" w:type="pct"/>
            <w:vMerge w:val="restart"/>
            <w:vAlign w:val="center"/>
          </w:tcPr>
          <w:p w14:paraId="125D8962">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bookmarkStart w:id="789" w:name="_Toc19004"/>
            <w:bookmarkStart w:id="790" w:name="_Toc24145"/>
            <w:r>
              <w:rPr>
                <w:rFonts w:hint="eastAsia"/>
                <w:b/>
                <w:bCs/>
                <w:color w:val="000000" w:themeColor="text1"/>
                <w:kern w:val="0"/>
                <w:sz w:val="21"/>
                <w:szCs w:val="21"/>
                <w14:textFill>
                  <w14:solidFill>
                    <w14:schemeClr w14:val="tx1"/>
                  </w14:solidFill>
                </w14:textFill>
              </w:rPr>
              <w:t>点位编号</w:t>
            </w:r>
          </w:p>
        </w:tc>
        <w:tc>
          <w:tcPr>
            <w:tcW w:w="526" w:type="pct"/>
            <w:vMerge w:val="restart"/>
            <w:vAlign w:val="center"/>
          </w:tcPr>
          <w:p w14:paraId="296C2D66">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项目名称</w:t>
            </w:r>
          </w:p>
        </w:tc>
        <w:tc>
          <w:tcPr>
            <w:tcW w:w="1243" w:type="pct"/>
            <w:vMerge w:val="restart"/>
            <w:vAlign w:val="center"/>
          </w:tcPr>
          <w:p w14:paraId="36166FC2">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监测点位置</w:t>
            </w:r>
          </w:p>
        </w:tc>
        <w:tc>
          <w:tcPr>
            <w:tcW w:w="1096" w:type="pct"/>
            <w:gridSpan w:val="2"/>
            <w:vAlign w:val="center"/>
          </w:tcPr>
          <w:p w14:paraId="15CA26D1">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监测结果dB（A）</w:t>
            </w:r>
          </w:p>
        </w:tc>
        <w:tc>
          <w:tcPr>
            <w:tcW w:w="1134" w:type="pct"/>
            <w:gridSpan w:val="2"/>
            <w:vAlign w:val="center"/>
          </w:tcPr>
          <w:p w14:paraId="5C9AB067">
            <w:pPr>
              <w:autoSpaceDE w:val="0"/>
              <w:autoSpaceDN w:val="0"/>
              <w:adjustRightInd w:val="0"/>
              <w:spacing w:line="240" w:lineRule="auto"/>
              <w:ind w:firstLine="0" w:firstLineChars="0"/>
              <w:jc w:val="center"/>
              <w:textAlignment w:val="baseline"/>
              <w:rPr>
                <w:rFonts w:hint="eastAsia"/>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标准</w:t>
            </w:r>
            <w:r>
              <w:rPr>
                <w:b/>
                <w:bCs/>
                <w:color w:val="000000" w:themeColor="text1"/>
                <w:kern w:val="0"/>
                <w:sz w:val="21"/>
                <w:szCs w:val="21"/>
                <w14:textFill>
                  <w14:solidFill>
                    <w14:schemeClr w14:val="tx1"/>
                  </w14:solidFill>
                </w14:textFill>
              </w:rPr>
              <w:t>dB（A）</w:t>
            </w:r>
          </w:p>
        </w:tc>
        <w:tc>
          <w:tcPr>
            <w:tcW w:w="623" w:type="pct"/>
            <w:vMerge w:val="restart"/>
            <w:vAlign w:val="center"/>
          </w:tcPr>
          <w:p w14:paraId="38DCCE3A">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是否达标</w:t>
            </w:r>
          </w:p>
        </w:tc>
      </w:tr>
      <w:tr w14:paraId="7A27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75" w:type="pct"/>
            <w:vMerge w:val="continue"/>
            <w:vAlign w:val="center"/>
          </w:tcPr>
          <w:p w14:paraId="7D187D2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526" w:type="pct"/>
            <w:vMerge w:val="continue"/>
            <w:vAlign w:val="center"/>
          </w:tcPr>
          <w:p w14:paraId="2F86989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1243" w:type="pct"/>
            <w:vMerge w:val="continue"/>
            <w:vAlign w:val="center"/>
          </w:tcPr>
          <w:p w14:paraId="599894B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537" w:type="pct"/>
            <w:vAlign w:val="center"/>
          </w:tcPr>
          <w:p w14:paraId="4D8E5C11">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昼间</w:t>
            </w:r>
          </w:p>
        </w:tc>
        <w:tc>
          <w:tcPr>
            <w:tcW w:w="559" w:type="pct"/>
            <w:vAlign w:val="center"/>
          </w:tcPr>
          <w:p w14:paraId="696ED05D">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夜间</w:t>
            </w:r>
          </w:p>
        </w:tc>
        <w:tc>
          <w:tcPr>
            <w:tcW w:w="571" w:type="pct"/>
            <w:vAlign w:val="center"/>
          </w:tcPr>
          <w:p w14:paraId="5B3C77F8">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昼间</w:t>
            </w:r>
          </w:p>
        </w:tc>
        <w:tc>
          <w:tcPr>
            <w:tcW w:w="563" w:type="pct"/>
            <w:vAlign w:val="center"/>
          </w:tcPr>
          <w:p w14:paraId="09DA0DFC">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夜间</w:t>
            </w:r>
          </w:p>
        </w:tc>
        <w:tc>
          <w:tcPr>
            <w:tcW w:w="623" w:type="pct"/>
            <w:vMerge w:val="continue"/>
            <w:vAlign w:val="center"/>
          </w:tcPr>
          <w:p w14:paraId="0AFD0E9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r>
      <w:tr w14:paraId="27C7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5AFADDD8">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sz w:val="21"/>
                <w:szCs w:val="21"/>
                <w14:textFill>
                  <w14:solidFill>
                    <w14:schemeClr w14:val="tx1"/>
                  </w14:solidFill>
                </w14:textFill>
              </w:rPr>
              <w:t>N1</w:t>
            </w:r>
          </w:p>
        </w:tc>
        <w:tc>
          <w:tcPr>
            <w:tcW w:w="526" w:type="pct"/>
            <w:vMerge w:val="restart"/>
            <w:vAlign w:val="center"/>
          </w:tcPr>
          <w:p w14:paraId="651D92D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新建</w:t>
            </w:r>
            <w:r>
              <w:rPr>
                <w:color w:val="000000" w:themeColor="text1"/>
                <w:kern w:val="0"/>
                <w:sz w:val="21"/>
                <w:szCs w:val="21"/>
                <w14:textFill>
                  <w14:solidFill>
                    <w14:schemeClr w14:val="tx1"/>
                  </w14:solidFill>
                </w14:textFill>
              </w:rPr>
              <w:t>750kV</w:t>
            </w:r>
            <w:r>
              <w:rPr>
                <w:rFonts w:hint="eastAsia"/>
                <w:color w:val="000000" w:themeColor="text1"/>
                <w:kern w:val="0"/>
                <w:sz w:val="21"/>
                <w:szCs w:val="21"/>
                <w14:textFill>
                  <w14:solidFill>
                    <w14:schemeClr w14:val="tx1"/>
                  </w14:solidFill>
                </w14:textFill>
              </w:rPr>
              <w:t>输电线路</w:t>
            </w:r>
          </w:p>
        </w:tc>
        <w:tc>
          <w:tcPr>
            <w:tcW w:w="1243" w:type="pct"/>
            <w:tcBorders>
              <w:top w:val="single" w:color="auto" w:sz="4" w:space="0"/>
              <w:left w:val="single" w:color="auto" w:sz="4" w:space="0"/>
              <w:bottom w:val="single" w:color="auto" w:sz="4" w:space="0"/>
              <w:right w:val="single" w:color="auto" w:sz="4" w:space="0"/>
            </w:tcBorders>
            <w:vAlign w:val="center"/>
          </w:tcPr>
          <w:p w14:paraId="3A97271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输电线路起点输电线路起点</w:t>
            </w:r>
            <w:r>
              <w:rPr>
                <w:rFonts w:hint="eastAsia"/>
                <w:color w:val="000000" w:themeColor="text1"/>
                <w:kern w:val="0"/>
                <w:sz w:val="21"/>
                <w:szCs w:val="21"/>
                <w:lang w:eastAsia="zh-CN"/>
                <w14:textFill>
                  <w14:solidFill>
                    <w14:schemeClr w14:val="tx1"/>
                  </w14:solidFill>
                </w14:textFill>
              </w:rPr>
              <w:t>（</w:t>
            </w:r>
            <w:r>
              <w:rPr>
                <w:rFonts w:hint="eastAsia"/>
                <w:color w:val="000000" w:themeColor="text1"/>
                <w:kern w:val="0"/>
                <w:sz w:val="21"/>
                <w:szCs w:val="21"/>
                <w:lang w:val="en-US" w:eastAsia="zh-CN"/>
                <w14:textFill>
                  <w14:solidFill>
                    <w14:schemeClr w14:val="tx1"/>
                  </w14:solidFill>
                </w14:textFill>
              </w:rPr>
              <w:t>若羌火电厂</w:t>
            </w:r>
            <w:r>
              <w:rPr>
                <w:rFonts w:hint="eastAsia"/>
                <w:color w:val="000000" w:themeColor="text1"/>
                <w:kern w:val="0"/>
                <w:sz w:val="21"/>
                <w:szCs w:val="21"/>
                <w:lang w:eastAsia="zh-CN"/>
                <w14:textFill>
                  <w14:solidFill>
                    <w14:schemeClr w14:val="tx1"/>
                  </w14:solidFill>
                </w14:textFill>
              </w:rPr>
              <w:t>）</w:t>
            </w:r>
          </w:p>
        </w:tc>
        <w:tc>
          <w:tcPr>
            <w:tcW w:w="537" w:type="pct"/>
            <w:vAlign w:val="center"/>
          </w:tcPr>
          <w:p w14:paraId="53C4315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40</w:t>
            </w:r>
          </w:p>
        </w:tc>
        <w:tc>
          <w:tcPr>
            <w:tcW w:w="559" w:type="pct"/>
            <w:vAlign w:val="center"/>
          </w:tcPr>
          <w:p w14:paraId="28A4C998">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35</w:t>
            </w:r>
          </w:p>
        </w:tc>
        <w:tc>
          <w:tcPr>
            <w:tcW w:w="571" w:type="pct"/>
            <w:vAlign w:val="center"/>
          </w:tcPr>
          <w:p w14:paraId="54D6858A">
            <w:pPr>
              <w:autoSpaceDE w:val="0"/>
              <w:autoSpaceDN w:val="0"/>
              <w:adjustRightInd w:val="0"/>
              <w:spacing w:line="240" w:lineRule="auto"/>
              <w:ind w:firstLine="0" w:firstLineChars="0"/>
              <w:jc w:val="center"/>
              <w:textAlignment w:val="baseline"/>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65</w:t>
            </w:r>
          </w:p>
        </w:tc>
        <w:tc>
          <w:tcPr>
            <w:tcW w:w="563" w:type="pct"/>
            <w:vAlign w:val="center"/>
          </w:tcPr>
          <w:p w14:paraId="0959FBCE">
            <w:pPr>
              <w:autoSpaceDE w:val="0"/>
              <w:autoSpaceDN w:val="0"/>
              <w:adjustRightInd w:val="0"/>
              <w:spacing w:line="240" w:lineRule="auto"/>
              <w:ind w:firstLine="0" w:firstLineChars="0"/>
              <w:jc w:val="center"/>
              <w:textAlignment w:val="baseline"/>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55</w:t>
            </w:r>
          </w:p>
        </w:tc>
        <w:tc>
          <w:tcPr>
            <w:tcW w:w="623" w:type="pct"/>
            <w:vAlign w:val="center"/>
          </w:tcPr>
          <w:p w14:paraId="44CDD74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达标</w:t>
            </w:r>
          </w:p>
        </w:tc>
      </w:tr>
      <w:tr w14:paraId="36BB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2B1739E5">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sz w:val="21"/>
                <w:szCs w:val="21"/>
                <w14:textFill>
                  <w14:solidFill>
                    <w14:schemeClr w14:val="tx1"/>
                  </w14:solidFill>
                </w14:textFill>
              </w:rPr>
              <w:t>N2</w:t>
            </w:r>
          </w:p>
        </w:tc>
        <w:tc>
          <w:tcPr>
            <w:tcW w:w="526" w:type="pct"/>
            <w:vMerge w:val="continue"/>
            <w:vAlign w:val="center"/>
          </w:tcPr>
          <w:p w14:paraId="3514CBCD">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1243" w:type="pct"/>
            <w:tcBorders>
              <w:top w:val="single" w:color="auto" w:sz="4" w:space="0"/>
              <w:left w:val="single" w:color="auto" w:sz="4" w:space="0"/>
              <w:bottom w:val="single" w:color="auto" w:sz="4" w:space="0"/>
              <w:right w:val="single" w:color="auto" w:sz="4" w:space="0"/>
            </w:tcBorders>
            <w:vAlign w:val="center"/>
          </w:tcPr>
          <w:p w14:paraId="79DB477E">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输电线路沿线1</w:t>
            </w:r>
          </w:p>
        </w:tc>
        <w:tc>
          <w:tcPr>
            <w:tcW w:w="537" w:type="pct"/>
            <w:vAlign w:val="center"/>
          </w:tcPr>
          <w:p w14:paraId="6C52ACA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44</w:t>
            </w:r>
          </w:p>
        </w:tc>
        <w:tc>
          <w:tcPr>
            <w:tcW w:w="559" w:type="pct"/>
            <w:vAlign w:val="center"/>
          </w:tcPr>
          <w:p w14:paraId="3AB74516">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36</w:t>
            </w:r>
          </w:p>
        </w:tc>
        <w:tc>
          <w:tcPr>
            <w:tcW w:w="571" w:type="pct"/>
            <w:vAlign w:val="center"/>
          </w:tcPr>
          <w:p w14:paraId="23E2278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60</w:t>
            </w:r>
          </w:p>
        </w:tc>
        <w:tc>
          <w:tcPr>
            <w:tcW w:w="563" w:type="pct"/>
            <w:vAlign w:val="center"/>
          </w:tcPr>
          <w:p w14:paraId="6DC41743">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50</w:t>
            </w:r>
          </w:p>
        </w:tc>
        <w:tc>
          <w:tcPr>
            <w:tcW w:w="623" w:type="pct"/>
            <w:vAlign w:val="center"/>
          </w:tcPr>
          <w:p w14:paraId="3613F56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达标</w:t>
            </w:r>
          </w:p>
        </w:tc>
      </w:tr>
      <w:tr w14:paraId="6305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512DCC65">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sz w:val="21"/>
                <w:szCs w:val="21"/>
                <w14:textFill>
                  <w14:solidFill>
                    <w14:schemeClr w14:val="tx1"/>
                  </w14:solidFill>
                </w14:textFill>
              </w:rPr>
              <w:t>N3</w:t>
            </w:r>
          </w:p>
        </w:tc>
        <w:tc>
          <w:tcPr>
            <w:tcW w:w="526" w:type="pct"/>
            <w:vMerge w:val="continue"/>
            <w:vAlign w:val="center"/>
          </w:tcPr>
          <w:p w14:paraId="6507265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1243" w:type="pct"/>
            <w:tcBorders>
              <w:top w:val="single" w:color="auto" w:sz="4" w:space="0"/>
              <w:left w:val="single" w:color="auto" w:sz="4" w:space="0"/>
              <w:bottom w:val="single" w:color="auto" w:sz="4" w:space="0"/>
              <w:right w:val="single" w:color="auto" w:sz="4" w:space="0"/>
            </w:tcBorders>
            <w:vAlign w:val="center"/>
          </w:tcPr>
          <w:p w14:paraId="5E55D348">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输电线路沿线2</w:t>
            </w:r>
          </w:p>
        </w:tc>
        <w:tc>
          <w:tcPr>
            <w:tcW w:w="537" w:type="pct"/>
            <w:vAlign w:val="center"/>
          </w:tcPr>
          <w:p w14:paraId="1D97538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40</w:t>
            </w:r>
          </w:p>
        </w:tc>
        <w:tc>
          <w:tcPr>
            <w:tcW w:w="559" w:type="pct"/>
            <w:vAlign w:val="center"/>
          </w:tcPr>
          <w:p w14:paraId="516C9B9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38</w:t>
            </w:r>
          </w:p>
        </w:tc>
        <w:tc>
          <w:tcPr>
            <w:tcW w:w="571" w:type="pct"/>
            <w:vAlign w:val="center"/>
          </w:tcPr>
          <w:p w14:paraId="4E98D9A0">
            <w:pPr>
              <w:autoSpaceDE w:val="0"/>
              <w:autoSpaceDN w:val="0"/>
              <w:adjustRightInd w:val="0"/>
              <w:spacing w:line="240" w:lineRule="auto"/>
              <w:ind w:firstLine="0" w:firstLineChars="0"/>
              <w:jc w:val="center"/>
              <w:textAlignment w:val="baseline"/>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60</w:t>
            </w:r>
          </w:p>
        </w:tc>
        <w:tc>
          <w:tcPr>
            <w:tcW w:w="563" w:type="pct"/>
            <w:vAlign w:val="center"/>
          </w:tcPr>
          <w:p w14:paraId="760E8D9D">
            <w:pPr>
              <w:autoSpaceDE w:val="0"/>
              <w:autoSpaceDN w:val="0"/>
              <w:adjustRightInd w:val="0"/>
              <w:spacing w:line="240" w:lineRule="auto"/>
              <w:ind w:firstLine="0" w:firstLineChars="0"/>
              <w:jc w:val="center"/>
              <w:textAlignment w:val="baseline"/>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50</w:t>
            </w:r>
          </w:p>
        </w:tc>
        <w:tc>
          <w:tcPr>
            <w:tcW w:w="623" w:type="pct"/>
            <w:vAlign w:val="center"/>
          </w:tcPr>
          <w:p w14:paraId="58E1A1B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达标</w:t>
            </w:r>
          </w:p>
        </w:tc>
      </w:tr>
      <w:tr w14:paraId="5F03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75" w:type="pct"/>
            <w:tcBorders>
              <w:top w:val="single" w:color="auto" w:sz="4" w:space="0"/>
              <w:left w:val="single" w:color="auto" w:sz="4" w:space="0"/>
              <w:bottom w:val="single" w:color="auto" w:sz="4" w:space="0"/>
              <w:right w:val="single" w:color="auto" w:sz="4" w:space="0"/>
            </w:tcBorders>
            <w:vAlign w:val="center"/>
          </w:tcPr>
          <w:p w14:paraId="535B726A">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sz w:val="21"/>
                <w:szCs w:val="21"/>
                <w14:textFill>
                  <w14:solidFill>
                    <w14:schemeClr w14:val="tx1"/>
                  </w14:solidFill>
                </w14:textFill>
              </w:rPr>
              <w:t>N4</w:t>
            </w:r>
          </w:p>
        </w:tc>
        <w:tc>
          <w:tcPr>
            <w:tcW w:w="526" w:type="pct"/>
            <w:vMerge w:val="continue"/>
            <w:vAlign w:val="center"/>
          </w:tcPr>
          <w:p w14:paraId="76411CC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p>
        </w:tc>
        <w:tc>
          <w:tcPr>
            <w:tcW w:w="1243" w:type="pct"/>
            <w:tcBorders>
              <w:top w:val="single" w:color="auto" w:sz="4" w:space="0"/>
              <w:left w:val="single" w:color="auto" w:sz="4" w:space="0"/>
              <w:bottom w:val="single" w:color="auto" w:sz="4" w:space="0"/>
              <w:right w:val="single" w:color="auto" w:sz="4" w:space="0"/>
            </w:tcBorders>
            <w:vAlign w:val="center"/>
          </w:tcPr>
          <w:p w14:paraId="3AF9068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输电线路终点</w:t>
            </w:r>
            <w:r>
              <w:rPr>
                <w:rFonts w:hint="eastAsia"/>
                <w:color w:val="000000" w:themeColor="text1"/>
                <w:kern w:val="0"/>
                <w:sz w:val="21"/>
                <w:szCs w:val="21"/>
                <w:lang w:eastAsia="zh-CN"/>
                <w14:textFill>
                  <w14:solidFill>
                    <w14:schemeClr w14:val="tx1"/>
                  </w14:solidFill>
                </w14:textFill>
              </w:rPr>
              <w:t>（</w:t>
            </w:r>
            <w:r>
              <w:rPr>
                <w:rFonts w:hint="eastAsia"/>
                <w:color w:val="000000" w:themeColor="text1"/>
                <w:kern w:val="0"/>
                <w:sz w:val="21"/>
                <w:szCs w:val="21"/>
                <w:lang w:val="en-US" w:eastAsia="zh-CN"/>
                <w14:textFill>
                  <w14:solidFill>
                    <w14:schemeClr w14:val="tx1"/>
                  </w14:solidFill>
                </w14:textFill>
              </w:rPr>
              <w:t>若羌±800kV换流站</w:t>
            </w:r>
            <w:r>
              <w:rPr>
                <w:rFonts w:hint="eastAsia"/>
                <w:color w:val="000000" w:themeColor="text1"/>
                <w:kern w:val="0"/>
                <w:sz w:val="21"/>
                <w:szCs w:val="21"/>
                <w:lang w:eastAsia="zh-CN"/>
                <w14:textFill>
                  <w14:solidFill>
                    <w14:schemeClr w14:val="tx1"/>
                  </w14:solidFill>
                </w14:textFill>
              </w:rPr>
              <w:t>）</w:t>
            </w:r>
          </w:p>
        </w:tc>
        <w:tc>
          <w:tcPr>
            <w:tcW w:w="537" w:type="pct"/>
            <w:vAlign w:val="center"/>
          </w:tcPr>
          <w:p w14:paraId="7E7D6BE5">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34</w:t>
            </w:r>
          </w:p>
        </w:tc>
        <w:tc>
          <w:tcPr>
            <w:tcW w:w="559" w:type="pct"/>
            <w:vAlign w:val="center"/>
          </w:tcPr>
          <w:p w14:paraId="2CA1292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40</w:t>
            </w:r>
          </w:p>
        </w:tc>
        <w:tc>
          <w:tcPr>
            <w:tcW w:w="571" w:type="pct"/>
            <w:vAlign w:val="center"/>
          </w:tcPr>
          <w:p w14:paraId="3DB3910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65</w:t>
            </w:r>
          </w:p>
        </w:tc>
        <w:tc>
          <w:tcPr>
            <w:tcW w:w="563" w:type="pct"/>
            <w:vAlign w:val="center"/>
          </w:tcPr>
          <w:p w14:paraId="2D3FFB5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55</w:t>
            </w:r>
          </w:p>
        </w:tc>
        <w:tc>
          <w:tcPr>
            <w:tcW w:w="623" w:type="pct"/>
            <w:vAlign w:val="center"/>
          </w:tcPr>
          <w:p w14:paraId="2CD0BD86">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达标</w:t>
            </w:r>
          </w:p>
        </w:tc>
      </w:tr>
    </w:tbl>
    <w:p w14:paraId="252C79C5">
      <w:pPr>
        <w:keepNext/>
        <w:keepLines/>
        <w:ind w:firstLine="0" w:firstLineChars="0"/>
        <w:rPr>
          <w:bCs/>
          <w:color w:val="000000" w:themeColor="text1"/>
          <w:sz w:val="18"/>
          <w:szCs w:val="18"/>
          <w14:textFill>
            <w14:solidFill>
              <w14:schemeClr w14:val="tx1"/>
            </w14:solidFill>
          </w14:textFill>
        </w:rPr>
      </w:pPr>
      <w:bookmarkStart w:id="791" w:name="_Toc9628"/>
      <w:bookmarkStart w:id="792" w:name="_Toc913"/>
      <w:bookmarkStart w:id="793" w:name="_Toc22735"/>
      <w:bookmarkStart w:id="794" w:name="_Toc12234"/>
      <w:bookmarkStart w:id="795" w:name="_Toc30469"/>
      <w:bookmarkStart w:id="796" w:name="_Toc5420"/>
      <w:bookmarkStart w:id="797" w:name="_Toc6590"/>
      <w:bookmarkStart w:id="798" w:name="_Toc22292"/>
      <w:bookmarkStart w:id="799" w:name="_Toc22872"/>
      <w:r>
        <w:rPr>
          <w:rFonts w:hint="eastAsia"/>
          <w:bCs/>
          <w:color w:val="000000" w:themeColor="text1"/>
          <w:sz w:val="18"/>
          <w:szCs w:val="18"/>
          <w14:textFill>
            <w14:solidFill>
              <w14:schemeClr w14:val="tx1"/>
            </w14:solidFill>
          </w14:textFill>
        </w:rPr>
        <w:t>注：</w:t>
      </w:r>
      <w:r>
        <w:rPr>
          <w:color w:val="000000" w:themeColor="text1"/>
          <w:kern w:val="0"/>
          <w:sz w:val="18"/>
          <w:szCs w:val="18"/>
          <w14:textFill>
            <w14:solidFill>
              <w14:schemeClr w14:val="tx1"/>
            </w14:solidFill>
          </w14:textFill>
        </w:rPr>
        <w:t>输电线路终点</w:t>
      </w:r>
      <w:r>
        <w:rPr>
          <w:rFonts w:hint="eastAsia"/>
          <w:color w:val="000000" w:themeColor="text1"/>
          <w:kern w:val="0"/>
          <w:sz w:val="18"/>
          <w:szCs w:val="18"/>
          <w14:textFill>
            <w14:solidFill>
              <w14:schemeClr w14:val="tx1"/>
            </w14:solidFill>
          </w14:textFill>
        </w:rPr>
        <w:t>（N4）夜间监测噪声大于昼间噪声是由于当天监测时风大，沙尘暴天气。</w:t>
      </w:r>
    </w:p>
    <w:p w14:paraId="36484353">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r>
        <w:rPr>
          <w:bCs/>
          <w:color w:val="000000" w:themeColor="text1"/>
          <w:sz w:val="28"/>
          <w:szCs w:val="32"/>
          <w14:textFill>
            <w14:solidFill>
              <w14:schemeClr w14:val="tx1"/>
            </w14:solidFill>
          </w14:textFill>
        </w:rPr>
        <w:t>4.4.6评价及结论</w:t>
      </w:r>
      <w:bookmarkEnd w:id="789"/>
      <w:bookmarkEnd w:id="790"/>
      <w:bookmarkEnd w:id="791"/>
      <w:bookmarkEnd w:id="792"/>
      <w:bookmarkEnd w:id="793"/>
      <w:bookmarkEnd w:id="794"/>
      <w:bookmarkEnd w:id="795"/>
      <w:bookmarkEnd w:id="796"/>
      <w:bookmarkEnd w:id="797"/>
      <w:bookmarkEnd w:id="798"/>
      <w:bookmarkEnd w:id="799"/>
    </w:p>
    <w:p w14:paraId="0D4B88F1">
      <w:pPr>
        <w:ind w:firstLine="480"/>
        <w:rPr>
          <w:color w:val="000000" w:themeColor="text1"/>
          <w14:textFill>
            <w14:solidFill>
              <w14:schemeClr w14:val="tx1"/>
            </w14:solidFill>
          </w14:textFill>
        </w:rPr>
      </w:pPr>
      <w:r>
        <w:rPr>
          <w:color w:val="000000" w:themeColor="text1"/>
          <w14:textFill>
            <w14:solidFill>
              <w14:schemeClr w14:val="tx1"/>
            </w14:solidFill>
          </w14:textFill>
        </w:rPr>
        <w:t>由表4.4-</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可知，</w:t>
      </w:r>
      <w:r>
        <w:rPr>
          <w:rFonts w:hint="eastAsia"/>
          <w:color w:val="000000" w:themeColor="text1"/>
          <w14:textFill>
            <w14:solidFill>
              <w14:schemeClr w14:val="tx1"/>
            </w14:solidFill>
          </w14:textFill>
        </w:rPr>
        <w:t>输电线路沿线</w:t>
      </w:r>
      <w:r>
        <w:rPr>
          <w:color w:val="000000" w:themeColor="text1"/>
          <w14:textFill>
            <w14:solidFill>
              <w14:schemeClr w14:val="tx1"/>
            </w14:solidFill>
          </w14:textFill>
        </w:rPr>
        <w:t>昼间噪声现状监测值在</w:t>
      </w:r>
      <w:r>
        <w:rPr>
          <w:rFonts w:hint="eastAsia"/>
          <w:color w:val="000000" w:themeColor="text1"/>
          <w14:textFill>
            <w14:solidFill>
              <w14:schemeClr w14:val="tx1"/>
            </w14:solidFill>
          </w14:textFill>
        </w:rPr>
        <w:t>34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44</w:t>
      </w:r>
      <w:r>
        <w:rPr>
          <w:color w:val="000000" w:themeColor="text1"/>
          <w14:textFill>
            <w14:solidFill>
              <w14:schemeClr w14:val="tx1"/>
            </w14:solidFill>
          </w14:textFill>
        </w:rPr>
        <w:t>dB（A）之间，夜间在</w:t>
      </w:r>
      <w:r>
        <w:rPr>
          <w:rFonts w:hint="eastAsia"/>
          <w:color w:val="000000" w:themeColor="text1"/>
          <w14:textFill>
            <w14:solidFill>
              <w14:schemeClr w14:val="tx1"/>
            </w14:solidFill>
          </w14:textFill>
        </w:rPr>
        <w:t>35</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40</w:t>
      </w:r>
      <w:r>
        <w:rPr>
          <w:color w:val="000000" w:themeColor="text1"/>
          <w14:textFill>
            <w14:solidFill>
              <w14:schemeClr w14:val="tx1"/>
            </w14:solidFill>
          </w14:textFill>
        </w:rPr>
        <w:t>dB（A）之间，</w:t>
      </w:r>
      <w:r>
        <w:rPr>
          <w:rFonts w:hint="eastAsia"/>
          <w:color w:val="000000" w:themeColor="text1"/>
          <w:lang w:val="en-US" w:eastAsia="zh-CN"/>
          <w14:textFill>
            <w14:solidFill>
              <w14:schemeClr w14:val="tx1"/>
            </w14:solidFill>
          </w14:textFill>
        </w:rPr>
        <w:t>线路</w:t>
      </w:r>
      <w:r>
        <w:rPr>
          <w:rFonts w:hint="eastAsia"/>
          <w:b w:val="0"/>
          <w:bCs/>
          <w:color w:val="000000" w:themeColor="text1"/>
          <w:lang w:val="en-US" w:eastAsia="zh-CN"/>
          <w14:textFill>
            <w14:solidFill>
              <w14:schemeClr w14:val="tx1"/>
            </w14:solidFill>
          </w14:textFill>
        </w:rPr>
        <w:t>起点、终点</w:t>
      </w:r>
      <w:r>
        <w:rPr>
          <w:color w:val="000000" w:themeColor="text1"/>
          <w14:textFill>
            <w14:solidFill>
              <w14:schemeClr w14:val="tx1"/>
            </w14:solidFill>
          </w14:textFill>
        </w:rPr>
        <w:t>昼间、夜间环境噪声均满足</w:t>
      </w:r>
      <w:r>
        <w:rPr>
          <w:color w:val="000000" w:themeColor="text1"/>
          <w:lang w:val="zh-CN"/>
          <w14:textFill>
            <w14:solidFill>
              <w14:schemeClr w14:val="tx1"/>
            </w14:solidFill>
          </w14:textFill>
        </w:rPr>
        <w:t>《</w:t>
      </w:r>
      <w:r>
        <w:rPr>
          <w:rFonts w:hint="eastAsia"/>
          <w:color w:val="000000" w:themeColor="text1"/>
          <w14:textFill>
            <w14:solidFill>
              <w14:schemeClr w14:val="tx1"/>
            </w14:solidFill>
          </w14:textFill>
        </w:rPr>
        <w:t>声环境质量标准</w:t>
      </w:r>
      <w:r>
        <w:rPr>
          <w:color w:val="000000" w:themeColor="text1"/>
          <w:lang w:val="zh-CN"/>
          <w14:textFill>
            <w14:solidFill>
              <w14:schemeClr w14:val="tx1"/>
            </w14:solidFill>
          </w14:textFill>
        </w:rPr>
        <w:t>》（GB</w:t>
      </w:r>
      <w:r>
        <w:rPr>
          <w:rFonts w:hint="eastAsia"/>
          <w:color w:val="000000" w:themeColor="text1"/>
          <w:lang w:val="en-US" w:eastAsia="zh-CN"/>
          <w14:textFill>
            <w14:solidFill>
              <w14:schemeClr w14:val="tx1"/>
            </w14:solidFill>
          </w14:textFill>
        </w:rPr>
        <w:t>3096</w:t>
      </w:r>
      <w:r>
        <w:rPr>
          <w:color w:val="000000" w:themeColor="text1"/>
          <w:lang w:val="zh-CN"/>
          <w14:textFill>
            <w14:solidFill>
              <w14:schemeClr w14:val="tx1"/>
            </w14:solidFill>
          </w14:textFill>
        </w:rPr>
        <w:t>-2008）</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类排放标准</w:t>
      </w:r>
      <w:r>
        <w:rPr>
          <w:rFonts w:hint="eastAsia"/>
          <w:color w:val="000000" w:themeColor="text1"/>
          <w14:textFill>
            <w14:solidFill>
              <w14:schemeClr w14:val="tx1"/>
            </w14:solidFill>
          </w14:textFill>
        </w:rPr>
        <w:t>限值</w:t>
      </w:r>
      <w:r>
        <w:rPr>
          <w:color w:val="000000" w:themeColor="text1"/>
          <w14:textFill>
            <w14:solidFill>
              <w14:schemeClr w14:val="tx1"/>
            </w14:solidFill>
          </w14:textFill>
        </w:rPr>
        <w:t>要求</w:t>
      </w:r>
      <w:r>
        <w:rPr>
          <w:rFonts w:hint="eastAsia"/>
          <w:b w:val="0"/>
          <w:bCs/>
          <w:color w:val="000000" w:themeColor="text1"/>
          <w:lang w:eastAsia="zh-CN"/>
          <w14:textFill>
            <w14:solidFill>
              <w14:schemeClr w14:val="tx1"/>
            </w14:solidFill>
          </w14:textFill>
        </w:rPr>
        <w:t>，</w:t>
      </w:r>
      <w:r>
        <w:rPr>
          <w:rFonts w:hint="eastAsia"/>
          <w:b w:val="0"/>
          <w:bCs/>
          <w:color w:val="000000" w:themeColor="text1"/>
          <w:lang w:val="en-US" w:eastAsia="zh-CN"/>
          <w14:textFill>
            <w14:solidFill>
              <w14:schemeClr w14:val="tx1"/>
            </w14:solidFill>
          </w14:textFill>
        </w:rPr>
        <w:t>线路其余线段</w:t>
      </w:r>
      <w:r>
        <w:rPr>
          <w:color w:val="000000" w:themeColor="text1"/>
          <w14:textFill>
            <w14:solidFill>
              <w14:schemeClr w14:val="tx1"/>
            </w14:solidFill>
          </w14:textFill>
        </w:rPr>
        <w:t>昼间、夜间环境噪声均满足</w:t>
      </w:r>
      <w:r>
        <w:rPr>
          <w:color w:val="000000" w:themeColor="text1"/>
          <w:lang w:val="zh-CN"/>
          <w14:textFill>
            <w14:solidFill>
              <w14:schemeClr w14:val="tx1"/>
            </w14:solidFill>
          </w14:textFill>
        </w:rPr>
        <w:t>《</w:t>
      </w:r>
      <w:r>
        <w:rPr>
          <w:rFonts w:hint="eastAsia"/>
          <w:color w:val="000000" w:themeColor="text1"/>
          <w14:textFill>
            <w14:solidFill>
              <w14:schemeClr w14:val="tx1"/>
            </w14:solidFill>
          </w14:textFill>
        </w:rPr>
        <w:t>声环境质量标准</w:t>
      </w:r>
      <w:r>
        <w:rPr>
          <w:color w:val="000000" w:themeColor="text1"/>
          <w:lang w:val="zh-CN"/>
          <w14:textFill>
            <w14:solidFill>
              <w14:schemeClr w14:val="tx1"/>
            </w14:solidFill>
          </w14:textFill>
        </w:rPr>
        <w:t>》（GB</w:t>
      </w:r>
      <w:r>
        <w:rPr>
          <w:rFonts w:hint="eastAsia"/>
          <w:color w:val="000000" w:themeColor="text1"/>
          <w:lang w:val="en-US" w:eastAsia="zh-CN"/>
          <w14:textFill>
            <w14:solidFill>
              <w14:schemeClr w14:val="tx1"/>
            </w14:solidFill>
          </w14:textFill>
        </w:rPr>
        <w:t>3096</w:t>
      </w:r>
      <w:r>
        <w:rPr>
          <w:color w:val="000000" w:themeColor="text1"/>
          <w:lang w:val="zh-CN"/>
          <w14:textFill>
            <w14:solidFill>
              <w14:schemeClr w14:val="tx1"/>
            </w14:solidFill>
          </w14:textFill>
        </w:rPr>
        <w:t>-2008）</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类排放标准</w:t>
      </w:r>
      <w:r>
        <w:rPr>
          <w:rFonts w:hint="eastAsia"/>
          <w:color w:val="000000" w:themeColor="text1"/>
          <w14:textFill>
            <w14:solidFill>
              <w14:schemeClr w14:val="tx1"/>
            </w14:solidFill>
          </w14:textFill>
        </w:rPr>
        <w:t>限值</w:t>
      </w:r>
      <w:r>
        <w:rPr>
          <w:color w:val="000000" w:themeColor="text1"/>
          <w14:textFill>
            <w14:solidFill>
              <w14:schemeClr w14:val="tx1"/>
            </w14:solidFill>
          </w14:textFill>
        </w:rPr>
        <w:t>要求。</w:t>
      </w:r>
    </w:p>
    <w:p w14:paraId="25D14B76">
      <w:pPr>
        <w:pStyle w:val="3"/>
        <w:keepNext/>
        <w:keepLines/>
        <w:tabs>
          <w:tab w:val="clear" w:pos="420"/>
          <w:tab w:val="clear" w:pos="907"/>
          <w:tab w:val="clear" w:pos="1267"/>
        </w:tabs>
        <w:adjustRightInd/>
        <w:spacing w:before="156" w:beforeLines="50" w:after="156" w:afterLines="50"/>
        <w:rPr>
          <w:color w:val="000000" w:themeColor="text1"/>
          <w:szCs w:val="32"/>
          <w14:textFill>
            <w14:solidFill>
              <w14:schemeClr w14:val="tx1"/>
            </w14:solidFill>
          </w14:textFill>
        </w:rPr>
      </w:pPr>
      <w:bookmarkStart w:id="800" w:name="_Toc11120"/>
      <w:bookmarkStart w:id="801" w:name="_Toc8409"/>
      <w:bookmarkStart w:id="802" w:name="_Toc23724"/>
      <w:bookmarkStart w:id="803" w:name="_Toc16412"/>
      <w:bookmarkStart w:id="804" w:name="_Toc24768"/>
      <w:bookmarkStart w:id="805" w:name="_Toc7122"/>
      <w:bookmarkStart w:id="806" w:name="_Toc23127"/>
      <w:bookmarkStart w:id="807" w:name="_Toc20886"/>
      <w:bookmarkStart w:id="808" w:name="_Toc1719"/>
      <w:bookmarkStart w:id="809" w:name="_Toc3905"/>
      <w:bookmarkStart w:id="810" w:name="_Toc21511"/>
      <w:r>
        <w:rPr>
          <w:color w:val="000000" w:themeColor="text1"/>
          <w:szCs w:val="32"/>
          <w14:textFill>
            <w14:solidFill>
              <w14:schemeClr w14:val="tx1"/>
            </w14:solidFill>
          </w14:textFill>
        </w:rPr>
        <w:t>4.5生态环境现状调查与评价</w:t>
      </w:r>
      <w:bookmarkEnd w:id="800"/>
      <w:bookmarkEnd w:id="801"/>
      <w:bookmarkEnd w:id="802"/>
      <w:bookmarkEnd w:id="803"/>
      <w:bookmarkEnd w:id="804"/>
      <w:bookmarkEnd w:id="805"/>
      <w:bookmarkEnd w:id="806"/>
      <w:bookmarkEnd w:id="807"/>
      <w:bookmarkEnd w:id="808"/>
      <w:bookmarkEnd w:id="809"/>
      <w:bookmarkEnd w:id="810"/>
    </w:p>
    <w:p w14:paraId="36358110">
      <w:pPr>
        <w:keepNext w:val="0"/>
        <w:keepLines w:val="0"/>
        <w:widowControl/>
        <w:suppressLineNumbers w:val="0"/>
        <w:spacing w:line="360" w:lineRule="auto"/>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根据《全国生态状况调查评估技术规范-生态系统遥感解译与野外核查》标准，结合评价区土地利用现状、动植物分布和生物量的调查，可将评价区生态系统现状划分为草甸生态系统</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荒漠生态系统</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和灌丛生态系统，项目区为草</w:t>
      </w:r>
      <w:r>
        <w:rPr>
          <w:rFonts w:hint="eastAsia" w:cs="Times New Roman"/>
          <w:color w:val="000000" w:themeColor="text1"/>
          <w:kern w:val="0"/>
          <w:sz w:val="24"/>
          <w:szCs w:val="24"/>
          <w:lang w:val="en-US" w:eastAsia="zh-CN" w:bidi="ar"/>
          <w14:textFill>
            <w14:solidFill>
              <w14:schemeClr w14:val="tx1"/>
            </w14:solidFill>
          </w14:textFill>
        </w:rPr>
        <w:t>甸</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生态系统</w:t>
      </w:r>
      <w:r>
        <w:rPr>
          <w:rFonts w:hint="eastAsia" w:cs="Times New Roman"/>
          <w:color w:val="000000" w:themeColor="text1"/>
          <w:kern w:val="0"/>
          <w:sz w:val="24"/>
          <w:szCs w:val="24"/>
          <w:lang w:val="en-US" w:eastAsia="zh-CN" w:bidi="ar"/>
          <w14:textFill>
            <w14:solidFill>
              <w14:schemeClr w14:val="tx1"/>
            </w14:solidFill>
          </w14:textFill>
        </w:rPr>
        <w:t>和</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荒漠生态系统</w:t>
      </w:r>
      <w:r>
        <w:rPr>
          <w:rFonts w:hint="eastAsia" w:cs="Times New Roman"/>
          <w:color w:val="000000" w:themeColor="text1"/>
          <w:kern w:val="0"/>
          <w:sz w:val="24"/>
          <w:szCs w:val="24"/>
          <w:lang w:val="en-US" w:eastAsia="zh-CN" w:bidi="ar"/>
          <w14:textFill>
            <w14:solidFill>
              <w14:schemeClr w14:val="tx1"/>
            </w14:solidFill>
          </w14:textFill>
        </w:rPr>
        <w:t>。</w:t>
      </w:r>
    </w:p>
    <w:p w14:paraId="53F21204">
      <w:pPr>
        <w:keepNext w:val="0"/>
        <w:keepLines w:val="0"/>
        <w:widowControl/>
        <w:suppressLineNumbers w:val="0"/>
        <w:spacing w:line="360" w:lineRule="auto"/>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草甸生态系统</w:t>
      </w:r>
    </w:p>
    <w:p w14:paraId="371E1CD9">
      <w:pPr>
        <w:keepNext w:val="0"/>
        <w:keepLines w:val="0"/>
        <w:widowControl/>
        <w:suppressLineNumbers w:val="0"/>
        <w:spacing w:line="360" w:lineRule="auto"/>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新疆的草原</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地</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生态系统由</w:t>
      </w:r>
      <w:r>
        <w:rPr>
          <w:rFonts w:hint="eastAsia" w:cs="Times New Roman"/>
          <w:color w:val="000000" w:themeColor="text1"/>
          <w:kern w:val="0"/>
          <w:sz w:val="24"/>
          <w:szCs w:val="24"/>
          <w:lang w:val="en-US" w:eastAsia="zh-CN" w:bidi="ar"/>
          <w14:textFill>
            <w14:solidFill>
              <w14:schemeClr w14:val="tx1"/>
            </w14:solidFill>
          </w14:textFill>
        </w:rPr>
        <w:t>阿尔泰山</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天山、昆仑山等山系的草甸生态系统和草原生态系统两大部分组成。项目穿越塔里木盆地南缘土地沙化防控生态保护红线南侧部分属于草甸生态系统，草甸生态系统中植被以灌木、草本植物占优势，主要为盐生植物，优势种主要为柽柳、白刺、芦苇等，生态系统功能主要为防风固沙以及生物多样性保护。</w:t>
      </w:r>
    </w:p>
    <w:p w14:paraId="473954D0">
      <w:pPr>
        <w:keepNext w:val="0"/>
        <w:keepLines w:val="0"/>
        <w:widowControl/>
        <w:suppressLineNumbers w:val="0"/>
        <w:spacing w:line="360" w:lineRule="auto"/>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荒漠生态系统</w:t>
      </w:r>
    </w:p>
    <w:p w14:paraId="0A174F35">
      <w:pPr>
        <w:keepNext w:val="0"/>
        <w:keepLines w:val="0"/>
        <w:widowControl/>
        <w:suppressLineNumbers w:val="0"/>
        <w:spacing w:line="360" w:lineRule="auto"/>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新疆的荒漠生态系统以大的地貌单元可分为准噶尔盆地荒漠生态系统、塔里木盆地荒漠生态系统、东疆山间盆地荒漠生态系统及昆仑-阿尔金山高原荒漠生态系统几大部分。本项目输电线路大部分属于塔里木盆地荒漠生态系统，主要为旱生植物，植被优势种主要为</w:t>
      </w:r>
      <w:r>
        <w:rPr>
          <w:rFonts w:hint="eastAsia" w:cs="Times New Roman"/>
          <w:color w:val="000000" w:themeColor="text1"/>
          <w:kern w:val="0"/>
          <w:sz w:val="24"/>
          <w:szCs w:val="24"/>
          <w:lang w:val="en-US" w:eastAsia="zh-CN" w:bidi="ar"/>
          <w14:textFill>
            <w14:solidFill>
              <w14:schemeClr w14:val="tx1"/>
            </w14:solidFill>
          </w14:textFill>
        </w:rPr>
        <w:t>柽柳、骆驼刺、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碱蓬等耐旱植物。</w:t>
      </w:r>
      <w:r>
        <w:rPr>
          <w:rFonts w:hint="eastAsia" w:cs="Times New Roman"/>
          <w:color w:val="000000" w:themeColor="text1"/>
          <w:kern w:val="0"/>
          <w:sz w:val="24"/>
          <w:szCs w:val="24"/>
          <w:lang w:val="en-US" w:eastAsia="zh-CN" w:bidi="ar"/>
          <w14:textFill>
            <w14:solidFill>
              <w14:schemeClr w14:val="tx1"/>
            </w14:solidFill>
          </w14:textFill>
        </w:rPr>
        <w:t>裸地区域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基本无植被分布。</w:t>
      </w:r>
    </w:p>
    <w:p w14:paraId="6948B366">
      <w:pPr>
        <w:widowControl/>
        <w:ind w:firstLine="0" w:firstLineChars="0"/>
        <w:jc w:val="left"/>
        <w:outlineLvl w:val="2"/>
        <w:rPr>
          <w:b/>
          <w:bCs/>
          <w:color w:val="000000" w:themeColor="text1"/>
          <w:kern w:val="0"/>
          <w:sz w:val="28"/>
          <w:szCs w:val="32"/>
          <w14:textFill>
            <w14:solidFill>
              <w14:schemeClr w14:val="tx1"/>
            </w14:solidFill>
          </w14:textFill>
        </w:rPr>
      </w:pPr>
      <w:r>
        <w:rPr>
          <w:rFonts w:hint="eastAsia"/>
          <w:b/>
          <w:bCs/>
          <w:color w:val="000000" w:themeColor="text1"/>
          <w:kern w:val="0"/>
          <w:sz w:val="28"/>
          <w:szCs w:val="32"/>
          <w14:textFill>
            <w14:solidFill>
              <w14:schemeClr w14:val="tx1"/>
            </w14:solidFill>
          </w14:textFill>
        </w:rPr>
        <w:t>4.5.1土地利用现状</w:t>
      </w:r>
    </w:p>
    <w:p w14:paraId="25173F7A">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本次土地利用现状调查的主要技术方法采用遥感数据分析和解释，即以高分辨率遥感影像为基础，采用图形叠加法对评价范围内的生态环境现状进行分析，并参照《土地利用现状分类》（GBT21010-2017），以确定评价范围内的土地利用类型，将成果绘制成土地利用现状图。评价范围土地利用类型见表</w:t>
      </w:r>
      <w:r>
        <w:rPr>
          <w:rFonts w:hint="eastAsia"/>
          <w:color w:val="000000" w:themeColor="text1"/>
          <w:kern w:val="0"/>
          <w:lang w:bidi="ar"/>
          <w14:textFill>
            <w14:solidFill>
              <w14:schemeClr w14:val="tx1"/>
            </w14:solidFill>
          </w14:textFill>
        </w:rPr>
        <w:t>4.5-1</w:t>
      </w:r>
      <w:r>
        <w:rPr>
          <w:color w:val="000000" w:themeColor="text1"/>
          <w:kern w:val="0"/>
          <w:lang w:bidi="ar"/>
          <w14:textFill>
            <w14:solidFill>
              <w14:schemeClr w14:val="tx1"/>
            </w14:solidFill>
          </w14:textFill>
        </w:rPr>
        <w:t>，土地利用分布见图</w:t>
      </w:r>
      <w:r>
        <w:rPr>
          <w:rFonts w:hint="eastAsia"/>
          <w:color w:val="000000" w:themeColor="text1"/>
          <w:kern w:val="0"/>
          <w:lang w:bidi="ar"/>
          <w14:textFill>
            <w14:solidFill>
              <w14:schemeClr w14:val="tx1"/>
            </w14:solidFill>
          </w14:textFill>
        </w:rPr>
        <w:t>4.5-1</w:t>
      </w:r>
      <w:r>
        <w:rPr>
          <w:color w:val="000000" w:themeColor="text1"/>
          <w:kern w:val="0"/>
          <w:lang w:bidi="ar"/>
          <w14:textFill>
            <w14:solidFill>
              <w14:schemeClr w14:val="tx1"/>
            </w14:solidFill>
          </w14:textFill>
        </w:rPr>
        <w:t>。</w:t>
      </w:r>
    </w:p>
    <w:p w14:paraId="07EAE29F">
      <w:pPr>
        <w:pStyle w:val="38"/>
        <w:ind w:firstLine="422"/>
        <w:rPr>
          <w:color w:val="000000" w:themeColor="text1"/>
          <w:szCs w:val="21"/>
          <w14:textFill>
            <w14:solidFill>
              <w14:schemeClr w14:val="tx1"/>
            </w14:solidFill>
          </w14:textFill>
        </w:rPr>
      </w:pPr>
      <w:r>
        <w:rPr>
          <w:color w:val="000000" w:themeColor="text1"/>
          <w:szCs w:val="21"/>
          <w14:textFill>
            <w14:solidFill>
              <w14:schemeClr w14:val="tx1"/>
            </w14:solidFill>
          </w14:textFill>
        </w:rPr>
        <w:t>表</w:t>
      </w:r>
      <w:r>
        <w:rPr>
          <w:rFonts w:hint="eastAsia"/>
          <w:color w:val="000000" w:themeColor="text1"/>
          <w:szCs w:val="21"/>
          <w14:textFill>
            <w14:solidFill>
              <w14:schemeClr w14:val="tx1"/>
            </w14:solidFill>
          </w14:textFill>
        </w:rPr>
        <w:t>4.5-1</w:t>
      </w:r>
      <w:r>
        <w:rPr>
          <w:color w:val="000000" w:themeColor="text1"/>
          <w:szCs w:val="21"/>
          <w14:textFill>
            <w14:solidFill>
              <w14:schemeClr w14:val="tx1"/>
            </w14:solidFill>
          </w14:textFill>
        </w:rPr>
        <w:t xml:space="preserve">  评价区土地利用类型统计表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1844"/>
        <w:gridCol w:w="2550"/>
        <w:gridCol w:w="1996"/>
      </w:tblGrid>
      <w:tr w14:paraId="5471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vAlign w:val="center"/>
          </w:tcPr>
          <w:p w14:paraId="5904A32F">
            <w:pPr>
              <w:pStyle w:val="40"/>
              <w:rPr>
                <w:color w:val="000000" w:themeColor="text1"/>
                <w:szCs w:val="21"/>
                <w14:textFill>
                  <w14:solidFill>
                    <w14:schemeClr w14:val="tx1"/>
                  </w14:solidFill>
                </w14:textFill>
              </w:rPr>
            </w:pPr>
            <w:r>
              <w:rPr>
                <w:color w:val="000000" w:themeColor="text1"/>
                <w:szCs w:val="21"/>
                <w14:textFill>
                  <w14:solidFill>
                    <w14:schemeClr w14:val="tx1"/>
                  </w14:solidFill>
                </w14:textFill>
              </w:rPr>
              <w:t>土地利用类型</w:t>
            </w:r>
          </w:p>
        </w:tc>
        <w:tc>
          <w:tcPr>
            <w:tcW w:w="1082" w:type="pct"/>
            <w:vAlign w:val="center"/>
          </w:tcPr>
          <w:p w14:paraId="21F52F79">
            <w:pPr>
              <w:pStyle w:val="40"/>
              <w:rPr>
                <w:color w:val="000000" w:themeColor="text1"/>
                <w:szCs w:val="21"/>
                <w14:textFill>
                  <w14:solidFill>
                    <w14:schemeClr w14:val="tx1"/>
                  </w14:solidFill>
                </w14:textFill>
              </w:rPr>
            </w:pPr>
            <w:r>
              <w:rPr>
                <w:color w:val="000000" w:themeColor="text1"/>
                <w:szCs w:val="21"/>
                <w14:textFill>
                  <w14:solidFill>
                    <w14:schemeClr w14:val="tx1"/>
                  </w14:solidFill>
                </w14:textFill>
              </w:rPr>
              <w:t>面积（hm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p>
        </w:tc>
        <w:tc>
          <w:tcPr>
            <w:tcW w:w="1496" w:type="pct"/>
            <w:vAlign w:val="center"/>
          </w:tcPr>
          <w:p w14:paraId="562AEFED">
            <w:pPr>
              <w:pStyle w:val="40"/>
              <w:rPr>
                <w:color w:val="000000" w:themeColor="text1"/>
                <w:szCs w:val="21"/>
                <w14:textFill>
                  <w14:solidFill>
                    <w14:schemeClr w14:val="tx1"/>
                  </w14:solidFill>
                </w14:textFill>
              </w:rPr>
            </w:pPr>
            <w:r>
              <w:rPr>
                <w:color w:val="000000" w:themeColor="text1"/>
                <w:szCs w:val="21"/>
                <w14:textFill>
                  <w14:solidFill>
                    <w14:schemeClr w14:val="tx1"/>
                  </w14:solidFill>
                </w14:textFill>
              </w:rPr>
              <w:t>占评价区面积比例（%）</w:t>
            </w:r>
          </w:p>
        </w:tc>
        <w:tc>
          <w:tcPr>
            <w:tcW w:w="1171" w:type="pct"/>
            <w:vAlign w:val="center"/>
          </w:tcPr>
          <w:p w14:paraId="48432F10">
            <w:pPr>
              <w:pStyle w:val="40"/>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分布区域</w:t>
            </w:r>
          </w:p>
        </w:tc>
      </w:tr>
      <w:tr w14:paraId="79CF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9" w:type="dxa"/>
            <w:vAlign w:val="center"/>
          </w:tcPr>
          <w:p w14:paraId="1BE6D20C">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灌木林地</w:t>
            </w:r>
          </w:p>
        </w:tc>
        <w:tc>
          <w:tcPr>
            <w:tcW w:w="1844" w:type="dxa"/>
            <w:vAlign w:val="center"/>
          </w:tcPr>
          <w:p w14:paraId="0114DB39">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22.43</w:t>
            </w:r>
          </w:p>
        </w:tc>
        <w:tc>
          <w:tcPr>
            <w:tcW w:w="2550" w:type="dxa"/>
            <w:vAlign w:val="center"/>
          </w:tcPr>
          <w:p w14:paraId="182ACA6A">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2.16</w:t>
            </w:r>
          </w:p>
        </w:tc>
        <w:tc>
          <w:tcPr>
            <w:tcW w:w="1171" w:type="pct"/>
            <w:vMerge w:val="restart"/>
            <w:vAlign w:val="center"/>
          </w:tcPr>
          <w:p w14:paraId="3CA3FA88">
            <w:pPr>
              <w:pStyle w:val="40"/>
              <w:rPr>
                <w:bCs/>
                <w:color w:val="000000" w:themeColor="text1"/>
                <w:szCs w:val="21"/>
                <w14:textFill>
                  <w14:solidFill>
                    <w14:schemeClr w14:val="tx1"/>
                  </w14:solidFill>
                </w14:textFill>
              </w:rPr>
            </w:pPr>
            <w:r>
              <w:rPr>
                <w:b w:val="0"/>
                <w:bCs/>
                <w:color w:val="000000" w:themeColor="text1"/>
                <w:kern w:val="0"/>
                <w:szCs w:val="21"/>
                <w:lang w:bidi="ar"/>
                <w14:textFill>
                  <w14:solidFill>
                    <w14:schemeClr w14:val="tx1"/>
                  </w14:solidFill>
                </w14:textFill>
              </w:rPr>
              <w:t>生态评价范围内分布</w:t>
            </w:r>
          </w:p>
        </w:tc>
      </w:tr>
      <w:tr w14:paraId="3C99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9" w:type="dxa"/>
            <w:vAlign w:val="center"/>
          </w:tcPr>
          <w:p w14:paraId="18BE9A21">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其他草地</w:t>
            </w:r>
          </w:p>
        </w:tc>
        <w:tc>
          <w:tcPr>
            <w:tcW w:w="1844" w:type="dxa"/>
            <w:vAlign w:val="center"/>
          </w:tcPr>
          <w:p w14:paraId="632BA8D8">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650.64</w:t>
            </w:r>
          </w:p>
        </w:tc>
        <w:tc>
          <w:tcPr>
            <w:tcW w:w="2550" w:type="dxa"/>
            <w:vAlign w:val="center"/>
          </w:tcPr>
          <w:p w14:paraId="1CF963E7">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62.64</w:t>
            </w:r>
          </w:p>
        </w:tc>
        <w:tc>
          <w:tcPr>
            <w:tcW w:w="1171" w:type="pct"/>
            <w:vMerge w:val="continue"/>
            <w:vAlign w:val="center"/>
          </w:tcPr>
          <w:p w14:paraId="267A4AF1">
            <w:pPr>
              <w:pStyle w:val="40"/>
              <w:rPr>
                <w:bCs/>
                <w:color w:val="000000" w:themeColor="text1"/>
                <w:szCs w:val="21"/>
                <w14:textFill>
                  <w14:solidFill>
                    <w14:schemeClr w14:val="tx1"/>
                  </w14:solidFill>
                </w14:textFill>
              </w:rPr>
            </w:pPr>
          </w:p>
        </w:tc>
      </w:tr>
      <w:tr w14:paraId="1660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9" w:type="dxa"/>
            <w:vAlign w:val="center"/>
          </w:tcPr>
          <w:p w14:paraId="74FF0574">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公路用地</w:t>
            </w:r>
          </w:p>
        </w:tc>
        <w:tc>
          <w:tcPr>
            <w:tcW w:w="1844" w:type="dxa"/>
            <w:vAlign w:val="center"/>
          </w:tcPr>
          <w:p w14:paraId="76813477">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6.35</w:t>
            </w:r>
          </w:p>
        </w:tc>
        <w:tc>
          <w:tcPr>
            <w:tcW w:w="2550" w:type="dxa"/>
            <w:vAlign w:val="center"/>
          </w:tcPr>
          <w:p w14:paraId="55C6A6D9">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0.61</w:t>
            </w:r>
          </w:p>
        </w:tc>
        <w:tc>
          <w:tcPr>
            <w:tcW w:w="1171" w:type="pct"/>
            <w:vMerge w:val="continue"/>
            <w:vAlign w:val="center"/>
          </w:tcPr>
          <w:p w14:paraId="40FBC925">
            <w:pPr>
              <w:pStyle w:val="40"/>
              <w:rPr>
                <w:bCs/>
                <w:color w:val="000000" w:themeColor="text1"/>
                <w:szCs w:val="21"/>
                <w14:textFill>
                  <w14:solidFill>
                    <w14:schemeClr w14:val="tx1"/>
                  </w14:solidFill>
                </w14:textFill>
              </w:rPr>
            </w:pPr>
          </w:p>
        </w:tc>
      </w:tr>
      <w:tr w14:paraId="78DB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9" w:type="dxa"/>
            <w:vAlign w:val="center"/>
          </w:tcPr>
          <w:p w14:paraId="0AC34A60">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铁路用地</w:t>
            </w:r>
          </w:p>
        </w:tc>
        <w:tc>
          <w:tcPr>
            <w:tcW w:w="1844" w:type="dxa"/>
            <w:vAlign w:val="center"/>
          </w:tcPr>
          <w:p w14:paraId="01090804">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1.19</w:t>
            </w:r>
          </w:p>
        </w:tc>
        <w:tc>
          <w:tcPr>
            <w:tcW w:w="2550" w:type="dxa"/>
            <w:vAlign w:val="center"/>
          </w:tcPr>
          <w:p w14:paraId="52852B56">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0.11</w:t>
            </w:r>
          </w:p>
        </w:tc>
        <w:tc>
          <w:tcPr>
            <w:tcW w:w="1171" w:type="pct"/>
            <w:vMerge w:val="continue"/>
            <w:vAlign w:val="center"/>
          </w:tcPr>
          <w:p w14:paraId="59DC70B0">
            <w:pPr>
              <w:pStyle w:val="40"/>
              <w:rPr>
                <w:bCs/>
                <w:color w:val="000000" w:themeColor="text1"/>
                <w:szCs w:val="21"/>
                <w14:textFill>
                  <w14:solidFill>
                    <w14:schemeClr w14:val="tx1"/>
                  </w14:solidFill>
                </w14:textFill>
              </w:rPr>
            </w:pPr>
          </w:p>
        </w:tc>
      </w:tr>
      <w:tr w14:paraId="0FC6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9" w:type="dxa"/>
            <w:vAlign w:val="center"/>
          </w:tcPr>
          <w:p w14:paraId="27DAE682">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裸地</w:t>
            </w:r>
          </w:p>
        </w:tc>
        <w:tc>
          <w:tcPr>
            <w:tcW w:w="1844" w:type="dxa"/>
            <w:vAlign w:val="center"/>
          </w:tcPr>
          <w:p w14:paraId="13C9E11F">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358.03</w:t>
            </w:r>
          </w:p>
        </w:tc>
        <w:tc>
          <w:tcPr>
            <w:tcW w:w="2550" w:type="dxa"/>
            <w:vAlign w:val="center"/>
          </w:tcPr>
          <w:p w14:paraId="42CE1836">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34.47</w:t>
            </w:r>
          </w:p>
        </w:tc>
        <w:tc>
          <w:tcPr>
            <w:tcW w:w="1171" w:type="pct"/>
            <w:vMerge w:val="continue"/>
            <w:vAlign w:val="center"/>
          </w:tcPr>
          <w:p w14:paraId="7783A110">
            <w:pPr>
              <w:pStyle w:val="40"/>
              <w:rPr>
                <w:bCs/>
                <w:color w:val="000000" w:themeColor="text1"/>
                <w:szCs w:val="21"/>
                <w14:textFill>
                  <w14:solidFill>
                    <w14:schemeClr w14:val="tx1"/>
                  </w14:solidFill>
                </w14:textFill>
              </w:rPr>
            </w:pPr>
          </w:p>
        </w:tc>
      </w:tr>
      <w:tr w14:paraId="4B54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9" w:type="dxa"/>
            <w:vAlign w:val="center"/>
          </w:tcPr>
          <w:p w14:paraId="58CCA722">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合计</w:t>
            </w:r>
          </w:p>
        </w:tc>
        <w:tc>
          <w:tcPr>
            <w:tcW w:w="1844" w:type="dxa"/>
            <w:vAlign w:val="center"/>
          </w:tcPr>
          <w:p w14:paraId="3E349BEB">
            <w:pPr>
              <w:widowControl/>
              <w:spacing w:line="240" w:lineRule="auto"/>
              <w:ind w:firstLine="0" w:firstLineChars="0"/>
              <w:jc w:val="center"/>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1038.64</w:t>
            </w:r>
          </w:p>
        </w:tc>
        <w:tc>
          <w:tcPr>
            <w:tcW w:w="2550" w:type="dxa"/>
            <w:vAlign w:val="center"/>
          </w:tcPr>
          <w:p w14:paraId="034E54AD">
            <w:pPr>
              <w:widowControl/>
              <w:spacing w:line="240" w:lineRule="auto"/>
              <w:ind w:firstLine="0" w:firstLineChars="0"/>
              <w:jc w:val="center"/>
              <w:rPr>
                <w:rFonts w:hint="default"/>
                <w:color w:val="000000" w:themeColor="text1"/>
                <w:kern w:val="0"/>
                <w:sz w:val="21"/>
                <w:szCs w:val="21"/>
                <w:lang w:val="en-US"/>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100</w:t>
            </w:r>
          </w:p>
        </w:tc>
        <w:tc>
          <w:tcPr>
            <w:tcW w:w="1171" w:type="pct"/>
            <w:vMerge w:val="continue"/>
            <w:vAlign w:val="center"/>
          </w:tcPr>
          <w:p w14:paraId="6F131D34">
            <w:pPr>
              <w:pStyle w:val="40"/>
              <w:rPr>
                <w:bCs/>
                <w:color w:val="000000" w:themeColor="text1"/>
                <w:szCs w:val="21"/>
                <w14:textFill>
                  <w14:solidFill>
                    <w14:schemeClr w14:val="tx1"/>
                  </w14:solidFill>
                </w14:textFill>
              </w:rPr>
            </w:pPr>
          </w:p>
        </w:tc>
      </w:tr>
    </w:tbl>
    <w:p w14:paraId="7A79246E">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811" w:name="_Toc6643"/>
      <w:bookmarkStart w:id="812" w:name="_Toc29849"/>
      <w:bookmarkStart w:id="813" w:name="_Toc13320"/>
      <w:bookmarkStart w:id="814" w:name="_Toc24434"/>
      <w:bookmarkStart w:id="815" w:name="_Toc12037"/>
      <w:bookmarkStart w:id="816" w:name="_Toc9760"/>
      <w:bookmarkStart w:id="817" w:name="_Toc1718"/>
      <w:bookmarkStart w:id="818" w:name="_Toc19810"/>
      <w:bookmarkStart w:id="819" w:name="_Toc18340"/>
      <w:bookmarkStart w:id="820" w:name="_Toc26802"/>
      <w:bookmarkStart w:id="821" w:name="_Toc12"/>
      <w:r>
        <w:rPr>
          <w:bCs/>
          <w:color w:val="000000" w:themeColor="text1"/>
          <w:sz w:val="28"/>
          <w:szCs w:val="32"/>
          <w14:textFill>
            <w14:solidFill>
              <w14:schemeClr w14:val="tx1"/>
            </w14:solidFill>
          </w14:textFill>
        </w:rPr>
        <w:t>4.5.</w:t>
      </w:r>
      <w:r>
        <w:rPr>
          <w:rFonts w:hint="eastAsia"/>
          <w:bCs/>
          <w:color w:val="000000" w:themeColor="text1"/>
          <w:sz w:val="28"/>
          <w:szCs w:val="32"/>
          <w14:textFill>
            <w14:solidFill>
              <w14:schemeClr w14:val="tx1"/>
            </w14:solidFill>
          </w14:textFill>
        </w:rPr>
        <w:t xml:space="preserve">2 </w:t>
      </w:r>
      <w:r>
        <w:rPr>
          <w:bCs/>
          <w:color w:val="000000" w:themeColor="text1"/>
          <w:sz w:val="28"/>
          <w:szCs w:val="32"/>
          <w14:textFill>
            <w14:solidFill>
              <w14:schemeClr w14:val="tx1"/>
            </w14:solidFill>
          </w14:textFill>
        </w:rPr>
        <w:t>动物资源现状</w:t>
      </w:r>
    </w:p>
    <w:p w14:paraId="0EDD5292">
      <w:pPr>
        <w:ind w:firstLine="504" w:firstLineChars="21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评价区域处于古北界新高原区西部荒漠亚区的塔里木盆地南缘，以温带荒漠、半荒漠动物群为主，根据历史资料，评价区域主要野生动物见表4.5-2。</w:t>
      </w:r>
    </w:p>
    <w:p w14:paraId="025ED728">
      <w:pPr>
        <w:pStyle w:val="38"/>
        <w:widowControl/>
        <w:snapToGrid w:val="0"/>
        <w:spacing w:line="360" w:lineRule="auto"/>
        <w:rPr>
          <w:color w:val="000000" w:themeColor="text1"/>
          <w:sz w:val="21"/>
          <w:szCs w:val="21"/>
          <w:lang w:bidi="ar"/>
          <w14:textFill>
            <w14:solidFill>
              <w14:schemeClr w14:val="tx1"/>
            </w14:solidFill>
          </w14:textFill>
        </w:rPr>
      </w:pPr>
      <w:r>
        <w:rPr>
          <w:color w:val="000000" w:themeColor="text1"/>
          <w:sz w:val="21"/>
          <w:szCs w:val="21"/>
          <w:lang w:bidi="ar"/>
          <w14:textFill>
            <w14:solidFill>
              <w14:schemeClr w14:val="tx1"/>
            </w14:solidFill>
          </w14:textFill>
        </w:rPr>
        <w:t>表</w:t>
      </w:r>
      <w:r>
        <w:rPr>
          <w:rFonts w:hint="eastAsia"/>
          <w:color w:val="000000" w:themeColor="text1"/>
          <w:sz w:val="21"/>
          <w:szCs w:val="21"/>
          <w:lang w:val="en-US" w:eastAsia="zh-CN" w:bidi="ar"/>
          <w14:textFill>
            <w14:solidFill>
              <w14:schemeClr w14:val="tx1"/>
            </w14:solidFill>
          </w14:textFill>
        </w:rPr>
        <w:t xml:space="preserve">4.5-2 </w:t>
      </w:r>
      <w:r>
        <w:rPr>
          <w:color w:val="000000" w:themeColor="text1"/>
          <w:sz w:val="21"/>
          <w:szCs w:val="21"/>
          <w:lang w:bidi="ar"/>
          <w14:textFill>
            <w14:solidFill>
              <w14:schemeClr w14:val="tx1"/>
            </w14:solidFill>
          </w14:textFill>
        </w:rPr>
        <w:t xml:space="preserve"> 评价区常见野生脊椎动物分布种类及遇见频度</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2440"/>
        <w:gridCol w:w="4145"/>
        <w:gridCol w:w="1208"/>
      </w:tblGrid>
      <w:tr w14:paraId="2F4E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trPr>
        <w:tc>
          <w:tcPr>
            <w:tcW w:w="426" w:type="pct"/>
          </w:tcPr>
          <w:p w14:paraId="0B70BEA0">
            <w:pPr>
              <w:widowControl/>
              <w:spacing w:line="240" w:lineRule="auto"/>
              <w:ind w:firstLine="0" w:firstLineChars="0"/>
              <w:jc w:val="center"/>
              <w:rPr>
                <w:rFonts w:hint="eastAsia" w:ascii="Times New Roman" w:hAnsi="Times New Roman" w:eastAsia="宋体" w:cs="Times New Roman"/>
                <w:b/>
                <w:bCs/>
                <w:color w:val="000000" w:themeColor="text1"/>
                <w:kern w:val="0"/>
                <w:sz w:val="21"/>
                <w:szCs w:val="21"/>
                <w14:textFill>
                  <w14:solidFill>
                    <w14:schemeClr w14:val="tx1"/>
                  </w14:solidFill>
                </w14:textFill>
              </w:rPr>
            </w:pPr>
            <w:r>
              <w:rPr>
                <w:rFonts w:hint="eastAsia" w:ascii="Times New Roman" w:hAnsi="Times New Roman" w:eastAsia="宋体" w:cs="Times New Roman"/>
                <w:b/>
                <w:bCs/>
                <w:color w:val="000000" w:themeColor="text1"/>
                <w:kern w:val="0"/>
                <w:sz w:val="21"/>
                <w:szCs w:val="21"/>
                <w14:textFill>
                  <w14:solidFill>
                    <w14:schemeClr w14:val="tx1"/>
                  </w14:solidFill>
                </w14:textFill>
              </w:rPr>
              <w:t>序号</w:t>
            </w:r>
          </w:p>
        </w:tc>
        <w:tc>
          <w:tcPr>
            <w:tcW w:w="1432" w:type="pct"/>
          </w:tcPr>
          <w:p w14:paraId="7F4DB03A">
            <w:pPr>
              <w:widowControl/>
              <w:spacing w:line="240" w:lineRule="auto"/>
              <w:ind w:firstLine="0" w:firstLineChars="0"/>
              <w:jc w:val="center"/>
              <w:rPr>
                <w:rFonts w:hint="eastAsia" w:ascii="Times New Roman" w:hAnsi="Times New Roman" w:eastAsia="宋体" w:cs="Times New Roman"/>
                <w:b/>
                <w:bCs/>
                <w:color w:val="000000" w:themeColor="text1"/>
                <w:kern w:val="0"/>
                <w:sz w:val="21"/>
                <w:szCs w:val="21"/>
                <w14:textFill>
                  <w14:solidFill>
                    <w14:schemeClr w14:val="tx1"/>
                  </w14:solidFill>
                </w14:textFill>
              </w:rPr>
            </w:pPr>
            <w:r>
              <w:rPr>
                <w:rFonts w:hint="eastAsia" w:ascii="Times New Roman" w:hAnsi="Times New Roman" w:eastAsia="宋体" w:cs="Times New Roman"/>
                <w:b/>
                <w:bCs/>
                <w:color w:val="000000" w:themeColor="text1"/>
                <w:kern w:val="0"/>
                <w:sz w:val="21"/>
                <w:szCs w:val="21"/>
                <w14:textFill>
                  <w14:solidFill>
                    <w14:schemeClr w14:val="tx1"/>
                  </w14:solidFill>
                </w14:textFill>
              </w:rPr>
              <w:t>中</w:t>
            </w:r>
            <w:r>
              <w:rPr>
                <w:rFonts w:hint="eastAsia" w:ascii="Times New Roman" w:hAnsi="Times New Roman" w:eastAsia="宋体" w:cs="Times New Roman"/>
                <w:b/>
                <w:bCs/>
                <w:color w:val="000000" w:themeColor="text1"/>
                <w:kern w:val="0"/>
                <w:sz w:val="21"/>
                <w:szCs w:val="21"/>
                <w14:textFill>
                  <w14:solidFill>
                    <w14:schemeClr w14:val="tx1"/>
                  </w14:solidFill>
                </w14:textFill>
              </w:rPr>
              <w:tab/>
            </w:r>
            <w:r>
              <w:rPr>
                <w:rFonts w:hint="eastAsia" w:ascii="Times New Roman" w:hAnsi="Times New Roman" w:eastAsia="宋体" w:cs="Times New Roman"/>
                <w:b/>
                <w:bCs/>
                <w:color w:val="000000" w:themeColor="text1"/>
                <w:kern w:val="0"/>
                <w:sz w:val="21"/>
                <w:szCs w:val="21"/>
                <w14:textFill>
                  <w14:solidFill>
                    <w14:schemeClr w14:val="tx1"/>
                  </w14:solidFill>
                </w14:textFill>
              </w:rPr>
              <w:t>名</w:t>
            </w:r>
          </w:p>
        </w:tc>
        <w:tc>
          <w:tcPr>
            <w:tcW w:w="2433" w:type="pct"/>
          </w:tcPr>
          <w:p w14:paraId="626EA96E">
            <w:pPr>
              <w:widowControl/>
              <w:spacing w:line="240" w:lineRule="auto"/>
              <w:ind w:firstLine="0" w:firstLineChars="0"/>
              <w:jc w:val="center"/>
              <w:rPr>
                <w:rFonts w:hint="eastAsia" w:ascii="Times New Roman" w:hAnsi="Times New Roman" w:eastAsia="宋体" w:cs="Times New Roman"/>
                <w:b/>
                <w:bCs/>
                <w:color w:val="000000" w:themeColor="text1"/>
                <w:kern w:val="0"/>
                <w:sz w:val="21"/>
                <w:szCs w:val="21"/>
                <w14:textFill>
                  <w14:solidFill>
                    <w14:schemeClr w14:val="tx1"/>
                  </w14:solidFill>
                </w14:textFill>
              </w:rPr>
            </w:pPr>
            <w:r>
              <w:rPr>
                <w:rFonts w:hint="eastAsia" w:ascii="Times New Roman" w:hAnsi="Times New Roman" w:eastAsia="宋体" w:cs="Times New Roman"/>
                <w:b/>
                <w:bCs/>
                <w:color w:val="000000" w:themeColor="text1"/>
                <w:kern w:val="0"/>
                <w:sz w:val="21"/>
                <w:szCs w:val="21"/>
                <w14:textFill>
                  <w14:solidFill>
                    <w14:schemeClr w14:val="tx1"/>
                  </w14:solidFill>
                </w14:textFill>
              </w:rPr>
              <w:t>学</w:t>
            </w:r>
            <w:r>
              <w:rPr>
                <w:rFonts w:hint="eastAsia" w:ascii="Times New Roman" w:hAnsi="Times New Roman" w:eastAsia="宋体" w:cs="Times New Roman"/>
                <w:b/>
                <w:bCs/>
                <w:color w:val="000000" w:themeColor="text1"/>
                <w:kern w:val="0"/>
                <w:sz w:val="21"/>
                <w:szCs w:val="21"/>
                <w14:textFill>
                  <w14:solidFill>
                    <w14:schemeClr w14:val="tx1"/>
                  </w14:solidFill>
                </w14:textFill>
              </w:rPr>
              <w:tab/>
            </w:r>
            <w:r>
              <w:rPr>
                <w:rFonts w:hint="eastAsia" w:ascii="Times New Roman" w:hAnsi="Times New Roman" w:eastAsia="宋体" w:cs="Times New Roman"/>
                <w:b/>
                <w:bCs/>
                <w:color w:val="000000" w:themeColor="text1"/>
                <w:kern w:val="0"/>
                <w:sz w:val="21"/>
                <w:szCs w:val="21"/>
                <w14:textFill>
                  <w14:solidFill>
                    <w14:schemeClr w14:val="tx1"/>
                  </w14:solidFill>
                </w14:textFill>
              </w:rPr>
              <w:t>名</w:t>
            </w:r>
          </w:p>
        </w:tc>
        <w:tc>
          <w:tcPr>
            <w:tcW w:w="707" w:type="pct"/>
          </w:tcPr>
          <w:p w14:paraId="6332CF78">
            <w:pPr>
              <w:widowControl/>
              <w:spacing w:line="240" w:lineRule="auto"/>
              <w:ind w:firstLine="0" w:firstLineChars="0"/>
              <w:jc w:val="center"/>
              <w:rPr>
                <w:rFonts w:hint="eastAsia" w:ascii="Times New Roman" w:hAnsi="Times New Roman" w:eastAsia="宋体" w:cs="Times New Roman"/>
                <w:b/>
                <w:bCs/>
                <w:color w:val="000000" w:themeColor="text1"/>
                <w:kern w:val="0"/>
                <w:sz w:val="21"/>
                <w:szCs w:val="21"/>
                <w14:textFill>
                  <w14:solidFill>
                    <w14:schemeClr w14:val="tx1"/>
                  </w14:solidFill>
                </w14:textFill>
              </w:rPr>
            </w:pPr>
            <w:r>
              <w:rPr>
                <w:rFonts w:hint="eastAsia" w:ascii="Times New Roman" w:hAnsi="Times New Roman" w:eastAsia="宋体" w:cs="Times New Roman"/>
                <w:b/>
                <w:bCs/>
                <w:color w:val="000000" w:themeColor="text1"/>
                <w:kern w:val="0"/>
                <w:sz w:val="21"/>
                <w:szCs w:val="21"/>
                <w14:textFill>
                  <w14:solidFill>
                    <w14:schemeClr w14:val="tx1"/>
                  </w14:solidFill>
                </w14:textFill>
              </w:rPr>
              <w:t>分布</w:t>
            </w:r>
          </w:p>
        </w:tc>
      </w:tr>
      <w:tr w14:paraId="487D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exact"/>
        </w:trPr>
        <w:tc>
          <w:tcPr>
            <w:tcW w:w="5000" w:type="pct"/>
            <w:gridSpan w:val="4"/>
          </w:tcPr>
          <w:p w14:paraId="3656201F">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爬行类</w:t>
            </w:r>
          </w:p>
        </w:tc>
      </w:tr>
      <w:tr w14:paraId="4C09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426" w:type="pct"/>
          </w:tcPr>
          <w:p w14:paraId="6B210D9E">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1</w:t>
            </w:r>
          </w:p>
        </w:tc>
        <w:tc>
          <w:tcPr>
            <w:tcW w:w="1432" w:type="pct"/>
          </w:tcPr>
          <w:p w14:paraId="6E146566">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快步麻蜥</w:t>
            </w:r>
          </w:p>
        </w:tc>
        <w:tc>
          <w:tcPr>
            <w:tcW w:w="2433" w:type="pct"/>
          </w:tcPr>
          <w:p w14:paraId="1F82F5C3">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Eremias velox</w:t>
            </w:r>
          </w:p>
        </w:tc>
        <w:tc>
          <w:tcPr>
            <w:tcW w:w="707" w:type="pct"/>
          </w:tcPr>
          <w:p w14:paraId="6F2DD31F">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788B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426" w:type="pct"/>
          </w:tcPr>
          <w:p w14:paraId="7A6BE08E">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2</w:t>
            </w:r>
          </w:p>
        </w:tc>
        <w:tc>
          <w:tcPr>
            <w:tcW w:w="1432" w:type="pct"/>
          </w:tcPr>
          <w:p w14:paraId="7EF05A4A">
            <w:pPr>
              <w:widowControl/>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荒漠沙蜥</w:t>
            </w:r>
          </w:p>
        </w:tc>
        <w:tc>
          <w:tcPr>
            <w:tcW w:w="2433" w:type="pct"/>
          </w:tcPr>
          <w:p w14:paraId="6AF4C1E5">
            <w:pPr>
              <w:widowControl/>
              <w:spacing w:line="240" w:lineRule="auto"/>
              <w:ind w:firstLine="0" w:firstLineChars="0"/>
              <w:jc w:val="center"/>
              <w:rPr>
                <w:rFonts w:hint="default" w:ascii="Times New Roman" w:hAnsi="Times New Roman" w:eastAsia="宋体" w:cs="Times New Roman"/>
                <w:i/>
                <w:i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i/>
                <w:iCs/>
                <w:color w:val="000000" w:themeColor="text1"/>
                <w:kern w:val="0"/>
                <w:sz w:val="21"/>
                <w:szCs w:val="21"/>
                <w:lang w:val="en-US" w:eastAsia="zh-CN"/>
                <w14:textFill>
                  <w14:solidFill>
                    <w14:schemeClr w14:val="tx1"/>
                  </w14:solidFill>
                </w14:textFill>
              </w:rPr>
              <w:t>Phrynocephalusprzewalskii</w:t>
            </w:r>
          </w:p>
        </w:tc>
        <w:tc>
          <w:tcPr>
            <w:tcW w:w="707" w:type="pct"/>
          </w:tcPr>
          <w:p w14:paraId="6EADC055">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p>
        </w:tc>
      </w:tr>
      <w:tr w14:paraId="0321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5000" w:type="pct"/>
            <w:gridSpan w:val="4"/>
          </w:tcPr>
          <w:p w14:paraId="7D843007">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鸟 类</w:t>
            </w:r>
          </w:p>
        </w:tc>
      </w:tr>
      <w:tr w14:paraId="05FA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exact"/>
        </w:trPr>
        <w:tc>
          <w:tcPr>
            <w:tcW w:w="426" w:type="pct"/>
          </w:tcPr>
          <w:p w14:paraId="0971FC54">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5</w:t>
            </w:r>
          </w:p>
        </w:tc>
        <w:tc>
          <w:tcPr>
            <w:tcW w:w="1432" w:type="pct"/>
          </w:tcPr>
          <w:p w14:paraId="74E9E6FF">
            <w:pPr>
              <w:widowControl/>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沙</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䳭</w:t>
            </w:r>
          </w:p>
        </w:tc>
        <w:tc>
          <w:tcPr>
            <w:tcW w:w="2433" w:type="pct"/>
          </w:tcPr>
          <w:p w14:paraId="4C4FC596">
            <w:pPr>
              <w:widowControl/>
              <w:spacing w:line="240" w:lineRule="auto"/>
              <w:ind w:firstLine="0" w:firstLineChars="0"/>
              <w:jc w:val="center"/>
              <w:rPr>
                <w:rFonts w:hint="default" w:ascii="Times New Roman" w:hAnsi="Times New Roman" w:eastAsia="宋体" w:cs="Times New Roman"/>
                <w:i/>
                <w:i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i/>
                <w:iCs/>
                <w:color w:val="000000" w:themeColor="text1"/>
                <w:kern w:val="0"/>
                <w:sz w:val="21"/>
                <w:szCs w:val="21"/>
                <w:lang w:val="en-US" w:eastAsia="zh-CN"/>
                <w14:textFill>
                  <w14:solidFill>
                    <w14:schemeClr w14:val="tx1"/>
                  </w14:solidFill>
                </w14:textFill>
              </w:rPr>
              <w:t>Oenantheisabellina</w:t>
            </w:r>
          </w:p>
        </w:tc>
        <w:tc>
          <w:tcPr>
            <w:tcW w:w="707" w:type="pct"/>
          </w:tcPr>
          <w:p w14:paraId="02F4D777">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69CB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exact"/>
        </w:trPr>
        <w:tc>
          <w:tcPr>
            <w:tcW w:w="426" w:type="pct"/>
          </w:tcPr>
          <w:p w14:paraId="799B3D1E">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6</w:t>
            </w:r>
          </w:p>
        </w:tc>
        <w:tc>
          <w:tcPr>
            <w:tcW w:w="1432" w:type="pct"/>
          </w:tcPr>
          <w:p w14:paraId="53849F79">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漠</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䳭</w:t>
            </w:r>
          </w:p>
        </w:tc>
        <w:tc>
          <w:tcPr>
            <w:tcW w:w="2433" w:type="pct"/>
          </w:tcPr>
          <w:p w14:paraId="21E6D221">
            <w:pPr>
              <w:widowControl/>
              <w:spacing w:line="240" w:lineRule="auto"/>
              <w:ind w:firstLine="0" w:firstLineChars="0"/>
              <w:jc w:val="center"/>
              <w:rPr>
                <w:rFonts w:hint="default" w:ascii="Times New Roman" w:hAnsi="Times New Roman" w:eastAsia="宋体" w:cs="Times New Roman"/>
                <w:i/>
                <w:i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i/>
                <w:iCs/>
                <w:color w:val="000000" w:themeColor="text1"/>
                <w:kern w:val="0"/>
                <w:sz w:val="21"/>
                <w:szCs w:val="21"/>
                <w:lang w:val="en-US" w:eastAsia="zh-CN"/>
                <w14:textFill>
                  <w14:solidFill>
                    <w14:schemeClr w14:val="tx1"/>
                  </w14:solidFill>
                </w14:textFill>
              </w:rPr>
              <w:t>Oenanthedeserti</w:t>
            </w:r>
          </w:p>
        </w:tc>
        <w:tc>
          <w:tcPr>
            <w:tcW w:w="707" w:type="pct"/>
          </w:tcPr>
          <w:p w14:paraId="4807AED6">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185A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exact"/>
        </w:trPr>
        <w:tc>
          <w:tcPr>
            <w:tcW w:w="426" w:type="pct"/>
          </w:tcPr>
          <w:p w14:paraId="32133472">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7</w:t>
            </w:r>
          </w:p>
        </w:tc>
        <w:tc>
          <w:tcPr>
            <w:tcW w:w="1432" w:type="pct"/>
          </w:tcPr>
          <w:p w14:paraId="25CFD5BA">
            <w:pPr>
              <w:widowControl/>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黑顶麻雀</w:t>
            </w:r>
          </w:p>
        </w:tc>
        <w:tc>
          <w:tcPr>
            <w:tcW w:w="2433" w:type="pct"/>
          </w:tcPr>
          <w:p w14:paraId="31471205">
            <w:pPr>
              <w:widowControl/>
              <w:spacing w:line="240" w:lineRule="auto"/>
              <w:ind w:firstLine="0" w:firstLineChars="0"/>
              <w:jc w:val="center"/>
              <w:rPr>
                <w:rFonts w:hint="default" w:ascii="Times New Roman" w:hAnsi="Times New Roman" w:eastAsia="宋体" w:cs="Times New Roman"/>
                <w:i/>
                <w:i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i/>
                <w:iCs/>
                <w:color w:val="000000" w:themeColor="text1"/>
                <w:kern w:val="0"/>
                <w:sz w:val="21"/>
                <w:szCs w:val="21"/>
                <w:lang w:val="en-US" w:eastAsia="zh-CN"/>
                <w14:textFill>
                  <w14:solidFill>
                    <w14:schemeClr w14:val="tx1"/>
                  </w14:solidFill>
                </w14:textFill>
              </w:rPr>
              <w:t>Passerammodendri</w:t>
            </w:r>
          </w:p>
        </w:tc>
        <w:tc>
          <w:tcPr>
            <w:tcW w:w="707" w:type="pct"/>
          </w:tcPr>
          <w:p w14:paraId="07B07A91">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179E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426" w:type="pct"/>
          </w:tcPr>
          <w:p w14:paraId="6A42E417">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8</w:t>
            </w:r>
          </w:p>
        </w:tc>
        <w:tc>
          <w:tcPr>
            <w:tcW w:w="1432" w:type="pct"/>
          </w:tcPr>
          <w:p w14:paraId="23353EB1">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小沙百灵</w:t>
            </w:r>
          </w:p>
        </w:tc>
        <w:tc>
          <w:tcPr>
            <w:tcW w:w="2433" w:type="pct"/>
          </w:tcPr>
          <w:p w14:paraId="4CB2DB33">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Calandrella   rufescens</w:t>
            </w:r>
          </w:p>
        </w:tc>
        <w:tc>
          <w:tcPr>
            <w:tcW w:w="707" w:type="pct"/>
          </w:tcPr>
          <w:p w14:paraId="26E76F1B">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694F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exact"/>
        </w:trPr>
        <w:tc>
          <w:tcPr>
            <w:tcW w:w="426" w:type="pct"/>
          </w:tcPr>
          <w:p w14:paraId="27BFDA38">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9</w:t>
            </w:r>
          </w:p>
        </w:tc>
        <w:tc>
          <w:tcPr>
            <w:tcW w:w="1432" w:type="pct"/>
          </w:tcPr>
          <w:p w14:paraId="06234BFF">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凤头白灵</w:t>
            </w:r>
          </w:p>
        </w:tc>
        <w:tc>
          <w:tcPr>
            <w:tcW w:w="2433" w:type="pct"/>
          </w:tcPr>
          <w:p w14:paraId="13272B37">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Galerida cristata</w:t>
            </w:r>
          </w:p>
        </w:tc>
        <w:tc>
          <w:tcPr>
            <w:tcW w:w="707" w:type="pct"/>
          </w:tcPr>
          <w:p w14:paraId="1644D296">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43AF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426" w:type="pct"/>
          </w:tcPr>
          <w:p w14:paraId="288F18B5">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10</w:t>
            </w:r>
          </w:p>
        </w:tc>
        <w:tc>
          <w:tcPr>
            <w:tcW w:w="1432" w:type="pct"/>
          </w:tcPr>
          <w:p w14:paraId="14B3A23C">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毛脚燕</w:t>
            </w:r>
          </w:p>
        </w:tc>
        <w:tc>
          <w:tcPr>
            <w:tcW w:w="2433" w:type="pct"/>
          </w:tcPr>
          <w:p w14:paraId="4A63A067">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Delichon urbica</w:t>
            </w:r>
          </w:p>
        </w:tc>
        <w:tc>
          <w:tcPr>
            <w:tcW w:w="707" w:type="pct"/>
          </w:tcPr>
          <w:p w14:paraId="7C9A3A00">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53D0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exact"/>
        </w:trPr>
        <w:tc>
          <w:tcPr>
            <w:tcW w:w="426" w:type="pct"/>
          </w:tcPr>
          <w:p w14:paraId="51924AD9">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11</w:t>
            </w:r>
          </w:p>
        </w:tc>
        <w:tc>
          <w:tcPr>
            <w:tcW w:w="1432" w:type="pct"/>
          </w:tcPr>
          <w:p w14:paraId="744E4A2F">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云雀</w:t>
            </w:r>
          </w:p>
        </w:tc>
        <w:tc>
          <w:tcPr>
            <w:tcW w:w="2433" w:type="pct"/>
          </w:tcPr>
          <w:p w14:paraId="7A80E7BB">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Alauda arvensis</w:t>
            </w:r>
          </w:p>
        </w:tc>
        <w:tc>
          <w:tcPr>
            <w:tcW w:w="707" w:type="pct"/>
          </w:tcPr>
          <w:p w14:paraId="3EDD88A8">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2ABF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5000" w:type="pct"/>
            <w:gridSpan w:val="4"/>
          </w:tcPr>
          <w:p w14:paraId="4DE4E36E">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哺乳类</w:t>
            </w:r>
          </w:p>
        </w:tc>
      </w:tr>
      <w:tr w14:paraId="06B0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exact"/>
        </w:trPr>
        <w:tc>
          <w:tcPr>
            <w:tcW w:w="426" w:type="pct"/>
          </w:tcPr>
          <w:p w14:paraId="781E732C">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12</w:t>
            </w:r>
          </w:p>
        </w:tc>
        <w:tc>
          <w:tcPr>
            <w:tcW w:w="1432" w:type="pct"/>
          </w:tcPr>
          <w:p w14:paraId="433553B9">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小五趾跳鼠</w:t>
            </w:r>
          </w:p>
        </w:tc>
        <w:tc>
          <w:tcPr>
            <w:tcW w:w="2433" w:type="pct"/>
          </w:tcPr>
          <w:p w14:paraId="6FD9BA0B">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Allactage elater</w:t>
            </w:r>
          </w:p>
        </w:tc>
        <w:tc>
          <w:tcPr>
            <w:tcW w:w="707" w:type="pct"/>
          </w:tcPr>
          <w:p w14:paraId="71167C71">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6C55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426" w:type="pct"/>
          </w:tcPr>
          <w:p w14:paraId="4EFCDA6D">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13</w:t>
            </w:r>
          </w:p>
        </w:tc>
        <w:tc>
          <w:tcPr>
            <w:tcW w:w="1432" w:type="pct"/>
          </w:tcPr>
          <w:p w14:paraId="55546243">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子午沙鼠</w:t>
            </w:r>
          </w:p>
        </w:tc>
        <w:tc>
          <w:tcPr>
            <w:tcW w:w="2433" w:type="pct"/>
          </w:tcPr>
          <w:p w14:paraId="214A75F0">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Meriones meridianus</w:t>
            </w:r>
          </w:p>
        </w:tc>
        <w:tc>
          <w:tcPr>
            <w:tcW w:w="707" w:type="pct"/>
          </w:tcPr>
          <w:p w14:paraId="208A1505">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1512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426" w:type="pct"/>
          </w:tcPr>
          <w:p w14:paraId="1A8D49AA">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14</w:t>
            </w:r>
          </w:p>
        </w:tc>
        <w:tc>
          <w:tcPr>
            <w:tcW w:w="1432" w:type="pct"/>
          </w:tcPr>
          <w:p w14:paraId="394FCDF5">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大沙鼠</w:t>
            </w:r>
          </w:p>
        </w:tc>
        <w:tc>
          <w:tcPr>
            <w:tcW w:w="2433" w:type="pct"/>
          </w:tcPr>
          <w:p w14:paraId="459D099E">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Rhombomys opimus</w:t>
            </w:r>
          </w:p>
        </w:tc>
        <w:tc>
          <w:tcPr>
            <w:tcW w:w="707" w:type="pct"/>
          </w:tcPr>
          <w:p w14:paraId="33BA81CC">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67A5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426" w:type="pct"/>
          </w:tcPr>
          <w:p w14:paraId="779CB9EE">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15</w:t>
            </w:r>
          </w:p>
        </w:tc>
        <w:tc>
          <w:tcPr>
            <w:tcW w:w="1432" w:type="pct"/>
          </w:tcPr>
          <w:p w14:paraId="5295E941">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柽柳沙鼠</w:t>
            </w:r>
          </w:p>
        </w:tc>
        <w:tc>
          <w:tcPr>
            <w:tcW w:w="2433" w:type="pct"/>
          </w:tcPr>
          <w:p w14:paraId="5C223DF3">
            <w:pPr>
              <w:widowControl/>
              <w:spacing w:line="240" w:lineRule="auto"/>
              <w:ind w:firstLine="0" w:firstLineChars="0"/>
              <w:jc w:val="center"/>
              <w:rPr>
                <w:rFonts w:hint="eastAsia" w:ascii="Times New Roman" w:hAnsi="Times New Roman" w:eastAsia="宋体" w:cs="Times New Roman"/>
                <w:i/>
                <w:iCs/>
                <w:color w:val="000000" w:themeColor="text1"/>
                <w:kern w:val="0"/>
                <w:sz w:val="21"/>
                <w:szCs w:val="21"/>
                <w14:textFill>
                  <w14:solidFill>
                    <w14:schemeClr w14:val="tx1"/>
                  </w14:solidFill>
                </w14:textFill>
              </w:rPr>
            </w:pPr>
            <w:r>
              <w:rPr>
                <w:rFonts w:hint="eastAsia" w:ascii="Times New Roman" w:hAnsi="Times New Roman" w:eastAsia="宋体" w:cs="Times New Roman"/>
                <w:i/>
                <w:iCs/>
                <w:color w:val="000000" w:themeColor="text1"/>
                <w:kern w:val="0"/>
                <w:sz w:val="21"/>
                <w:szCs w:val="21"/>
                <w14:textFill>
                  <w14:solidFill>
                    <w14:schemeClr w14:val="tx1"/>
                  </w14:solidFill>
                </w14:textFill>
              </w:rPr>
              <w:t>Meriones tamariscinus</w:t>
            </w:r>
          </w:p>
        </w:tc>
        <w:tc>
          <w:tcPr>
            <w:tcW w:w="707" w:type="pct"/>
          </w:tcPr>
          <w:p w14:paraId="6F63EDC3">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w:t>
            </w:r>
          </w:p>
        </w:tc>
      </w:tr>
      <w:tr w14:paraId="3431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exact"/>
        </w:trPr>
        <w:tc>
          <w:tcPr>
            <w:tcW w:w="426" w:type="pct"/>
          </w:tcPr>
          <w:p w14:paraId="5998FB3D">
            <w:pPr>
              <w:widowControl/>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16</w:t>
            </w:r>
          </w:p>
        </w:tc>
        <w:tc>
          <w:tcPr>
            <w:tcW w:w="1432" w:type="pct"/>
          </w:tcPr>
          <w:p w14:paraId="3B946647">
            <w:pPr>
              <w:widowControl/>
              <w:spacing w:line="240" w:lineRule="auto"/>
              <w:ind w:firstLine="0" w:firstLineChars="0"/>
              <w:jc w:val="center"/>
              <w:rPr>
                <w:rFonts w:hint="eastAsia"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鹅喉羚</w:t>
            </w:r>
          </w:p>
        </w:tc>
        <w:tc>
          <w:tcPr>
            <w:tcW w:w="2433" w:type="pct"/>
          </w:tcPr>
          <w:p w14:paraId="67D19DCB">
            <w:pPr>
              <w:widowControl/>
              <w:spacing w:line="240" w:lineRule="auto"/>
              <w:ind w:firstLine="0" w:firstLineChars="0"/>
              <w:jc w:val="center"/>
              <w:rPr>
                <w:rFonts w:hint="default" w:ascii="Times New Roman" w:hAnsi="Times New Roman" w:eastAsia="宋体" w:cs="Times New Roman"/>
                <w:i/>
                <w:iCs/>
                <w:color w:val="000000" w:themeColor="text1"/>
                <w:kern w:val="0"/>
                <w:sz w:val="21"/>
                <w:szCs w:val="21"/>
                <w:lang w:val="en-US" w:eastAsia="zh-CN"/>
                <w14:textFill>
                  <w14:solidFill>
                    <w14:schemeClr w14:val="tx1"/>
                  </w14:solidFill>
                </w14:textFill>
              </w:rPr>
            </w:pPr>
            <w:r>
              <w:rPr>
                <w:rFonts w:hint="eastAsia" w:cs="Times New Roman"/>
                <w:i/>
                <w:iCs/>
                <w:color w:val="000000" w:themeColor="text1"/>
                <w:kern w:val="0"/>
                <w:sz w:val="21"/>
                <w:szCs w:val="21"/>
                <w:lang w:val="en-US" w:eastAsia="zh-CN"/>
                <w14:textFill>
                  <w14:solidFill>
                    <w14:schemeClr w14:val="tx1"/>
                  </w14:solidFill>
                </w14:textFill>
              </w:rPr>
              <w:t>Gozella subgutturosa</w:t>
            </w:r>
          </w:p>
        </w:tc>
        <w:tc>
          <w:tcPr>
            <w:tcW w:w="707" w:type="pct"/>
          </w:tcPr>
          <w:p w14:paraId="5763BC19">
            <w:pPr>
              <w:widowControl/>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w:t>
            </w:r>
          </w:p>
        </w:tc>
      </w:tr>
    </w:tbl>
    <w:p w14:paraId="4BAB28C8">
      <w:pPr>
        <w:pStyle w:val="41"/>
        <w:spacing w:before="24" w:after="24"/>
        <w:ind w:firstLine="180" w:firstLineChars="100"/>
        <w:jc w:val="left"/>
        <w:rPr>
          <w:rFonts w:ascii="Times New Roman"/>
          <w:color w:val="000000" w:themeColor="text1"/>
          <w:sz w:val="18"/>
          <w:szCs w:val="18"/>
          <w14:textFill>
            <w14:solidFill>
              <w14:schemeClr w14:val="tx1"/>
            </w14:solidFill>
          </w14:textFill>
        </w:rPr>
      </w:pPr>
      <w:r>
        <w:rPr>
          <w:rFonts w:ascii="Times New Roman"/>
          <w:color w:val="000000" w:themeColor="text1"/>
          <w:sz w:val="18"/>
          <w:szCs w:val="18"/>
          <w14:textFill>
            <w14:solidFill>
              <w14:schemeClr w14:val="tx1"/>
            </w14:solidFill>
          </w14:textFill>
        </w:rPr>
        <w:t>注：表中 R留鸟 B繁殖鸟 ++多见种 +常见种 ±偶见种</w:t>
      </w:r>
    </w:p>
    <w:p w14:paraId="4E622F02">
      <w:pPr>
        <w:keepNext w:val="0"/>
        <w:keepLines w:val="0"/>
        <w:widowControl/>
        <w:suppressLineNumbers w:val="0"/>
        <w:jc w:val="left"/>
        <w:rPr>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根据《国家重点保护野生动物名录》（2021年版），鹅喉羚为国家二级重点保护野生动物；根据《新疆维吾尔自治区重点保护野生动物名录（修订）》（新政发</w:t>
      </w:r>
      <w:r>
        <w:rPr>
          <w:rFonts w:hint="default" w:ascii="Times New Roman" w:hAnsi="Times New Roman" w:eastAsia="宋体" w:cs="Times New Roman"/>
          <w:color w:val="000000" w:themeColor="text1"/>
          <w:lang w:val="en-US" w:eastAsia="zh-CN"/>
          <w14:textFill>
            <w14:solidFill>
              <w14:schemeClr w14:val="tx1"/>
            </w14:solidFill>
          </w14:textFill>
        </w:rPr>
        <w:t>〔2022〕</w:t>
      </w:r>
      <w:r>
        <w:rPr>
          <w:rFonts w:hint="default" w:ascii="Times New Roman" w:hAnsi="Times New Roman" w:cs="Times New Roman"/>
          <w:color w:val="000000" w:themeColor="text1"/>
          <w:lang w:val="en-US" w:eastAsia="zh-CN"/>
          <w14:textFill>
            <w14:solidFill>
              <w14:schemeClr w14:val="tx1"/>
            </w14:solidFill>
          </w14:textFill>
        </w:rPr>
        <w:t>75号），项目区域无自治区级重点保护野生动物。该区域尚未被证明属候鸟迁徙主要通道</w:t>
      </w:r>
      <w:r>
        <w:rPr>
          <w:rFonts w:hint="eastAsia"/>
          <w:color w:val="000000" w:themeColor="text1"/>
          <w:lang w:val="en-US" w:eastAsia="zh-CN"/>
          <w14:textFill>
            <w14:solidFill>
              <w14:schemeClr w14:val="tx1"/>
            </w14:solidFill>
          </w14:textFill>
        </w:rPr>
        <w:t>，仅有耐</w:t>
      </w:r>
      <w:r>
        <w:rPr>
          <w:rFonts w:hint="eastAsia"/>
          <w:color w:val="000000" w:themeColor="text1"/>
          <w14:textFill>
            <w14:solidFill>
              <w14:schemeClr w14:val="tx1"/>
            </w14:solidFill>
          </w14:textFill>
        </w:rPr>
        <w:t>旱荒漠种的小型动物</w:t>
      </w:r>
      <w:r>
        <w:rPr>
          <w:color w:val="000000" w:themeColor="text1"/>
          <w14:textFill>
            <w14:solidFill>
              <w14:schemeClr w14:val="tx1"/>
            </w14:solidFill>
          </w14:textFill>
        </w:rPr>
        <w:t>。</w:t>
      </w:r>
    </w:p>
    <w:p w14:paraId="07B678DF">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根据</w:t>
      </w:r>
      <w:r>
        <w:rPr>
          <w:rFonts w:hint="eastAsia" w:ascii="宋体" w:hAnsi="宋体" w:eastAsia="宋体" w:cs="宋体"/>
          <w:color w:val="000000" w:themeColor="text1"/>
          <w:kern w:val="0"/>
          <w:sz w:val="24"/>
          <w:szCs w:val="24"/>
          <w:lang w:val="en-US" w:eastAsia="zh-CN" w:bidi="ar"/>
          <w14:textFill>
            <w14:solidFill>
              <w14:schemeClr w14:val="tx1"/>
            </w14:solidFill>
          </w14:textFill>
        </w:rPr>
        <w:t>《陆生野生动物重要栖息地名录（第一批）》（</w:t>
      </w:r>
      <w:r>
        <w:rPr>
          <w:rFonts w:hint="eastAsia"/>
          <w:color w:val="000000" w:themeColor="text1"/>
          <w14:textFill>
            <w14:solidFill>
              <w14:schemeClr w14:val="tx1"/>
            </w14:solidFill>
          </w14:textFill>
        </w:rPr>
        <w:t>国家林草局</w:t>
      </w:r>
      <w:r>
        <w:rPr>
          <w:rFonts w:hint="eastAsia"/>
          <w:color w:val="000000" w:themeColor="text1"/>
          <w:lang w:val="en-US" w:eastAsia="zh-CN"/>
          <w14:textFill>
            <w14:solidFill>
              <w14:schemeClr w14:val="tx1"/>
            </w14:solidFill>
          </w14:textFill>
        </w:rPr>
        <w:t xml:space="preserve">公告 </w:t>
      </w:r>
      <w:r>
        <w:rPr>
          <w:rFonts w:hint="eastAsia"/>
          <w:color w:val="000000" w:themeColor="text1"/>
          <w14:textFill>
            <w14:solidFill>
              <w14:schemeClr w14:val="tx1"/>
            </w14:solidFill>
          </w14:textFill>
        </w:rPr>
        <w:t>2023年第23号</w:t>
      </w:r>
      <w:r>
        <w:rPr>
          <w:rFonts w:hint="eastAsia" w:ascii="宋体" w:hAnsi="宋体" w:eastAsia="宋体" w:cs="宋体"/>
          <w:color w:val="000000" w:themeColor="text1"/>
          <w:kern w:val="0"/>
          <w:sz w:val="24"/>
          <w:szCs w:val="24"/>
          <w:lang w:val="en-US" w:eastAsia="zh-CN" w:bidi="ar"/>
          <w14:textFill>
            <w14:solidFill>
              <w14:schemeClr w14:val="tx1"/>
            </w14:solidFill>
          </w14:textFill>
        </w:rPr>
        <w:t>），若羌县有新疆若羌阿尔金山高原有蹄类重要栖息地，主要保护物种为藏野驴、野牦牛、藏羚、西藏盘羊、雪豹等。</w:t>
      </w:r>
      <w:bookmarkStart w:id="1551" w:name="_GoBack"/>
      <w:bookmarkEnd w:id="1551"/>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本项目所在区域不属于新疆若羌阿尔金山高原有蹄类重要栖息地。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不涉及《全国鸟类迁徙通道保护行动方案（2021-2035年）》中的鸟类迁徙通道</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20DBFFDE">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具体野生动物保护级别见表4.5-3。</w:t>
      </w:r>
    </w:p>
    <w:p w14:paraId="3A5F615E">
      <w:pPr>
        <w:keepNext w:val="0"/>
        <w:keepLines w:val="0"/>
        <w:widowControl/>
        <w:suppressLineNumbers w:val="0"/>
        <w:ind w:left="0" w:leftChars="0" w:firstLine="0" w:firstLineChars="0"/>
        <w:jc w:val="center"/>
        <w:rPr>
          <w:rFonts w:hint="default" w:ascii="Times New Roman" w:hAnsi="Times New Roman"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bidi="ar"/>
          <w14:textFill>
            <w14:solidFill>
              <w14:schemeClr w14:val="tx1"/>
            </w14:solidFill>
          </w14:textFill>
        </w:rPr>
        <w:t>表4.5-3  重要野生动物调查结果统计表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150"/>
        <w:gridCol w:w="825"/>
        <w:gridCol w:w="950"/>
        <w:gridCol w:w="763"/>
        <w:gridCol w:w="2114"/>
        <w:gridCol w:w="1032"/>
        <w:gridCol w:w="1032"/>
      </w:tblGrid>
      <w:tr w14:paraId="7A23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Align w:val="center"/>
          </w:tcPr>
          <w:p w14:paraId="4D5B3B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序号</w:t>
            </w:r>
          </w:p>
        </w:tc>
        <w:tc>
          <w:tcPr>
            <w:tcW w:w="1150" w:type="dxa"/>
            <w:vAlign w:val="center"/>
          </w:tcPr>
          <w:p w14:paraId="78B5F7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物种名称（中文名/拉丁名）</w:t>
            </w:r>
          </w:p>
        </w:tc>
        <w:tc>
          <w:tcPr>
            <w:tcW w:w="825" w:type="dxa"/>
            <w:vAlign w:val="center"/>
          </w:tcPr>
          <w:p w14:paraId="294349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保护级别</w:t>
            </w:r>
          </w:p>
        </w:tc>
        <w:tc>
          <w:tcPr>
            <w:tcW w:w="950" w:type="dxa"/>
            <w:vAlign w:val="center"/>
          </w:tcPr>
          <w:p w14:paraId="1EF05C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濒危等级</w:t>
            </w:r>
          </w:p>
        </w:tc>
        <w:tc>
          <w:tcPr>
            <w:tcW w:w="763" w:type="dxa"/>
            <w:vAlign w:val="center"/>
          </w:tcPr>
          <w:p w14:paraId="481531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特有种（是/否）</w:t>
            </w:r>
          </w:p>
        </w:tc>
        <w:tc>
          <w:tcPr>
            <w:tcW w:w="2114" w:type="dxa"/>
            <w:vAlign w:val="center"/>
          </w:tcPr>
          <w:p w14:paraId="412F3E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分布区域</w:t>
            </w:r>
          </w:p>
        </w:tc>
        <w:tc>
          <w:tcPr>
            <w:tcW w:w="1032" w:type="dxa"/>
            <w:vAlign w:val="center"/>
          </w:tcPr>
          <w:p w14:paraId="2A80B2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资料来源</w:t>
            </w:r>
          </w:p>
        </w:tc>
        <w:tc>
          <w:tcPr>
            <w:tcW w:w="1032" w:type="dxa"/>
            <w:vAlign w:val="center"/>
          </w:tcPr>
          <w:p w14:paraId="571B79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工程占用情况（是/否）</w:t>
            </w:r>
          </w:p>
        </w:tc>
      </w:tr>
      <w:tr w14:paraId="2037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Align w:val="center"/>
          </w:tcPr>
          <w:p w14:paraId="7C7C4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1</w:t>
            </w:r>
          </w:p>
        </w:tc>
        <w:tc>
          <w:tcPr>
            <w:tcW w:w="1150" w:type="dxa"/>
            <w:vAlign w:val="center"/>
          </w:tcPr>
          <w:p w14:paraId="4090F0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鹅喉羚/</w:t>
            </w:r>
            <w:r>
              <w:rPr>
                <w:rFonts w:hint="default" w:ascii="Times New Roman" w:hAnsi="Times New Roman" w:cs="Times New Roman"/>
                <w:i/>
                <w:iCs/>
                <w:color w:val="000000" w:themeColor="text1"/>
                <w:kern w:val="0"/>
                <w:sz w:val="21"/>
                <w:szCs w:val="21"/>
                <w:lang w:val="en-US" w:eastAsia="zh-CN"/>
                <w14:textFill>
                  <w14:solidFill>
                    <w14:schemeClr w14:val="tx1"/>
                  </w14:solidFill>
                </w14:textFill>
              </w:rPr>
              <w:t>Gozella subgutturosa</w:t>
            </w:r>
          </w:p>
        </w:tc>
        <w:tc>
          <w:tcPr>
            <w:tcW w:w="825" w:type="dxa"/>
            <w:vAlign w:val="center"/>
          </w:tcPr>
          <w:p w14:paraId="44CE0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国家二级</w:t>
            </w:r>
          </w:p>
        </w:tc>
        <w:tc>
          <w:tcPr>
            <w:tcW w:w="950" w:type="dxa"/>
            <w:vAlign w:val="center"/>
          </w:tcPr>
          <w:p w14:paraId="769DE8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易危（VU）</w:t>
            </w:r>
          </w:p>
        </w:tc>
        <w:tc>
          <w:tcPr>
            <w:tcW w:w="763" w:type="dxa"/>
            <w:vAlign w:val="center"/>
          </w:tcPr>
          <w:p w14:paraId="5255DA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否</w:t>
            </w:r>
          </w:p>
        </w:tc>
        <w:tc>
          <w:tcPr>
            <w:tcW w:w="2114" w:type="dxa"/>
            <w:vAlign w:val="center"/>
          </w:tcPr>
          <w:p w14:paraId="11F966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我国分布记录有4个亚种，分布于我国的西北地区，北疆亚种，分布于新疆准噶尔盆地；南疆亚种，分布于新疆的哈密、莎车、阿克苏、吐鲁番等地。</w:t>
            </w:r>
          </w:p>
        </w:tc>
        <w:tc>
          <w:tcPr>
            <w:tcW w:w="1032" w:type="dxa"/>
            <w:vAlign w:val="center"/>
          </w:tcPr>
          <w:p w14:paraId="773CC5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环评现场调查、文献记录、历史调查资料</w:t>
            </w:r>
          </w:p>
        </w:tc>
        <w:tc>
          <w:tcPr>
            <w:tcW w:w="1032" w:type="dxa"/>
            <w:vAlign w:val="center"/>
          </w:tcPr>
          <w:p w14:paraId="49E9A0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否</w:t>
            </w:r>
          </w:p>
        </w:tc>
      </w:tr>
    </w:tbl>
    <w:p w14:paraId="47336BD7">
      <w:pPr>
        <w:widowControl/>
        <w:ind w:firstLine="0" w:firstLineChars="0"/>
        <w:jc w:val="left"/>
        <w:outlineLvl w:val="2"/>
        <w:rPr>
          <w:b/>
          <w:bCs/>
          <w:color w:val="000000" w:themeColor="text1"/>
          <w:kern w:val="0"/>
          <w:sz w:val="28"/>
          <w:szCs w:val="32"/>
          <w14:textFill>
            <w14:solidFill>
              <w14:schemeClr w14:val="tx1"/>
            </w14:solidFill>
          </w14:textFill>
        </w:rPr>
      </w:pPr>
      <w:r>
        <w:rPr>
          <w:b/>
          <w:bCs/>
          <w:color w:val="000000" w:themeColor="text1"/>
          <w:kern w:val="0"/>
          <w:sz w:val="28"/>
          <w:szCs w:val="32"/>
          <w14:textFill>
            <w14:solidFill>
              <w14:schemeClr w14:val="tx1"/>
            </w14:solidFill>
          </w14:textFill>
        </w:rPr>
        <w:t>4.5.</w:t>
      </w:r>
      <w:r>
        <w:rPr>
          <w:rFonts w:hint="eastAsia"/>
          <w:b/>
          <w:bCs/>
          <w:color w:val="000000" w:themeColor="text1"/>
          <w:kern w:val="0"/>
          <w:sz w:val="28"/>
          <w:szCs w:val="32"/>
          <w14:textFill>
            <w14:solidFill>
              <w14:schemeClr w14:val="tx1"/>
            </w14:solidFill>
          </w14:textFill>
        </w:rPr>
        <w:t xml:space="preserve">3 </w:t>
      </w:r>
      <w:r>
        <w:rPr>
          <w:b/>
          <w:bCs/>
          <w:color w:val="000000" w:themeColor="text1"/>
          <w:kern w:val="0"/>
          <w:sz w:val="28"/>
          <w:szCs w:val="32"/>
          <w14:textFill>
            <w14:solidFill>
              <w14:schemeClr w14:val="tx1"/>
            </w14:solidFill>
          </w14:textFill>
        </w:rPr>
        <w:t>植被及主要植物现状</w:t>
      </w:r>
      <w:bookmarkEnd w:id="811"/>
      <w:bookmarkEnd w:id="812"/>
      <w:bookmarkEnd w:id="813"/>
      <w:bookmarkEnd w:id="814"/>
      <w:bookmarkEnd w:id="815"/>
      <w:bookmarkEnd w:id="816"/>
      <w:bookmarkEnd w:id="817"/>
      <w:bookmarkEnd w:id="818"/>
      <w:bookmarkEnd w:id="819"/>
      <w:bookmarkEnd w:id="820"/>
      <w:bookmarkEnd w:id="821"/>
    </w:p>
    <w:p w14:paraId="1ABCE3FC">
      <w:pPr>
        <w:ind w:firstLine="504" w:firstLineChars="210"/>
        <w:rPr>
          <w:color w:val="000000" w:themeColor="text1"/>
          <w14:textFill>
            <w14:solidFill>
              <w14:schemeClr w14:val="tx1"/>
            </w14:solidFill>
          </w14:textFill>
        </w:rPr>
      </w:pPr>
      <w:r>
        <w:rPr>
          <w:color w:val="000000" w:themeColor="text1"/>
          <w14:textFill>
            <w14:solidFill>
              <w14:schemeClr w14:val="tx1"/>
            </w14:solidFill>
          </w14:textFill>
        </w:rPr>
        <w:t>若羌县植被以干旱荒漠、原始天然植被为主，总覆盖率0.12%。野外调查记录植物共299种，分属43科，141属，最大的是</w:t>
      </w:r>
      <w:r>
        <w:rPr>
          <w:rFonts w:hint="eastAsia"/>
          <w:color w:val="000000" w:themeColor="text1"/>
          <w:lang w:eastAsia="zh-CN"/>
          <w14:textFill>
            <w14:solidFill>
              <w14:schemeClr w14:val="tx1"/>
            </w14:solidFill>
          </w14:textFill>
        </w:rPr>
        <w:t>藜</w:t>
      </w:r>
      <w:r>
        <w:rPr>
          <w:color w:val="000000" w:themeColor="text1"/>
          <w14:textFill>
            <w14:solidFill>
              <w14:schemeClr w14:val="tx1"/>
            </w14:solidFill>
          </w14:textFill>
        </w:rPr>
        <w:t>科、豆科、禾木和菊科。植物区系的主要成分是中亚区系成分（蒙新成分），最常见的有盐角草、盐地碱蓬、盐生凤毛菊、罗布麻等。亚洲中部成分在境内也有一定比例，如黑刺、泡泡刺、大白刺、膜果麻黄、尖叶爪爪等，伴生植物有白沙蒿、沙生针茅、锁阳等。气候特点决定了植物在长期的进化过程，形成了不同于其他地区的六大生态特点，即旱生形态，根系发达、抗风沙性强、具有泌盐功能、植物矮小、耐严寒、耐低温。</w:t>
      </w:r>
    </w:p>
    <w:p w14:paraId="401BA49A">
      <w:pPr>
        <w:ind w:firstLine="504" w:firstLineChars="210"/>
        <w:rPr>
          <w:rFonts w:hint="default"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植被类型</w:t>
      </w:r>
    </w:p>
    <w:p w14:paraId="5B82FBF5">
      <w:pPr>
        <w:ind w:firstLine="504" w:firstLineChars="210"/>
        <w:rPr>
          <w:color w:val="000000" w:themeColor="text1"/>
          <w14:textFill>
            <w14:solidFill>
              <w14:schemeClr w14:val="tx1"/>
            </w14:solidFill>
          </w14:textFill>
        </w:rPr>
      </w:pPr>
      <w:r>
        <w:rPr>
          <w:color w:val="000000" w:themeColor="text1"/>
          <w14:textFill>
            <w14:solidFill>
              <w14:schemeClr w14:val="tx1"/>
            </w14:solidFill>
          </w14:textFill>
        </w:rPr>
        <w:t>本项目所在区域植被</w:t>
      </w:r>
      <w:r>
        <w:rPr>
          <w:rFonts w:hint="eastAsia"/>
          <w:color w:val="000000" w:themeColor="text1"/>
          <w:lang w:val="en-US" w:eastAsia="zh-CN"/>
          <w14:textFill>
            <w14:solidFill>
              <w14:schemeClr w14:val="tx1"/>
            </w14:solidFill>
          </w14:textFill>
        </w:rPr>
        <w:t>群系为荒漠草原群系、柽柳群系、白刺群系，</w:t>
      </w:r>
      <w:r>
        <w:rPr>
          <w:color w:val="000000" w:themeColor="text1"/>
          <w14:textFill>
            <w14:solidFill>
              <w14:schemeClr w14:val="tx1"/>
            </w14:solidFill>
          </w14:textFill>
        </w:rPr>
        <w:t>建群种</w:t>
      </w:r>
      <w:r>
        <w:rPr>
          <w:rFonts w:hint="eastAsia"/>
          <w:color w:val="000000" w:themeColor="text1"/>
          <w:lang w:val="en-US" w:eastAsia="zh-CN"/>
          <w14:textFill>
            <w14:solidFill>
              <w14:schemeClr w14:val="tx1"/>
            </w14:solidFill>
          </w14:textFill>
        </w:rPr>
        <w:t>为沙生针茅、柽柳，伴生种为骆驼刺、白刺、膜果麻黄等</w:t>
      </w:r>
      <w:r>
        <w:rPr>
          <w:color w:val="000000" w:themeColor="text1"/>
          <w14:textFill>
            <w14:solidFill>
              <w14:schemeClr w14:val="tx1"/>
            </w14:solidFill>
          </w14:textFill>
        </w:rPr>
        <w:t>。由于地理条件的限制，项目区荒漠植物种类十分贫乏，群落稀疏，植被类型简单，部分地段为无植被的裸地。</w:t>
      </w:r>
    </w:p>
    <w:p w14:paraId="4B08D5CC">
      <w:pPr>
        <w:ind w:firstLine="504" w:firstLineChars="210"/>
        <w:rPr>
          <w:color w:val="000000" w:themeColor="text1"/>
          <w14:textFill>
            <w14:solidFill>
              <w14:schemeClr w14:val="tx1"/>
            </w14:solidFill>
          </w14:textFill>
        </w:rPr>
      </w:pPr>
      <w:r>
        <w:rPr>
          <w:color w:val="000000" w:themeColor="text1"/>
          <w14:textFill>
            <w14:solidFill>
              <w14:schemeClr w14:val="tx1"/>
            </w14:solidFill>
          </w14:textFill>
        </w:rPr>
        <w:t>通过收集资料</w:t>
      </w:r>
      <w:r>
        <w:rPr>
          <w:rFonts w:hint="eastAsia"/>
          <w:color w:val="000000" w:themeColor="text1"/>
          <w14:textFill>
            <w14:solidFill>
              <w14:schemeClr w14:val="tx1"/>
            </w14:solidFill>
          </w14:textFill>
        </w:rPr>
        <w:t>及</w:t>
      </w:r>
      <w:r>
        <w:rPr>
          <w:color w:val="000000" w:themeColor="text1"/>
          <w14:textFill>
            <w14:solidFill>
              <w14:schemeClr w14:val="tx1"/>
            </w14:solidFill>
          </w14:textFill>
        </w:rPr>
        <w:t>Arcgis叠图分析，本项目</w:t>
      </w:r>
      <w:r>
        <w:rPr>
          <w:rFonts w:hint="eastAsia"/>
          <w:color w:val="000000" w:themeColor="text1"/>
          <w14:textFill>
            <w14:solidFill>
              <w14:schemeClr w14:val="tx1"/>
            </w14:solidFill>
          </w14:textFill>
        </w:rPr>
        <w:t>评价范围内植被类型主要为</w:t>
      </w:r>
      <w:r>
        <w:rPr>
          <w:rFonts w:hint="eastAsia"/>
          <w:color w:val="000000" w:themeColor="text1"/>
          <w:lang w:val="en-US" w:eastAsia="zh-CN"/>
          <w14:textFill>
            <w14:solidFill>
              <w14:schemeClr w14:val="tx1"/>
            </w14:solidFill>
          </w14:textFill>
        </w:rPr>
        <w:t>沙生针茅草原</w:t>
      </w:r>
      <w:r>
        <w:rPr>
          <w:rFonts w:hint="eastAsia"/>
          <w:color w:val="000000" w:themeColor="text1"/>
          <w14:textFill>
            <w14:solidFill>
              <w14:schemeClr w14:val="tx1"/>
            </w14:solidFill>
          </w14:textFill>
        </w:rPr>
        <w:t>、无植被区和多枝柽柳荒漠</w:t>
      </w:r>
      <w:r>
        <w:rPr>
          <w:rFonts w:hint="eastAsia"/>
          <w:color w:val="000000" w:themeColor="text1"/>
          <w:lang w:val="en-US" w:eastAsia="zh-CN"/>
          <w14:textFill>
            <w14:solidFill>
              <w14:schemeClr w14:val="tx1"/>
            </w14:solidFill>
          </w14:textFill>
        </w:rPr>
        <w:t>为主</w:t>
      </w:r>
      <w:r>
        <w:rPr>
          <w:color w:val="000000" w:themeColor="text1"/>
          <w14:textFill>
            <w14:solidFill>
              <w14:schemeClr w14:val="tx1"/>
            </w14:solidFill>
          </w14:textFill>
        </w:rPr>
        <w:t>。项目植被类型面积分布情况见表4.5-</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。植被类型图见图4.5-</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p>
    <w:p w14:paraId="2CFECD40">
      <w:pPr>
        <w:ind w:firstLine="0" w:firstLineChars="0"/>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表4.5-</w:t>
      </w:r>
      <w:r>
        <w:rPr>
          <w:rFonts w:hint="eastAsia"/>
          <w:b/>
          <w:color w:val="000000" w:themeColor="text1"/>
          <w:sz w:val="21"/>
          <w:szCs w:val="21"/>
          <w:lang w:val="en-US" w:eastAsia="zh-CN"/>
          <w14:textFill>
            <w14:solidFill>
              <w14:schemeClr w14:val="tx1"/>
            </w14:solidFill>
          </w14:textFill>
        </w:rPr>
        <w:t>4</w:t>
      </w:r>
      <w:r>
        <w:rPr>
          <w:b/>
          <w:color w:val="000000" w:themeColor="text1"/>
          <w:sz w:val="21"/>
          <w:szCs w:val="21"/>
          <w14:textFill>
            <w14:solidFill>
              <w14:schemeClr w14:val="tx1"/>
            </w14:solidFill>
          </w14:textFill>
        </w:rPr>
        <w:t xml:space="preserve">  植被类型统计表</w:t>
      </w:r>
    </w:p>
    <w:tbl>
      <w:tblPr>
        <w:tblStyle w:val="26"/>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928"/>
        <w:gridCol w:w="2048"/>
        <w:gridCol w:w="1818"/>
        <w:gridCol w:w="2728"/>
      </w:tblGrid>
      <w:tr w14:paraId="458531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131" w:type="pct"/>
            <w:tcBorders>
              <w:tl2br w:val="nil"/>
              <w:tr2bl w:val="nil"/>
            </w:tcBorders>
            <w:noWrap/>
            <w:vAlign w:val="center"/>
          </w:tcPr>
          <w:p w14:paraId="4614D7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植被类型</w:t>
            </w:r>
          </w:p>
        </w:tc>
        <w:tc>
          <w:tcPr>
            <w:tcW w:w="1201" w:type="pct"/>
            <w:tcBorders>
              <w:tl2br w:val="nil"/>
              <w:tr2bl w:val="nil"/>
            </w:tcBorders>
            <w:noWrap/>
            <w:vAlign w:val="center"/>
          </w:tcPr>
          <w:p w14:paraId="289986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面积（</w:t>
            </w:r>
            <w:r>
              <w:rPr>
                <w:rFonts w:hint="eastAsia"/>
                <w:b/>
                <w:bCs/>
                <w:color w:val="000000" w:themeColor="text1"/>
                <w:kern w:val="0"/>
                <w:sz w:val="21"/>
                <w:szCs w:val="21"/>
                <w14:textFill>
                  <w14:solidFill>
                    <w14:schemeClr w14:val="tx1"/>
                  </w14:solidFill>
                </w14:textFill>
              </w:rPr>
              <w:t>hm</w:t>
            </w:r>
            <w:r>
              <w:rPr>
                <w:rFonts w:hint="eastAsia"/>
                <w:b/>
                <w:bCs/>
                <w:color w:val="000000" w:themeColor="text1"/>
                <w:kern w:val="0"/>
                <w:sz w:val="21"/>
                <w:szCs w:val="21"/>
                <w:vertAlign w:val="superscript"/>
                <w14:textFill>
                  <w14:solidFill>
                    <w14:schemeClr w14:val="tx1"/>
                  </w14:solidFill>
                </w14:textFill>
              </w:rPr>
              <w:t>2</w:t>
            </w:r>
            <w:r>
              <w:rPr>
                <w:b/>
                <w:bCs/>
                <w:color w:val="000000" w:themeColor="text1"/>
                <w:kern w:val="0"/>
                <w:sz w:val="21"/>
                <w:szCs w:val="21"/>
                <w14:textFill>
                  <w14:solidFill>
                    <w14:schemeClr w14:val="tx1"/>
                  </w14:solidFill>
                </w14:textFill>
              </w:rPr>
              <w:t>）</w:t>
            </w:r>
          </w:p>
        </w:tc>
        <w:tc>
          <w:tcPr>
            <w:tcW w:w="1066" w:type="pct"/>
            <w:tcBorders>
              <w:tl2br w:val="nil"/>
              <w:tr2bl w:val="nil"/>
            </w:tcBorders>
            <w:noWrap/>
            <w:vAlign w:val="center"/>
          </w:tcPr>
          <w:p w14:paraId="24BF55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占比（%）</w:t>
            </w:r>
          </w:p>
        </w:tc>
        <w:tc>
          <w:tcPr>
            <w:tcW w:w="1600" w:type="pct"/>
            <w:tcBorders>
              <w:tl2br w:val="nil"/>
              <w:tr2bl w:val="nil"/>
            </w:tcBorders>
            <w:noWrap/>
            <w:vAlign w:val="center"/>
          </w:tcPr>
          <w:p w14:paraId="5B32C3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分布区域</w:t>
            </w:r>
          </w:p>
        </w:tc>
      </w:tr>
      <w:tr w14:paraId="2FC567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28" w:type="dxa"/>
            <w:tcBorders>
              <w:tl2br w:val="nil"/>
              <w:tr2bl w:val="nil"/>
            </w:tcBorders>
            <w:noWrap/>
            <w:vAlign w:val="center"/>
          </w:tcPr>
          <w:p w14:paraId="21CC7C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多枝柽柳荒漠</w:t>
            </w:r>
          </w:p>
        </w:tc>
        <w:tc>
          <w:tcPr>
            <w:tcW w:w="2048" w:type="dxa"/>
            <w:tcBorders>
              <w:tl2br w:val="nil"/>
              <w:tr2bl w:val="nil"/>
            </w:tcBorders>
            <w:noWrap/>
            <w:vAlign w:val="center"/>
          </w:tcPr>
          <w:p w14:paraId="3CD4AE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22.43</w:t>
            </w:r>
          </w:p>
        </w:tc>
        <w:tc>
          <w:tcPr>
            <w:tcW w:w="1818" w:type="dxa"/>
            <w:tcBorders>
              <w:tl2br w:val="nil"/>
              <w:tr2bl w:val="nil"/>
            </w:tcBorders>
            <w:noWrap/>
            <w:vAlign w:val="center"/>
          </w:tcPr>
          <w:p w14:paraId="462548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2.16</w:t>
            </w:r>
          </w:p>
        </w:tc>
        <w:tc>
          <w:tcPr>
            <w:tcW w:w="1600" w:type="pct"/>
            <w:vMerge w:val="restart"/>
            <w:tcBorders>
              <w:tl2br w:val="nil"/>
              <w:tr2bl w:val="nil"/>
            </w:tcBorders>
            <w:noWrap/>
            <w:vAlign w:val="center"/>
          </w:tcPr>
          <w:p w14:paraId="1F58E1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生态评价范围内分布</w:t>
            </w:r>
          </w:p>
        </w:tc>
      </w:tr>
      <w:tr w14:paraId="59C4AD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28" w:type="dxa"/>
            <w:tcBorders>
              <w:tl2br w:val="nil"/>
              <w:tr2bl w:val="nil"/>
            </w:tcBorders>
            <w:noWrap/>
            <w:vAlign w:val="center"/>
          </w:tcPr>
          <w:p w14:paraId="432190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沙生针茅草原</w:t>
            </w:r>
          </w:p>
        </w:tc>
        <w:tc>
          <w:tcPr>
            <w:tcW w:w="2048" w:type="dxa"/>
            <w:tcBorders>
              <w:tl2br w:val="nil"/>
              <w:tr2bl w:val="nil"/>
            </w:tcBorders>
            <w:noWrap/>
            <w:vAlign w:val="center"/>
          </w:tcPr>
          <w:p w14:paraId="79BA95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650.64</w:t>
            </w:r>
          </w:p>
        </w:tc>
        <w:tc>
          <w:tcPr>
            <w:tcW w:w="1818" w:type="dxa"/>
            <w:tcBorders>
              <w:tl2br w:val="nil"/>
              <w:tr2bl w:val="nil"/>
            </w:tcBorders>
            <w:noWrap/>
            <w:vAlign w:val="center"/>
          </w:tcPr>
          <w:p w14:paraId="060CE0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62.64</w:t>
            </w:r>
          </w:p>
        </w:tc>
        <w:tc>
          <w:tcPr>
            <w:tcW w:w="1600" w:type="pct"/>
            <w:vMerge w:val="continue"/>
            <w:tcBorders>
              <w:tl2br w:val="nil"/>
              <w:tr2bl w:val="nil"/>
            </w:tcBorders>
            <w:noWrap/>
            <w:vAlign w:val="center"/>
          </w:tcPr>
          <w:p w14:paraId="3715C8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kern w:val="0"/>
                <w:sz w:val="21"/>
                <w:szCs w:val="21"/>
                <w14:textFill>
                  <w14:solidFill>
                    <w14:schemeClr w14:val="tx1"/>
                  </w14:solidFill>
                </w14:textFill>
              </w:rPr>
            </w:pPr>
          </w:p>
        </w:tc>
      </w:tr>
      <w:tr w14:paraId="0DF62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28" w:type="dxa"/>
            <w:tcBorders>
              <w:tl2br w:val="nil"/>
              <w:tr2bl w:val="nil"/>
            </w:tcBorders>
            <w:noWrap/>
            <w:vAlign w:val="center"/>
          </w:tcPr>
          <w:p w14:paraId="6952F2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无植被区</w:t>
            </w:r>
          </w:p>
        </w:tc>
        <w:tc>
          <w:tcPr>
            <w:tcW w:w="2048" w:type="dxa"/>
            <w:tcBorders>
              <w:tl2br w:val="nil"/>
              <w:tr2bl w:val="nil"/>
            </w:tcBorders>
            <w:noWrap/>
            <w:vAlign w:val="center"/>
          </w:tcPr>
          <w:p w14:paraId="2E3FA8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365.57</w:t>
            </w:r>
          </w:p>
        </w:tc>
        <w:tc>
          <w:tcPr>
            <w:tcW w:w="1818" w:type="dxa"/>
            <w:tcBorders>
              <w:tl2br w:val="nil"/>
              <w:tr2bl w:val="nil"/>
            </w:tcBorders>
            <w:noWrap/>
            <w:vAlign w:val="center"/>
          </w:tcPr>
          <w:p w14:paraId="5B2F13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35.20</w:t>
            </w:r>
          </w:p>
        </w:tc>
        <w:tc>
          <w:tcPr>
            <w:tcW w:w="1600" w:type="pct"/>
            <w:vMerge w:val="continue"/>
            <w:tcBorders>
              <w:tl2br w:val="nil"/>
              <w:tr2bl w:val="nil"/>
            </w:tcBorders>
            <w:noWrap/>
            <w:vAlign w:val="center"/>
          </w:tcPr>
          <w:p w14:paraId="38075FE2">
            <w:pPr>
              <w:keepNext w:val="0"/>
              <w:keepLines w:val="0"/>
              <w:pageBreakBefore w:val="0"/>
              <w:widowControl/>
              <w:kinsoku/>
              <w:wordWrap/>
              <w:overflowPunct/>
              <w:topLinePunct w:val="0"/>
              <w:autoSpaceDE/>
              <w:autoSpaceDN/>
              <w:bidi w:val="0"/>
              <w:adjustRightInd/>
              <w:snapToGrid/>
              <w:spacing w:line="240" w:lineRule="auto"/>
              <w:ind w:firstLine="420"/>
              <w:jc w:val="center"/>
              <w:textAlignment w:val="auto"/>
              <w:rPr>
                <w:color w:val="000000" w:themeColor="text1"/>
                <w:kern w:val="0"/>
                <w:sz w:val="21"/>
                <w:szCs w:val="21"/>
                <w14:textFill>
                  <w14:solidFill>
                    <w14:schemeClr w14:val="tx1"/>
                  </w14:solidFill>
                </w14:textFill>
              </w:rPr>
            </w:pPr>
          </w:p>
        </w:tc>
      </w:tr>
      <w:tr w14:paraId="65B3F1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28" w:type="dxa"/>
            <w:tcBorders>
              <w:tl2br w:val="nil"/>
              <w:tr2bl w:val="nil"/>
            </w:tcBorders>
            <w:noWrap/>
            <w:vAlign w:val="center"/>
          </w:tcPr>
          <w:p w14:paraId="3834D8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bookmarkStart w:id="822" w:name="_Toc1570"/>
            <w:bookmarkStart w:id="823" w:name="_Toc5436"/>
            <w:bookmarkStart w:id="824" w:name="_Toc10895"/>
            <w:bookmarkStart w:id="825" w:name="_Toc4565"/>
            <w:bookmarkStart w:id="826" w:name="_Toc26154"/>
            <w:bookmarkStart w:id="827" w:name="_Toc28355"/>
            <w:bookmarkStart w:id="828" w:name="_Toc2752"/>
            <w:bookmarkStart w:id="829" w:name="_Toc25073"/>
            <w:bookmarkStart w:id="830" w:name="_Toc23285"/>
            <w:bookmarkStart w:id="831" w:name="_Toc6500"/>
            <w:bookmarkStart w:id="832" w:name="_Toc6711"/>
            <w:r>
              <w:rPr>
                <w:rFonts w:hint="eastAsia"/>
                <w:color w:val="000000" w:themeColor="text1"/>
                <w:kern w:val="0"/>
                <w:sz w:val="21"/>
                <w:szCs w:val="21"/>
                <w:lang w:val="en-US" w:eastAsia="zh-CN"/>
                <w14:textFill>
                  <w14:solidFill>
                    <w14:schemeClr w14:val="tx1"/>
                  </w14:solidFill>
                </w14:textFill>
              </w:rPr>
              <w:t>合计</w:t>
            </w:r>
          </w:p>
        </w:tc>
        <w:tc>
          <w:tcPr>
            <w:tcW w:w="2048" w:type="dxa"/>
            <w:tcBorders>
              <w:tl2br w:val="nil"/>
              <w:tr2bl w:val="nil"/>
            </w:tcBorders>
            <w:noWrap/>
            <w:vAlign w:val="center"/>
          </w:tcPr>
          <w:p w14:paraId="5E6C78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kern w:val="0"/>
                <w:sz w:val="21"/>
                <w:szCs w:val="21"/>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1038.64</w:t>
            </w:r>
          </w:p>
        </w:tc>
        <w:tc>
          <w:tcPr>
            <w:tcW w:w="1818" w:type="dxa"/>
            <w:tcBorders>
              <w:tl2br w:val="nil"/>
              <w:tr2bl w:val="nil"/>
            </w:tcBorders>
            <w:noWrap/>
            <w:vAlign w:val="center"/>
          </w:tcPr>
          <w:p w14:paraId="026AA5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kern w:val="0"/>
                <w:sz w:val="21"/>
                <w:szCs w:val="21"/>
                <w:lang w:val="en-US"/>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100</w:t>
            </w:r>
          </w:p>
        </w:tc>
        <w:tc>
          <w:tcPr>
            <w:tcW w:w="1600" w:type="pct"/>
            <w:vMerge w:val="continue"/>
            <w:tcBorders>
              <w:tl2br w:val="nil"/>
              <w:tr2bl w:val="nil"/>
            </w:tcBorders>
            <w:noWrap/>
            <w:vAlign w:val="center"/>
          </w:tcPr>
          <w:p w14:paraId="5058474B">
            <w:pPr>
              <w:keepNext w:val="0"/>
              <w:keepLines w:val="0"/>
              <w:pageBreakBefore w:val="0"/>
              <w:widowControl/>
              <w:kinsoku/>
              <w:wordWrap/>
              <w:overflowPunct/>
              <w:topLinePunct w:val="0"/>
              <w:autoSpaceDE/>
              <w:autoSpaceDN/>
              <w:bidi w:val="0"/>
              <w:adjustRightInd/>
              <w:snapToGrid/>
              <w:spacing w:line="240" w:lineRule="auto"/>
              <w:ind w:firstLine="420"/>
              <w:jc w:val="center"/>
              <w:textAlignment w:val="auto"/>
              <w:rPr>
                <w:color w:val="000000" w:themeColor="text1"/>
                <w:kern w:val="0"/>
                <w:sz w:val="21"/>
                <w:szCs w:val="21"/>
                <w14:textFill>
                  <w14:solidFill>
                    <w14:schemeClr w14:val="tx1"/>
                  </w14:solidFill>
                </w14:textFill>
              </w:rPr>
            </w:pPr>
          </w:p>
        </w:tc>
      </w:tr>
    </w:tbl>
    <w:p w14:paraId="3CB44AB8">
      <w:pPr>
        <w:adjustRightInd w:val="0"/>
        <w:snapToGrid w:val="0"/>
        <w:ind w:firstLine="480"/>
        <w:rPr>
          <w:rFonts w:hint="default" w:eastAsia="宋体"/>
          <w:color w:val="000000" w:themeColor="text1"/>
          <w:kern w:val="0"/>
          <w:lang w:val="en-US" w:eastAsia="zh-CN" w:bidi="ar"/>
          <w14:textFill>
            <w14:solidFill>
              <w14:schemeClr w14:val="tx1"/>
            </w14:solidFill>
          </w14:textFill>
        </w:rPr>
      </w:pPr>
      <w:r>
        <w:rPr>
          <w:rFonts w:hint="eastAsia"/>
          <w:color w:val="000000" w:themeColor="text1"/>
          <w:kern w:val="0"/>
          <w:lang w:eastAsia="zh-CN" w:bidi="ar"/>
          <w14:textFill>
            <w14:solidFill>
              <w14:schemeClr w14:val="tx1"/>
            </w14:solidFill>
          </w14:textFill>
        </w:rPr>
        <w:t>（</w:t>
      </w:r>
      <w:r>
        <w:rPr>
          <w:rFonts w:hint="eastAsia"/>
          <w:color w:val="000000" w:themeColor="text1"/>
          <w:kern w:val="0"/>
          <w:lang w:val="en-US" w:eastAsia="zh-CN" w:bidi="ar"/>
          <w14:textFill>
            <w14:solidFill>
              <w14:schemeClr w14:val="tx1"/>
            </w14:solidFill>
          </w14:textFill>
        </w:rPr>
        <w:t>2</w:t>
      </w:r>
      <w:r>
        <w:rPr>
          <w:rFonts w:hint="eastAsia"/>
          <w:color w:val="000000" w:themeColor="text1"/>
          <w:kern w:val="0"/>
          <w:lang w:eastAsia="zh-CN" w:bidi="ar"/>
          <w14:textFill>
            <w14:solidFill>
              <w14:schemeClr w14:val="tx1"/>
            </w14:solidFill>
          </w14:textFill>
        </w:rPr>
        <w:t>）</w:t>
      </w:r>
      <w:r>
        <w:rPr>
          <w:rFonts w:hint="eastAsia"/>
          <w:color w:val="000000" w:themeColor="text1"/>
          <w:kern w:val="0"/>
          <w:lang w:val="en-US" w:eastAsia="zh-CN" w:bidi="ar"/>
          <w14:textFill>
            <w14:solidFill>
              <w14:schemeClr w14:val="tx1"/>
            </w14:solidFill>
          </w14:textFill>
        </w:rPr>
        <w:t>植物名录</w:t>
      </w:r>
    </w:p>
    <w:p w14:paraId="4611EB77">
      <w:pPr>
        <w:adjustRightInd w:val="0"/>
        <w:snapToGrid w:val="0"/>
        <w:spacing w:line="360" w:lineRule="auto"/>
        <w:ind w:firstLine="480"/>
        <w:jc w:val="left"/>
        <w:rPr>
          <w:color w:val="000000" w:themeColor="text1"/>
          <w:kern w:val="0"/>
          <w14:textFill>
            <w14:solidFill>
              <w14:schemeClr w14:val="tx1"/>
            </w14:solidFill>
          </w14:textFill>
        </w:rPr>
      </w:pPr>
      <w:r>
        <w:rPr>
          <w:rFonts w:hint="eastAsia"/>
          <w:color w:val="000000" w:themeColor="text1"/>
          <w:kern w:val="0"/>
          <w:sz w:val="24"/>
          <w:lang w:val="en-US" w:eastAsia="zh-CN"/>
          <w14:textFill>
            <w14:solidFill>
              <w14:schemeClr w14:val="tx1"/>
            </w14:solidFill>
          </w14:textFill>
        </w:rPr>
        <w:t>评价范围</w:t>
      </w:r>
      <w:r>
        <w:rPr>
          <w:color w:val="000000" w:themeColor="text1"/>
          <w:kern w:val="0"/>
          <w:sz w:val="24"/>
          <w14:textFill>
            <w14:solidFill>
              <w14:schemeClr w14:val="tx1"/>
            </w14:solidFill>
          </w14:textFill>
        </w:rPr>
        <w:t>内植物种类主要为荒漠植物种类。根据实地调查结果统计，评价区主要物种及分布情况见表</w:t>
      </w:r>
      <w:r>
        <w:rPr>
          <w:rFonts w:hint="eastAsia"/>
          <w:color w:val="000000" w:themeColor="text1"/>
          <w:kern w:val="0"/>
          <w:sz w:val="24"/>
          <w:lang w:val="en-US" w:eastAsia="zh-CN"/>
          <w14:textFill>
            <w14:solidFill>
              <w14:schemeClr w14:val="tx1"/>
            </w14:solidFill>
          </w14:textFill>
        </w:rPr>
        <w:t>4.5-5</w:t>
      </w:r>
      <w:r>
        <w:rPr>
          <w:color w:val="000000" w:themeColor="text1"/>
          <w:kern w:val="0"/>
          <w:sz w:val="24"/>
          <w14:textFill>
            <w14:solidFill>
              <w14:schemeClr w14:val="tx1"/>
            </w14:solidFill>
          </w14:textFill>
        </w:rPr>
        <w:t>。</w:t>
      </w:r>
    </w:p>
    <w:p w14:paraId="38830D3F">
      <w:pPr>
        <w:pStyle w:val="38"/>
        <w:widowControl/>
        <w:snapToGrid w:val="0"/>
        <w:spacing w:line="36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表</w:t>
      </w:r>
      <w:r>
        <w:rPr>
          <w:rFonts w:hint="eastAsia"/>
          <w:color w:val="000000" w:themeColor="text1"/>
          <w:sz w:val="21"/>
          <w:szCs w:val="21"/>
          <w:lang w:val="en-US" w:eastAsia="zh-CN"/>
          <w14:textFill>
            <w14:solidFill>
              <w14:schemeClr w14:val="tx1"/>
            </w14:solidFill>
          </w14:textFill>
        </w:rPr>
        <w:t>4.5-5</w:t>
      </w:r>
      <w:r>
        <w:rPr>
          <w:rFonts w:hint="eastAsia"/>
          <w:color w:val="000000" w:themeColor="text1"/>
          <w:sz w:val="21"/>
          <w:szCs w:val="21"/>
          <w14:textFill>
            <w14:solidFill>
              <w14:schemeClr w14:val="tx1"/>
            </w14:solidFill>
          </w14:textFill>
        </w:rPr>
        <w:t xml:space="preserve">  评价区主要</w:t>
      </w:r>
      <w:r>
        <w:rPr>
          <w:color w:val="000000" w:themeColor="text1"/>
          <w:sz w:val="21"/>
          <w:szCs w:val="21"/>
          <w14:textFill>
            <w14:solidFill>
              <w14:schemeClr w14:val="tx1"/>
            </w14:solidFill>
          </w14:textFill>
        </w:rPr>
        <w:t>植物名录</w:t>
      </w:r>
      <w:r>
        <w:rPr>
          <w:rFonts w:hint="eastAsia"/>
          <w:color w:val="000000" w:themeColor="text1"/>
          <w:sz w:val="21"/>
          <w:szCs w:val="21"/>
          <w14:textFill>
            <w14:solidFill>
              <w14:schemeClr w14:val="tx1"/>
            </w14:solidFill>
          </w14:textFill>
        </w:rPr>
        <w:t>及分布</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287"/>
        <w:gridCol w:w="5417"/>
        <w:gridCol w:w="908"/>
      </w:tblGrid>
      <w:tr w14:paraId="72DC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tcPr>
          <w:p w14:paraId="169FFBA3">
            <w:pPr>
              <w:pStyle w:val="41"/>
              <w:spacing w:before="24" w:after="24" w:line="240" w:lineRule="auto"/>
              <w:rPr>
                <w:rFonts w:ascii="Times New Roman"/>
                <w:b/>
                <w:bCs/>
                <w:color w:val="000000" w:themeColor="text1"/>
                <w:sz w:val="21"/>
                <w14:textFill>
                  <w14:solidFill>
                    <w14:schemeClr w14:val="tx1"/>
                  </w14:solidFill>
                </w14:textFill>
              </w:rPr>
            </w:pPr>
            <w:r>
              <w:rPr>
                <w:rFonts w:ascii="Times New Roman"/>
                <w:b/>
                <w:bCs/>
                <w:color w:val="000000" w:themeColor="text1"/>
                <w:sz w:val="21"/>
                <w14:textFill>
                  <w14:solidFill>
                    <w14:schemeClr w14:val="tx1"/>
                  </w14:solidFill>
                </w14:textFill>
              </w:rPr>
              <w:t>序号</w:t>
            </w:r>
          </w:p>
        </w:tc>
        <w:tc>
          <w:tcPr>
            <w:tcW w:w="825" w:type="pct"/>
          </w:tcPr>
          <w:p w14:paraId="12855636">
            <w:pPr>
              <w:pStyle w:val="41"/>
              <w:spacing w:before="24" w:after="24" w:line="240" w:lineRule="auto"/>
              <w:rPr>
                <w:rFonts w:ascii="Times New Roman"/>
                <w:b/>
                <w:bCs/>
                <w:color w:val="000000" w:themeColor="text1"/>
                <w:sz w:val="21"/>
                <w14:textFill>
                  <w14:solidFill>
                    <w14:schemeClr w14:val="tx1"/>
                  </w14:solidFill>
                </w14:textFill>
              </w:rPr>
            </w:pPr>
            <w:r>
              <w:rPr>
                <w:rFonts w:ascii="Times New Roman"/>
                <w:b/>
                <w:bCs/>
                <w:color w:val="000000" w:themeColor="text1"/>
                <w:sz w:val="21"/>
                <w14:textFill>
                  <w14:solidFill>
                    <w14:schemeClr w14:val="tx1"/>
                  </w14:solidFill>
                </w14:textFill>
              </w:rPr>
              <w:t>中文名</w:t>
            </w:r>
          </w:p>
        </w:tc>
        <w:tc>
          <w:tcPr>
            <w:tcW w:w="3248" w:type="pct"/>
          </w:tcPr>
          <w:p w14:paraId="20491FB9">
            <w:pPr>
              <w:pStyle w:val="41"/>
              <w:spacing w:before="24" w:after="24" w:line="240" w:lineRule="auto"/>
              <w:rPr>
                <w:rFonts w:ascii="Times New Roman"/>
                <w:b/>
                <w:bCs/>
                <w:color w:val="000000" w:themeColor="text1"/>
                <w:sz w:val="21"/>
                <w14:textFill>
                  <w14:solidFill>
                    <w14:schemeClr w14:val="tx1"/>
                  </w14:solidFill>
                </w14:textFill>
              </w:rPr>
            </w:pPr>
            <w:r>
              <w:rPr>
                <w:rFonts w:ascii="Times New Roman"/>
                <w:b/>
                <w:bCs/>
                <w:color w:val="000000" w:themeColor="text1"/>
                <w:sz w:val="21"/>
                <w14:textFill>
                  <w14:solidFill>
                    <w14:schemeClr w14:val="tx1"/>
                  </w14:solidFill>
                </w14:textFill>
              </w:rPr>
              <w:t>学名</w:t>
            </w:r>
          </w:p>
        </w:tc>
        <w:tc>
          <w:tcPr>
            <w:tcW w:w="469" w:type="pct"/>
          </w:tcPr>
          <w:p w14:paraId="3052C856">
            <w:pPr>
              <w:pStyle w:val="41"/>
              <w:spacing w:before="24" w:after="24" w:line="240" w:lineRule="auto"/>
              <w:rPr>
                <w:rFonts w:ascii="Times New Roman"/>
                <w:b/>
                <w:bCs/>
                <w:color w:val="000000" w:themeColor="text1"/>
                <w:sz w:val="21"/>
                <w14:textFill>
                  <w14:solidFill>
                    <w14:schemeClr w14:val="tx1"/>
                  </w14:solidFill>
                </w14:textFill>
              </w:rPr>
            </w:pPr>
            <w:r>
              <w:rPr>
                <w:rFonts w:ascii="Times New Roman"/>
                <w:b/>
                <w:bCs/>
                <w:color w:val="000000" w:themeColor="text1"/>
                <w:sz w:val="21"/>
                <w14:textFill>
                  <w14:solidFill>
                    <w14:schemeClr w14:val="tx1"/>
                  </w14:solidFill>
                </w14:textFill>
              </w:rPr>
              <w:t>分布</w:t>
            </w:r>
          </w:p>
        </w:tc>
      </w:tr>
      <w:tr w14:paraId="612B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5577AD34">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1</w:t>
            </w:r>
          </w:p>
        </w:tc>
        <w:tc>
          <w:tcPr>
            <w:tcW w:w="825" w:type="pct"/>
          </w:tcPr>
          <w:p w14:paraId="3AE1083D">
            <w:pPr>
              <w:pStyle w:val="41"/>
              <w:spacing w:before="24" w:after="24" w:line="240" w:lineRule="auto"/>
              <w:rPr>
                <w:rFonts w:hint="default" w:ascii="Times New Roman" w:eastAsia="宋体"/>
                <w:b/>
                <w:bCs/>
                <w:color w:val="000000" w:themeColor="text1"/>
                <w:sz w:val="21"/>
                <w:lang w:val="en-US" w:eastAsia="zh-CN"/>
                <w14:textFill>
                  <w14:solidFill>
                    <w14:schemeClr w14:val="tx1"/>
                  </w14:solidFill>
                </w14:textFill>
              </w:rPr>
            </w:pPr>
            <w:r>
              <w:rPr>
                <w:rFonts w:hint="eastAsia" w:ascii="Times New Roman"/>
                <w:b w:val="0"/>
                <w:bCs w:val="0"/>
                <w:color w:val="000000" w:themeColor="text1"/>
                <w:sz w:val="21"/>
                <w:lang w:val="en-US" w:eastAsia="zh-CN"/>
                <w14:textFill>
                  <w14:solidFill>
                    <w14:schemeClr w14:val="tx1"/>
                  </w14:solidFill>
                </w14:textFill>
              </w:rPr>
              <w:t>沙生针茅</w:t>
            </w:r>
          </w:p>
        </w:tc>
        <w:tc>
          <w:tcPr>
            <w:tcW w:w="3248" w:type="pct"/>
          </w:tcPr>
          <w:p w14:paraId="566F5B5D">
            <w:pPr>
              <w:pStyle w:val="41"/>
              <w:spacing w:before="24" w:after="24" w:line="240" w:lineRule="auto"/>
              <w:rPr>
                <w:rFonts w:ascii="Times New Roman"/>
                <w:b/>
                <w:bCs/>
                <w:color w:val="000000" w:themeColor="text1"/>
                <w:sz w:val="21"/>
                <w14:textFill>
                  <w14:solidFill>
                    <w14:schemeClr w14:val="tx1"/>
                  </w14:solidFill>
                </w14:textFill>
              </w:rPr>
            </w:pPr>
            <w:r>
              <w:rPr>
                <w:rFonts w:ascii="Times New Roman"/>
                <w:b w:val="0"/>
                <w:bCs w:val="0"/>
                <w:i/>
                <w:iCs/>
                <w:color w:val="000000" w:themeColor="text1"/>
                <w:sz w:val="21"/>
                <w14:textFill>
                  <w14:solidFill>
                    <w14:schemeClr w14:val="tx1"/>
                  </w14:solidFill>
                </w14:textFill>
              </w:rPr>
              <w:t>Stipa caucasica subsp. glareosa</w:t>
            </w:r>
            <w:r>
              <w:rPr>
                <w:rFonts w:hint="eastAsia" w:ascii="Times New Roman"/>
                <w:b w:val="0"/>
                <w:bCs w:val="0"/>
                <w:i/>
                <w:iCs/>
                <w:color w:val="000000" w:themeColor="text1"/>
                <w:sz w:val="21"/>
                <w14:textFill>
                  <w14:solidFill>
                    <w14:schemeClr w14:val="tx1"/>
                  </w14:solidFill>
                </w14:textFill>
              </w:rPr>
              <w:t> </w:t>
            </w:r>
            <w:r>
              <w:rPr>
                <w:rFonts w:hint="eastAsia" w:ascii="Times New Roman"/>
                <w:b w:val="0"/>
                <w:bCs w:val="0"/>
                <w:i w:val="0"/>
                <w:iCs w:val="0"/>
                <w:color w:val="000000" w:themeColor="text1"/>
                <w:sz w:val="21"/>
                <w:lang w:eastAsia="zh-CN"/>
                <w14:textFill>
                  <w14:solidFill>
                    <w14:schemeClr w14:val="tx1"/>
                  </w14:solidFill>
                </w14:textFill>
              </w:rPr>
              <w:t>（</w:t>
            </w:r>
            <w:r>
              <w:rPr>
                <w:rFonts w:hint="eastAsia" w:ascii="Times New Roman"/>
                <w:b w:val="0"/>
                <w:bCs w:val="0"/>
                <w:i w:val="0"/>
                <w:iCs w:val="0"/>
                <w:color w:val="000000" w:themeColor="text1"/>
                <w:sz w:val="21"/>
                <w14:textFill>
                  <w14:solidFill>
                    <w14:schemeClr w14:val="tx1"/>
                  </w14:solidFill>
                </w14:textFill>
              </w:rPr>
              <w:t>P. A. Smirn.</w:t>
            </w:r>
            <w:r>
              <w:rPr>
                <w:rFonts w:hint="eastAsia" w:ascii="Times New Roman"/>
                <w:b w:val="0"/>
                <w:bCs w:val="0"/>
                <w:i w:val="0"/>
                <w:iCs w:val="0"/>
                <w:color w:val="000000" w:themeColor="text1"/>
                <w:sz w:val="21"/>
                <w:lang w:eastAsia="zh-CN"/>
                <w14:textFill>
                  <w14:solidFill>
                    <w14:schemeClr w14:val="tx1"/>
                  </w14:solidFill>
                </w14:textFill>
              </w:rPr>
              <w:t>）</w:t>
            </w:r>
            <w:r>
              <w:rPr>
                <w:rFonts w:hint="eastAsia" w:ascii="Times New Roman"/>
                <w:b w:val="0"/>
                <w:bCs w:val="0"/>
                <w:i w:val="0"/>
                <w:iCs w:val="0"/>
                <w:color w:val="000000" w:themeColor="text1"/>
                <w:sz w:val="21"/>
                <w14:textFill>
                  <w14:solidFill>
                    <w14:schemeClr w14:val="tx1"/>
                  </w14:solidFill>
                </w14:textFill>
              </w:rPr>
              <w:t>Tzvelev</w:t>
            </w:r>
          </w:p>
        </w:tc>
        <w:tc>
          <w:tcPr>
            <w:tcW w:w="469" w:type="pct"/>
          </w:tcPr>
          <w:p w14:paraId="02597242">
            <w:pPr>
              <w:pStyle w:val="41"/>
              <w:spacing w:before="24" w:after="24" w:line="240" w:lineRule="auto"/>
              <w:rPr>
                <w:rFonts w:ascii="Times New Roman"/>
                <w:b/>
                <w:bCs/>
                <w:color w:val="000000" w:themeColor="text1"/>
                <w:sz w:val="21"/>
                <w14:textFill>
                  <w14:solidFill>
                    <w14:schemeClr w14:val="tx1"/>
                  </w14:solidFill>
                </w14:textFill>
              </w:rPr>
            </w:pPr>
            <w:r>
              <w:rPr>
                <w:rFonts w:ascii="Times New Roman"/>
                <w:color w:val="000000" w:themeColor="text1"/>
                <w:sz w:val="21"/>
                <w14:textFill>
                  <w14:solidFill>
                    <w14:schemeClr w14:val="tx1"/>
                  </w14:solidFill>
                </w14:textFill>
              </w:rPr>
              <w:t>＋＋</w:t>
            </w:r>
          </w:p>
        </w:tc>
      </w:tr>
      <w:tr w14:paraId="176B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2147FA67">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2</w:t>
            </w:r>
          </w:p>
        </w:tc>
        <w:tc>
          <w:tcPr>
            <w:tcW w:w="825" w:type="pct"/>
            <w:shd w:val="clear" w:color="auto" w:fill="auto"/>
            <w:vAlign w:val="top"/>
          </w:tcPr>
          <w:p w14:paraId="2ECA8025">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多枝柽柳</w:t>
            </w:r>
          </w:p>
        </w:tc>
        <w:tc>
          <w:tcPr>
            <w:tcW w:w="3248" w:type="pct"/>
            <w:shd w:val="clear" w:color="auto" w:fill="auto"/>
            <w:vAlign w:val="top"/>
          </w:tcPr>
          <w:p w14:paraId="21A4201E">
            <w:pPr>
              <w:pStyle w:val="41"/>
              <w:spacing w:before="24" w:after="24" w:line="240" w:lineRule="auto"/>
              <w:ind w:left="420" w:leftChars="0" w:hanging="420" w:hangingChars="200"/>
              <w:rPr>
                <w:rFonts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ascii="Times New Roman"/>
                <w:i/>
                <w:iCs/>
                <w:color w:val="000000" w:themeColor="text1"/>
                <w:sz w:val="21"/>
                <w14:textFill>
                  <w14:solidFill>
                    <w14:schemeClr w14:val="tx1"/>
                  </w14:solidFill>
                </w14:textFill>
              </w:rPr>
              <w:t xml:space="preserve">Tamarcs ramosissima </w:t>
            </w:r>
            <w:r>
              <w:rPr>
                <w:rFonts w:ascii="Times New Roman"/>
                <w:color w:val="000000" w:themeColor="text1"/>
                <w:sz w:val="21"/>
                <w14:textFill>
                  <w14:solidFill>
                    <w14:schemeClr w14:val="tx1"/>
                  </w14:solidFill>
                </w14:textFill>
              </w:rPr>
              <w:t>Lcdcb.</w:t>
            </w:r>
          </w:p>
        </w:tc>
        <w:tc>
          <w:tcPr>
            <w:tcW w:w="469" w:type="pct"/>
            <w:shd w:val="clear" w:color="auto" w:fill="auto"/>
            <w:vAlign w:val="top"/>
          </w:tcPr>
          <w:p w14:paraId="545AA3ED">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w:t>
            </w:r>
          </w:p>
        </w:tc>
      </w:tr>
      <w:tr w14:paraId="51A7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6C0307D4">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3</w:t>
            </w:r>
          </w:p>
        </w:tc>
        <w:tc>
          <w:tcPr>
            <w:tcW w:w="825" w:type="pct"/>
            <w:shd w:val="clear" w:color="auto" w:fill="auto"/>
            <w:vAlign w:val="top"/>
          </w:tcPr>
          <w:p w14:paraId="4A9264C7">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骆驼刺</w:t>
            </w:r>
          </w:p>
        </w:tc>
        <w:tc>
          <w:tcPr>
            <w:tcW w:w="3248" w:type="pct"/>
            <w:shd w:val="clear" w:color="auto" w:fill="auto"/>
            <w:vAlign w:val="top"/>
          </w:tcPr>
          <w:p w14:paraId="5DF778D7">
            <w:pPr>
              <w:pStyle w:val="41"/>
              <w:spacing w:before="24" w:after="24" w:line="240" w:lineRule="auto"/>
              <w:ind w:left="420" w:leftChars="0" w:hanging="420" w:hangingChars="200"/>
              <w:rPr>
                <w:rFonts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ascii="Times New Roman"/>
                <w:i/>
                <w:iCs/>
                <w:color w:val="000000" w:themeColor="text1"/>
                <w:sz w:val="21"/>
                <w14:textFill>
                  <w14:solidFill>
                    <w14:schemeClr w14:val="tx1"/>
                  </w14:solidFill>
                </w14:textFill>
              </w:rPr>
              <w:t>Karelinia caspia</w:t>
            </w:r>
          </w:p>
        </w:tc>
        <w:tc>
          <w:tcPr>
            <w:tcW w:w="469" w:type="pct"/>
            <w:shd w:val="clear" w:color="auto" w:fill="auto"/>
            <w:vAlign w:val="top"/>
          </w:tcPr>
          <w:p w14:paraId="2223571A">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w:t>
            </w:r>
          </w:p>
        </w:tc>
      </w:tr>
      <w:tr w14:paraId="2738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6101FCB4">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4</w:t>
            </w:r>
          </w:p>
        </w:tc>
        <w:tc>
          <w:tcPr>
            <w:tcW w:w="825" w:type="pct"/>
            <w:shd w:val="clear" w:color="auto" w:fill="auto"/>
            <w:vAlign w:val="top"/>
          </w:tcPr>
          <w:p w14:paraId="1ADB7277">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戈壁针茅</w:t>
            </w:r>
          </w:p>
        </w:tc>
        <w:tc>
          <w:tcPr>
            <w:tcW w:w="3248" w:type="pct"/>
            <w:shd w:val="clear" w:color="auto" w:fill="auto"/>
            <w:vAlign w:val="top"/>
          </w:tcPr>
          <w:p w14:paraId="24C346F5">
            <w:pPr>
              <w:pStyle w:val="41"/>
              <w:spacing w:before="24" w:after="24" w:line="240" w:lineRule="auto"/>
              <w:ind w:left="420" w:leftChars="0" w:hanging="420" w:hangingChars="200"/>
              <w:rPr>
                <w:rFonts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hint="eastAsia" w:ascii="Times New Roman"/>
                <w:i/>
                <w:iCs/>
                <w:color w:val="000000" w:themeColor="text1"/>
                <w:sz w:val="21"/>
                <w14:textFill>
                  <w14:solidFill>
                    <w14:schemeClr w14:val="tx1"/>
                  </w14:solidFill>
                </w14:textFill>
              </w:rPr>
              <w:t>Stipa tianshanica</w:t>
            </w:r>
          </w:p>
        </w:tc>
        <w:tc>
          <w:tcPr>
            <w:tcW w:w="469" w:type="pct"/>
            <w:shd w:val="clear" w:color="auto" w:fill="auto"/>
            <w:vAlign w:val="top"/>
          </w:tcPr>
          <w:p w14:paraId="496590FC">
            <w:pPr>
              <w:pStyle w:val="41"/>
              <w:spacing w:before="24" w:after="24" w:line="240" w:lineRule="auto"/>
              <w:ind w:left="420" w:leftChars="0" w:hanging="420" w:hangingChars="200"/>
              <w:rPr>
                <w:rFonts w:ascii="Times New Roman" w:eastAsia="宋体" w:cs="Times New Roman"/>
                <w:color w:val="000000" w:themeColor="text1"/>
                <w:sz w:val="21"/>
                <w:lang w:val="en-US" w:eastAsia="zh-CN"/>
                <w14:textFill>
                  <w14:solidFill>
                    <w14:schemeClr w14:val="tx1"/>
                  </w14:solidFill>
                </w14:textFill>
              </w:rPr>
            </w:pPr>
            <w:r>
              <w:rPr>
                <w:rFonts w:ascii="Times New Roman" w:eastAsia="宋体" w:cs="Times New Roman"/>
                <w:color w:val="000000" w:themeColor="text1"/>
                <w:sz w:val="21"/>
                <w14:textFill>
                  <w14:solidFill>
                    <w14:schemeClr w14:val="tx1"/>
                  </w14:solidFill>
                </w14:textFill>
              </w:rPr>
              <w:t>＋</w:t>
            </w:r>
          </w:p>
        </w:tc>
      </w:tr>
      <w:tr w14:paraId="5B2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206A5BD8">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5</w:t>
            </w:r>
          </w:p>
        </w:tc>
        <w:tc>
          <w:tcPr>
            <w:tcW w:w="825" w:type="pct"/>
            <w:shd w:val="clear" w:color="auto" w:fill="auto"/>
            <w:vAlign w:val="top"/>
          </w:tcPr>
          <w:p w14:paraId="5CB227EE">
            <w:pPr>
              <w:pStyle w:val="41"/>
              <w:spacing w:before="24" w:after="24" w:line="240" w:lineRule="auto"/>
              <w:ind w:left="420" w:leftChars="0" w:hanging="420" w:hangingChars="200"/>
              <w:rPr>
                <w:rFonts w:hint="eastAsia"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驼绒藜</w:t>
            </w:r>
          </w:p>
        </w:tc>
        <w:tc>
          <w:tcPr>
            <w:tcW w:w="3248" w:type="pct"/>
            <w:shd w:val="clear" w:color="auto" w:fill="auto"/>
            <w:vAlign w:val="top"/>
          </w:tcPr>
          <w:p w14:paraId="02D56618">
            <w:pPr>
              <w:pStyle w:val="41"/>
              <w:spacing w:before="24" w:after="24" w:line="240" w:lineRule="auto"/>
              <w:ind w:left="420" w:leftChars="0" w:hanging="420" w:hangingChars="200"/>
              <w:rPr>
                <w:rFonts w:hint="eastAsia"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ascii="Times New Roman"/>
                <w:i/>
                <w:iCs/>
                <w:color w:val="000000" w:themeColor="text1"/>
                <w:sz w:val="21"/>
                <w14:textFill>
                  <w14:solidFill>
                    <w14:schemeClr w14:val="tx1"/>
                  </w14:solidFill>
                </w14:textFill>
              </w:rPr>
              <w:t>Iljinia regelii</w:t>
            </w:r>
          </w:p>
        </w:tc>
        <w:tc>
          <w:tcPr>
            <w:tcW w:w="469" w:type="pct"/>
            <w:shd w:val="clear" w:color="auto" w:fill="auto"/>
            <w:vAlign w:val="top"/>
          </w:tcPr>
          <w:p w14:paraId="7FC9EBB9">
            <w:pPr>
              <w:pStyle w:val="41"/>
              <w:spacing w:before="24" w:after="24" w:line="240" w:lineRule="auto"/>
              <w:ind w:left="420" w:leftChars="0" w:hanging="420" w:hangingChars="200"/>
              <w:rPr>
                <w:rFonts w:ascii="Times New Roman" w:eastAsia="宋体" w:cs="Times New Roman"/>
                <w:color w:val="000000" w:themeColor="text1"/>
                <w:sz w:val="21"/>
                <w:lang w:val="en-US" w:eastAsia="zh-CN"/>
                <w14:textFill>
                  <w14:solidFill>
                    <w14:schemeClr w14:val="tx1"/>
                  </w14:solidFill>
                </w14:textFill>
              </w:rPr>
            </w:pPr>
            <w:r>
              <w:rPr>
                <w:rFonts w:ascii="Times New Roman" w:eastAsia="宋体" w:cs="Times New Roman"/>
                <w:color w:val="000000" w:themeColor="text1"/>
                <w:sz w:val="21"/>
                <w14:textFill>
                  <w14:solidFill>
                    <w14:schemeClr w14:val="tx1"/>
                  </w14:solidFill>
                </w14:textFill>
              </w:rPr>
              <w:t>＋</w:t>
            </w:r>
          </w:p>
        </w:tc>
      </w:tr>
      <w:tr w14:paraId="00D2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0983C64F">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6</w:t>
            </w:r>
          </w:p>
        </w:tc>
        <w:tc>
          <w:tcPr>
            <w:tcW w:w="825" w:type="pct"/>
            <w:shd w:val="clear" w:color="auto" w:fill="auto"/>
            <w:vAlign w:val="top"/>
          </w:tcPr>
          <w:p w14:paraId="1F5B74E1">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木碱蓬</w:t>
            </w:r>
          </w:p>
        </w:tc>
        <w:tc>
          <w:tcPr>
            <w:tcW w:w="3248" w:type="pct"/>
            <w:shd w:val="clear" w:color="auto" w:fill="auto"/>
            <w:vAlign w:val="top"/>
          </w:tcPr>
          <w:p w14:paraId="129FADB7">
            <w:pPr>
              <w:pStyle w:val="41"/>
              <w:spacing w:before="24" w:after="24" w:line="240" w:lineRule="auto"/>
              <w:ind w:left="420" w:leftChars="0" w:hanging="420" w:hangingChars="200"/>
              <w:rPr>
                <w:rFonts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ascii="Times New Roman"/>
                <w:i/>
                <w:iCs/>
                <w:color w:val="000000" w:themeColor="text1"/>
                <w:sz w:val="21"/>
                <w14:textFill>
                  <w14:solidFill>
                    <w14:schemeClr w14:val="tx1"/>
                  </w14:solidFill>
                </w14:textFill>
              </w:rPr>
              <w:t>Suaeda dendroides</w:t>
            </w:r>
          </w:p>
        </w:tc>
        <w:tc>
          <w:tcPr>
            <w:tcW w:w="469" w:type="pct"/>
            <w:shd w:val="clear" w:color="auto" w:fill="auto"/>
            <w:vAlign w:val="top"/>
          </w:tcPr>
          <w:p w14:paraId="12D7EE05">
            <w:pPr>
              <w:pStyle w:val="41"/>
              <w:spacing w:before="24" w:after="24" w:line="240" w:lineRule="auto"/>
              <w:ind w:left="420" w:leftChars="0" w:hanging="420" w:hangingChars="200"/>
              <w:rPr>
                <w:rFonts w:ascii="Times New Roman" w:eastAsia="宋体" w:cs="Times New Roman"/>
                <w:color w:val="000000" w:themeColor="text1"/>
                <w:sz w:val="21"/>
                <w:lang w:val="en-US" w:eastAsia="zh-CN"/>
                <w14:textFill>
                  <w14:solidFill>
                    <w14:schemeClr w14:val="tx1"/>
                  </w14:solidFill>
                </w14:textFill>
              </w:rPr>
            </w:pPr>
            <w:r>
              <w:rPr>
                <w:rFonts w:ascii="Times New Roman" w:eastAsia="宋体" w:cs="Times New Roman"/>
                <w:color w:val="000000" w:themeColor="text1"/>
                <w:sz w:val="21"/>
                <w14:textFill>
                  <w14:solidFill>
                    <w14:schemeClr w14:val="tx1"/>
                  </w14:solidFill>
                </w14:textFill>
              </w:rPr>
              <w:t>＋</w:t>
            </w:r>
          </w:p>
        </w:tc>
      </w:tr>
      <w:tr w14:paraId="46BA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37D68233">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7</w:t>
            </w:r>
          </w:p>
        </w:tc>
        <w:tc>
          <w:tcPr>
            <w:tcW w:w="825" w:type="pct"/>
            <w:shd w:val="clear" w:color="auto" w:fill="auto"/>
            <w:vAlign w:val="top"/>
          </w:tcPr>
          <w:p w14:paraId="3B4DC2C8">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大白刺</w:t>
            </w:r>
          </w:p>
        </w:tc>
        <w:tc>
          <w:tcPr>
            <w:tcW w:w="3248" w:type="pct"/>
            <w:shd w:val="clear" w:color="auto" w:fill="auto"/>
            <w:vAlign w:val="top"/>
          </w:tcPr>
          <w:p w14:paraId="3136594F">
            <w:pPr>
              <w:pStyle w:val="41"/>
              <w:spacing w:before="24" w:after="24" w:line="240" w:lineRule="auto"/>
              <w:ind w:left="420" w:leftChars="0" w:hanging="420" w:hangingChars="200"/>
              <w:rPr>
                <w:rFonts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hint="eastAsia" w:ascii="Times New Roman"/>
                <w:i/>
                <w:iCs/>
                <w:color w:val="000000" w:themeColor="text1"/>
                <w:sz w:val="21"/>
                <w14:textFill>
                  <w14:solidFill>
                    <w14:schemeClr w14:val="tx1"/>
                  </w14:solidFill>
                </w14:textFill>
              </w:rPr>
              <w:t>Nitraria roborowskii</w:t>
            </w:r>
          </w:p>
        </w:tc>
        <w:tc>
          <w:tcPr>
            <w:tcW w:w="469" w:type="pct"/>
            <w:shd w:val="clear" w:color="auto" w:fill="auto"/>
            <w:vAlign w:val="top"/>
          </w:tcPr>
          <w:p w14:paraId="0D0CFFB3">
            <w:pPr>
              <w:pStyle w:val="41"/>
              <w:spacing w:before="24" w:after="24" w:line="240" w:lineRule="auto"/>
              <w:ind w:left="420" w:leftChars="0" w:hanging="420" w:hangingChars="200"/>
              <w:rPr>
                <w:rFonts w:ascii="Times New Roman" w:eastAsia="宋体" w:cs="Times New Roman"/>
                <w:color w:val="000000" w:themeColor="text1"/>
                <w:sz w:val="21"/>
                <w:lang w:val="en-US" w:eastAsia="zh-CN"/>
                <w14:textFill>
                  <w14:solidFill>
                    <w14:schemeClr w14:val="tx1"/>
                  </w14:solidFill>
                </w14:textFill>
              </w:rPr>
            </w:pPr>
            <w:r>
              <w:rPr>
                <w:rFonts w:ascii="Times New Roman" w:eastAsia="宋体" w:cs="Times New Roman"/>
                <w:color w:val="000000" w:themeColor="text1"/>
                <w:sz w:val="21"/>
                <w14:textFill>
                  <w14:solidFill>
                    <w14:schemeClr w14:val="tx1"/>
                  </w14:solidFill>
                </w14:textFill>
              </w:rPr>
              <w:t>＋</w:t>
            </w:r>
          </w:p>
        </w:tc>
      </w:tr>
      <w:tr w14:paraId="3B84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6CA684C0">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8</w:t>
            </w:r>
          </w:p>
        </w:tc>
        <w:tc>
          <w:tcPr>
            <w:tcW w:w="825" w:type="pct"/>
            <w:shd w:val="clear" w:color="auto" w:fill="auto"/>
            <w:vAlign w:val="top"/>
          </w:tcPr>
          <w:p w14:paraId="4B3FB77B">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泡泡刺</w:t>
            </w:r>
          </w:p>
        </w:tc>
        <w:tc>
          <w:tcPr>
            <w:tcW w:w="3248" w:type="pct"/>
            <w:shd w:val="clear" w:color="auto" w:fill="auto"/>
            <w:vAlign w:val="top"/>
          </w:tcPr>
          <w:p w14:paraId="666EBBBA">
            <w:pPr>
              <w:pStyle w:val="41"/>
              <w:spacing w:before="24" w:after="24" w:line="240" w:lineRule="auto"/>
              <w:ind w:left="420" w:leftChars="0" w:hanging="420" w:hangingChars="200"/>
              <w:rPr>
                <w:rFonts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hint="eastAsia" w:ascii="Times New Roman"/>
                <w:i/>
                <w:iCs/>
                <w:color w:val="000000" w:themeColor="text1"/>
                <w:sz w:val="21"/>
                <w14:textFill>
                  <w14:solidFill>
                    <w14:schemeClr w14:val="tx1"/>
                  </w14:solidFill>
                </w14:textFill>
              </w:rPr>
              <w:t>N.sphaerocarpa</w:t>
            </w:r>
          </w:p>
        </w:tc>
        <w:tc>
          <w:tcPr>
            <w:tcW w:w="469" w:type="pct"/>
            <w:shd w:val="clear" w:color="auto" w:fill="auto"/>
            <w:vAlign w:val="top"/>
          </w:tcPr>
          <w:p w14:paraId="4124CACD">
            <w:pPr>
              <w:pStyle w:val="41"/>
              <w:spacing w:before="24" w:after="24" w:line="240" w:lineRule="auto"/>
              <w:ind w:left="420" w:leftChars="0" w:hanging="420" w:hangingChars="200"/>
              <w:rPr>
                <w:rFonts w:ascii="Times New Roman" w:eastAsia="宋体" w:cs="Times New Roman"/>
                <w:color w:val="000000" w:themeColor="text1"/>
                <w:sz w:val="21"/>
                <w:lang w:val="en-US" w:eastAsia="zh-CN"/>
                <w14:textFill>
                  <w14:solidFill>
                    <w14:schemeClr w14:val="tx1"/>
                  </w14:solidFill>
                </w14:textFill>
              </w:rPr>
            </w:pPr>
            <w:r>
              <w:rPr>
                <w:rFonts w:ascii="Times New Roman" w:eastAsia="宋体" w:cs="Times New Roman"/>
                <w:color w:val="000000" w:themeColor="text1"/>
                <w:sz w:val="21"/>
                <w14:textFill>
                  <w14:solidFill>
                    <w14:schemeClr w14:val="tx1"/>
                  </w14:solidFill>
                </w14:textFill>
              </w:rPr>
              <w:t>＋</w:t>
            </w:r>
          </w:p>
        </w:tc>
      </w:tr>
      <w:tr w14:paraId="1844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77892820">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9</w:t>
            </w:r>
          </w:p>
        </w:tc>
        <w:tc>
          <w:tcPr>
            <w:tcW w:w="825" w:type="pct"/>
            <w:shd w:val="clear" w:color="auto" w:fill="auto"/>
            <w:vAlign w:val="top"/>
          </w:tcPr>
          <w:p w14:paraId="63D55AB8">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小果白刺</w:t>
            </w:r>
          </w:p>
        </w:tc>
        <w:tc>
          <w:tcPr>
            <w:tcW w:w="3248" w:type="pct"/>
            <w:shd w:val="clear" w:color="auto" w:fill="auto"/>
            <w:vAlign w:val="top"/>
          </w:tcPr>
          <w:p w14:paraId="0B0631DE">
            <w:pPr>
              <w:pStyle w:val="41"/>
              <w:spacing w:before="24" w:after="24" w:line="240" w:lineRule="auto"/>
              <w:ind w:left="420" w:leftChars="0" w:hanging="420" w:hangingChars="200"/>
              <w:rPr>
                <w:rFonts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hint="eastAsia" w:ascii="Times New Roman"/>
                <w:i/>
                <w:iCs/>
                <w:color w:val="000000" w:themeColor="text1"/>
                <w:sz w:val="21"/>
                <w14:textFill>
                  <w14:solidFill>
                    <w14:schemeClr w14:val="tx1"/>
                  </w14:solidFill>
                </w14:textFill>
              </w:rPr>
              <w:t>N.sibirica</w:t>
            </w:r>
          </w:p>
        </w:tc>
        <w:tc>
          <w:tcPr>
            <w:tcW w:w="469" w:type="pct"/>
            <w:shd w:val="clear" w:color="auto" w:fill="auto"/>
            <w:vAlign w:val="top"/>
          </w:tcPr>
          <w:p w14:paraId="07B3D024">
            <w:pPr>
              <w:pStyle w:val="41"/>
              <w:spacing w:before="24" w:after="24" w:line="240" w:lineRule="auto"/>
              <w:ind w:left="420" w:leftChars="0" w:hanging="420" w:hangingChars="200"/>
              <w:rPr>
                <w:rFonts w:ascii="Times New Roman" w:eastAsia="宋体" w:cs="Times New Roman"/>
                <w:color w:val="000000" w:themeColor="text1"/>
                <w:sz w:val="21"/>
                <w:lang w:val="en-US" w:eastAsia="zh-CN"/>
                <w14:textFill>
                  <w14:solidFill>
                    <w14:schemeClr w14:val="tx1"/>
                  </w14:solidFill>
                </w14:textFill>
              </w:rPr>
            </w:pPr>
            <w:r>
              <w:rPr>
                <w:rFonts w:ascii="Times New Roman" w:eastAsia="宋体" w:cs="Times New Roman"/>
                <w:color w:val="000000" w:themeColor="text1"/>
                <w:sz w:val="21"/>
                <w14:textFill>
                  <w14:solidFill>
                    <w14:schemeClr w14:val="tx1"/>
                  </w14:solidFill>
                </w14:textFill>
              </w:rPr>
              <w:t>＋</w:t>
            </w:r>
          </w:p>
        </w:tc>
      </w:tr>
      <w:tr w14:paraId="1315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1FD1C0EE">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color w:val="000000" w:themeColor="text1"/>
                <w:sz w:val="21"/>
                <w14:textFill>
                  <w14:solidFill>
                    <w14:schemeClr w14:val="tx1"/>
                  </w14:solidFill>
                </w14:textFill>
              </w:rPr>
              <w:t>10</w:t>
            </w:r>
          </w:p>
        </w:tc>
        <w:tc>
          <w:tcPr>
            <w:tcW w:w="825" w:type="pct"/>
            <w:shd w:val="clear" w:color="auto" w:fill="auto"/>
            <w:vAlign w:val="top"/>
          </w:tcPr>
          <w:p w14:paraId="4CE32308">
            <w:pPr>
              <w:pStyle w:val="41"/>
              <w:spacing w:before="24" w:after="24" w:line="240" w:lineRule="auto"/>
              <w:ind w:left="420" w:leftChars="0" w:hanging="420" w:hangingChars="200"/>
              <w:rPr>
                <w:rFonts w:ascii="Times New Roman" w:hAnsi="Arial" w:eastAsia="宋体" w:cs="Times New Roman"/>
                <w:color w:val="000000" w:themeColor="text1"/>
                <w:kern w:val="0"/>
                <w:sz w:val="21"/>
                <w:szCs w:val="21"/>
                <w:lang w:val="en-US" w:eastAsia="zh-CN" w:bidi="ar-SA"/>
                <w14:textFill>
                  <w14:solidFill>
                    <w14:schemeClr w14:val="tx1"/>
                  </w14:solidFill>
                </w14:textFill>
              </w:rPr>
            </w:pPr>
            <w:r>
              <w:rPr>
                <w:rFonts w:ascii="Times New Roman"/>
                <w:color w:val="000000" w:themeColor="text1"/>
                <w:sz w:val="21"/>
                <w14:textFill>
                  <w14:solidFill>
                    <w14:schemeClr w14:val="tx1"/>
                  </w14:solidFill>
                </w14:textFill>
              </w:rPr>
              <w:t>盐爪爪</w:t>
            </w:r>
          </w:p>
        </w:tc>
        <w:tc>
          <w:tcPr>
            <w:tcW w:w="3248" w:type="pct"/>
            <w:shd w:val="clear" w:color="auto" w:fill="auto"/>
            <w:vAlign w:val="top"/>
          </w:tcPr>
          <w:p w14:paraId="40C3C911">
            <w:pPr>
              <w:pStyle w:val="41"/>
              <w:spacing w:before="24" w:after="24" w:line="240" w:lineRule="auto"/>
              <w:ind w:left="420" w:leftChars="0" w:hanging="420" w:hangingChars="200"/>
              <w:rPr>
                <w:rFonts w:ascii="Times New Roman" w:hAnsi="Arial" w:eastAsia="宋体" w:cs="Times New Roman"/>
                <w:i/>
                <w:iCs/>
                <w:color w:val="000000" w:themeColor="text1"/>
                <w:kern w:val="0"/>
                <w:sz w:val="21"/>
                <w:szCs w:val="21"/>
                <w:lang w:val="en-US" w:eastAsia="zh-CN" w:bidi="ar-SA"/>
                <w14:textFill>
                  <w14:solidFill>
                    <w14:schemeClr w14:val="tx1"/>
                  </w14:solidFill>
                </w14:textFill>
              </w:rPr>
            </w:pPr>
            <w:r>
              <w:rPr>
                <w:rFonts w:ascii="Times New Roman"/>
                <w:i/>
                <w:iCs/>
                <w:color w:val="000000" w:themeColor="text1"/>
                <w:sz w:val="21"/>
                <w14:textFill>
                  <w14:solidFill>
                    <w14:schemeClr w14:val="tx1"/>
                  </w14:solidFill>
                </w14:textFill>
              </w:rPr>
              <w:t>Kalidium foliatum</w:t>
            </w:r>
          </w:p>
        </w:tc>
        <w:tc>
          <w:tcPr>
            <w:tcW w:w="469" w:type="pct"/>
            <w:shd w:val="clear" w:color="auto" w:fill="auto"/>
            <w:vAlign w:val="top"/>
          </w:tcPr>
          <w:p w14:paraId="32055EE1">
            <w:pPr>
              <w:pStyle w:val="41"/>
              <w:spacing w:before="24" w:after="24" w:line="240" w:lineRule="auto"/>
              <w:ind w:left="420" w:leftChars="0" w:hanging="420" w:hangingChars="200"/>
              <w:rPr>
                <w:rFonts w:ascii="Times New Roman" w:eastAsia="宋体" w:cs="Times New Roman"/>
                <w:color w:val="000000" w:themeColor="text1"/>
                <w:sz w:val="21"/>
                <w:lang w:val="en-US" w:eastAsia="zh-CN"/>
                <w14:textFill>
                  <w14:solidFill>
                    <w14:schemeClr w14:val="tx1"/>
                  </w14:solidFill>
                </w14:textFill>
              </w:rPr>
            </w:pPr>
            <w:r>
              <w:rPr>
                <w:rFonts w:ascii="Times New Roman" w:eastAsia="宋体" w:cs="Times New Roman"/>
                <w:color w:val="000000" w:themeColor="text1"/>
                <w:sz w:val="21"/>
                <w14:textFill>
                  <w14:solidFill>
                    <w14:schemeClr w14:val="tx1"/>
                  </w14:solidFill>
                </w14:textFill>
              </w:rPr>
              <w:t>＋</w:t>
            </w:r>
          </w:p>
        </w:tc>
      </w:tr>
      <w:tr w14:paraId="2F28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395A3E46">
            <w:pPr>
              <w:pStyle w:val="41"/>
              <w:spacing w:before="24" w:after="24" w:line="240" w:lineRule="auto"/>
              <w:ind w:left="420" w:leftChars="0" w:hanging="420" w:hangingChars="200"/>
              <w:rPr>
                <w:rFonts w:hint="default" w:ascii="Times New Roman" w:eastAsia="宋体"/>
                <w:color w:val="000000" w:themeColor="text1"/>
                <w:sz w:val="21"/>
                <w:lang w:val="en-US" w:eastAsia="zh-CN"/>
                <w14:textFill>
                  <w14:solidFill>
                    <w14:schemeClr w14:val="tx1"/>
                  </w14:solidFill>
                </w14:textFill>
              </w:rPr>
            </w:pPr>
            <w:r>
              <w:rPr>
                <w:rFonts w:hint="eastAsia" w:ascii="Times New Roman"/>
                <w:color w:val="000000" w:themeColor="text1"/>
                <w:sz w:val="21"/>
                <w:lang w:val="en-US" w:eastAsia="zh-CN"/>
                <w14:textFill>
                  <w14:solidFill>
                    <w14:schemeClr w14:val="tx1"/>
                  </w14:solidFill>
                </w14:textFill>
              </w:rPr>
              <w:t>11</w:t>
            </w:r>
          </w:p>
        </w:tc>
        <w:tc>
          <w:tcPr>
            <w:tcW w:w="825" w:type="pct"/>
            <w:shd w:val="clear" w:color="auto" w:fill="auto"/>
            <w:vAlign w:val="top"/>
          </w:tcPr>
          <w:p w14:paraId="58CAB5AF">
            <w:pPr>
              <w:pStyle w:val="41"/>
              <w:spacing w:before="24" w:after="24" w:line="240" w:lineRule="auto"/>
              <w:ind w:left="420" w:leftChars="0" w:hanging="420" w:hangingChars="200"/>
              <w:rPr>
                <w:rFonts w:hint="eastAsia" w:ascii="Times New Roman" w:eastAsia="宋体"/>
                <w:color w:val="000000" w:themeColor="text1"/>
                <w:sz w:val="21"/>
                <w:lang w:val="en-US" w:eastAsia="zh-CN"/>
                <w14:textFill>
                  <w14:solidFill>
                    <w14:schemeClr w14:val="tx1"/>
                  </w14:solidFill>
                </w14:textFill>
              </w:rPr>
            </w:pPr>
            <w:r>
              <w:rPr>
                <w:rFonts w:hint="eastAsia" w:ascii="Times New Roman"/>
                <w:color w:val="000000" w:themeColor="text1"/>
                <w:sz w:val="21"/>
                <w:lang w:val="en-US" w:eastAsia="zh-CN"/>
                <w14:textFill>
                  <w14:solidFill>
                    <w14:schemeClr w14:val="tx1"/>
                  </w14:solidFill>
                </w14:textFill>
              </w:rPr>
              <w:t>黑果枸杞</w:t>
            </w:r>
          </w:p>
        </w:tc>
        <w:tc>
          <w:tcPr>
            <w:tcW w:w="3248" w:type="pct"/>
            <w:shd w:val="clear" w:color="auto" w:fill="auto"/>
            <w:vAlign w:val="top"/>
          </w:tcPr>
          <w:p w14:paraId="0651903C">
            <w:pPr>
              <w:pStyle w:val="41"/>
              <w:spacing w:before="24" w:after="24" w:line="240" w:lineRule="auto"/>
              <w:ind w:left="420" w:leftChars="0" w:hanging="420" w:hangingChars="200"/>
              <w:rPr>
                <w:rFonts w:hint="default" w:ascii="Times New Roman" w:eastAsia="宋体"/>
                <w:i/>
                <w:iCs/>
                <w:color w:val="000000" w:themeColor="text1"/>
                <w:sz w:val="21"/>
                <w:lang w:val="en-US" w:eastAsia="zh-CN"/>
                <w14:textFill>
                  <w14:solidFill>
                    <w14:schemeClr w14:val="tx1"/>
                  </w14:solidFill>
                </w14:textFill>
              </w:rPr>
            </w:pPr>
            <w:r>
              <w:rPr>
                <w:rFonts w:hint="eastAsia" w:ascii="Times New Roman"/>
                <w:i/>
                <w:iCs/>
                <w:color w:val="000000" w:themeColor="text1"/>
                <w:sz w:val="21"/>
                <w:lang w:val="en-US" w:eastAsia="zh-CN"/>
                <w14:textFill>
                  <w14:solidFill>
                    <w14:schemeClr w14:val="tx1"/>
                  </w14:solidFill>
                </w14:textFill>
              </w:rPr>
              <w:t>Lycium ruthenicum</w:t>
            </w:r>
          </w:p>
        </w:tc>
        <w:tc>
          <w:tcPr>
            <w:tcW w:w="469" w:type="pct"/>
            <w:shd w:val="clear" w:color="auto" w:fill="auto"/>
            <w:vAlign w:val="top"/>
          </w:tcPr>
          <w:p w14:paraId="16C88237">
            <w:pPr>
              <w:pStyle w:val="41"/>
              <w:spacing w:before="24" w:after="24" w:line="240" w:lineRule="auto"/>
              <w:ind w:left="420" w:leftChars="0" w:hanging="420" w:hangingChars="200"/>
              <w:rPr>
                <w:rFonts w:hint="eastAsia" w:ascii="Times New Roman" w:eastAsia="宋体" w:cs="Times New Roman"/>
                <w:color w:val="000000" w:themeColor="text1"/>
                <w:sz w:val="21"/>
                <w:lang w:val="en-US" w:eastAsia="zh-CN"/>
                <w14:textFill>
                  <w14:solidFill>
                    <w14:schemeClr w14:val="tx1"/>
                  </w14:solidFill>
                </w14:textFill>
              </w:rPr>
            </w:pPr>
            <w:r>
              <w:rPr>
                <w:rFonts w:hint="eastAsia" w:ascii="Times New Roman" w:cs="Times New Roman"/>
                <w:color w:val="000000" w:themeColor="text1"/>
                <w:sz w:val="21"/>
                <w:lang w:val="en-US" w:eastAsia="zh-CN"/>
                <w14:textFill>
                  <w14:solidFill>
                    <w14:schemeClr w14:val="tx1"/>
                  </w14:solidFill>
                </w14:textFill>
              </w:rPr>
              <w:t>+</w:t>
            </w:r>
          </w:p>
        </w:tc>
      </w:tr>
      <w:tr w14:paraId="09EC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56" w:type="pct"/>
            <w:shd w:val="clear" w:color="auto" w:fill="auto"/>
            <w:vAlign w:val="top"/>
          </w:tcPr>
          <w:p w14:paraId="5D646EEF">
            <w:pPr>
              <w:pStyle w:val="41"/>
              <w:spacing w:before="24" w:after="24" w:line="240" w:lineRule="auto"/>
              <w:ind w:left="420" w:leftChars="0" w:hanging="420" w:hangingChars="200"/>
              <w:rPr>
                <w:rFonts w:hint="default" w:ascii="Times New Roman" w:eastAsia="宋体"/>
                <w:color w:val="000000" w:themeColor="text1"/>
                <w:sz w:val="21"/>
                <w:lang w:val="en-US" w:eastAsia="zh-CN"/>
                <w14:textFill>
                  <w14:solidFill>
                    <w14:schemeClr w14:val="tx1"/>
                  </w14:solidFill>
                </w14:textFill>
              </w:rPr>
            </w:pPr>
            <w:r>
              <w:rPr>
                <w:rFonts w:hint="eastAsia" w:ascii="Times New Roman"/>
                <w:color w:val="000000" w:themeColor="text1"/>
                <w:sz w:val="21"/>
                <w:lang w:val="en-US" w:eastAsia="zh-CN"/>
                <w14:textFill>
                  <w14:solidFill>
                    <w14:schemeClr w14:val="tx1"/>
                  </w14:solidFill>
                </w14:textFill>
              </w:rPr>
              <w:t>12</w:t>
            </w:r>
          </w:p>
        </w:tc>
        <w:tc>
          <w:tcPr>
            <w:tcW w:w="825" w:type="pct"/>
            <w:shd w:val="clear" w:color="auto" w:fill="auto"/>
            <w:vAlign w:val="top"/>
          </w:tcPr>
          <w:p w14:paraId="551856D4">
            <w:pPr>
              <w:pStyle w:val="41"/>
              <w:spacing w:before="24" w:after="24" w:line="240" w:lineRule="auto"/>
              <w:ind w:left="420" w:leftChars="0" w:hanging="420" w:hangingChars="200"/>
              <w:rPr>
                <w:rFonts w:ascii="Times New Roman"/>
                <w:color w:val="000000" w:themeColor="text1"/>
                <w:sz w:val="21"/>
                <w14:textFill>
                  <w14:solidFill>
                    <w14:schemeClr w14:val="tx1"/>
                  </w14:solidFill>
                </w14:textFill>
              </w:rPr>
            </w:pPr>
            <w:r>
              <w:rPr>
                <w:rFonts w:hint="default" w:ascii="Times New Roman"/>
                <w:color w:val="000000" w:themeColor="text1"/>
                <w:sz w:val="21"/>
                <w:lang w:val="en-US" w:eastAsia="zh-CN"/>
                <w14:textFill>
                  <w14:solidFill>
                    <w14:schemeClr w14:val="tx1"/>
                  </w14:solidFill>
                </w14:textFill>
              </w:rPr>
              <w:t>胀果甘草</w:t>
            </w:r>
          </w:p>
        </w:tc>
        <w:tc>
          <w:tcPr>
            <w:tcW w:w="3248" w:type="pct"/>
            <w:shd w:val="clear" w:color="auto" w:fill="auto"/>
            <w:vAlign w:val="top"/>
          </w:tcPr>
          <w:p w14:paraId="280EEC07">
            <w:pPr>
              <w:pStyle w:val="41"/>
              <w:spacing w:before="24" w:after="24" w:line="240" w:lineRule="auto"/>
              <w:ind w:left="420" w:leftChars="0" w:hanging="420" w:hangingChars="200"/>
              <w:rPr>
                <w:rFonts w:hint="default" w:ascii="Times New Roman" w:eastAsia="宋体"/>
                <w:i/>
                <w:iCs/>
                <w:color w:val="000000" w:themeColor="text1"/>
                <w:sz w:val="21"/>
                <w:lang w:val="en-US" w:eastAsia="zh-CN"/>
                <w14:textFill>
                  <w14:solidFill>
                    <w14:schemeClr w14:val="tx1"/>
                  </w14:solidFill>
                </w14:textFill>
              </w:rPr>
            </w:pPr>
            <w:r>
              <w:rPr>
                <w:rFonts w:hint="eastAsia" w:ascii="Times New Roman"/>
                <w:i/>
                <w:iCs/>
                <w:color w:val="000000" w:themeColor="text1"/>
                <w:sz w:val="21"/>
                <w:lang w:val="en-US" w:eastAsia="zh-CN"/>
                <w14:textFill>
                  <w14:solidFill>
                    <w14:schemeClr w14:val="tx1"/>
                  </w14:solidFill>
                </w14:textFill>
              </w:rPr>
              <w:t>Glucyrrhiza inflata</w:t>
            </w:r>
          </w:p>
        </w:tc>
        <w:tc>
          <w:tcPr>
            <w:tcW w:w="469" w:type="pct"/>
            <w:shd w:val="clear" w:color="auto" w:fill="auto"/>
            <w:vAlign w:val="top"/>
          </w:tcPr>
          <w:p w14:paraId="74961698">
            <w:pPr>
              <w:pStyle w:val="41"/>
              <w:spacing w:before="24" w:after="24" w:line="240" w:lineRule="auto"/>
              <w:ind w:left="420" w:leftChars="0" w:hanging="420" w:hangingChars="200"/>
              <w:rPr>
                <w:rFonts w:hint="eastAsia" w:ascii="Times New Roman" w:eastAsia="宋体" w:cs="Times New Roman"/>
                <w:color w:val="000000" w:themeColor="text1"/>
                <w:sz w:val="21"/>
                <w:lang w:val="en-US" w:eastAsia="zh-CN"/>
                <w14:textFill>
                  <w14:solidFill>
                    <w14:schemeClr w14:val="tx1"/>
                  </w14:solidFill>
                </w14:textFill>
              </w:rPr>
            </w:pPr>
            <w:r>
              <w:rPr>
                <w:rFonts w:hint="eastAsia" w:ascii="Times New Roman" w:cs="Times New Roman"/>
                <w:color w:val="000000" w:themeColor="text1"/>
                <w:sz w:val="21"/>
                <w:lang w:val="en-US" w:eastAsia="zh-CN"/>
                <w14:textFill>
                  <w14:solidFill>
                    <w14:schemeClr w14:val="tx1"/>
                  </w14:solidFill>
                </w14:textFill>
              </w:rPr>
              <w:t>+</w:t>
            </w:r>
          </w:p>
        </w:tc>
      </w:tr>
    </w:tbl>
    <w:p w14:paraId="027D1B3F">
      <w:pPr>
        <w:pStyle w:val="41"/>
        <w:spacing w:before="24" w:after="24"/>
        <w:jc w:val="both"/>
        <w:rPr>
          <w:color w:val="000000" w:themeColor="text1"/>
          <w14:textFill>
            <w14:solidFill>
              <w14:schemeClr w14:val="tx1"/>
            </w14:solidFill>
          </w14:textFill>
        </w:rPr>
      </w:pPr>
      <w:r>
        <w:rPr>
          <w:color w:val="000000" w:themeColor="text1"/>
          <w:sz w:val="18"/>
          <w:szCs w:val="18"/>
          <w14:textFill>
            <w14:solidFill>
              <w14:schemeClr w14:val="tx1"/>
            </w14:solidFill>
          </w14:textFill>
        </w:rPr>
        <w:t>注：++多见，+少见。</w:t>
      </w:r>
    </w:p>
    <w:p w14:paraId="148AE1E8">
      <w:pPr>
        <w:adjustRightInd w:val="0"/>
        <w:snapToGrid w:val="0"/>
        <w:spacing w:line="360" w:lineRule="auto"/>
        <w:ind w:firstLine="48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（3）保护植物</w:t>
      </w:r>
    </w:p>
    <w:p w14:paraId="433714AC">
      <w:pPr>
        <w:adjustRightInd w:val="0"/>
        <w:snapToGrid w:val="0"/>
        <w:ind w:firstLine="480"/>
        <w:rPr>
          <w:rFonts w:hint="eastAsia"/>
          <w:color w:val="000000" w:themeColor="text1"/>
          <w:kern w:val="0"/>
          <w:lang w:val="en-US" w:eastAsia="zh-CN" w:bidi="ar"/>
          <w14:textFill>
            <w14:solidFill>
              <w14:schemeClr w14:val="tx1"/>
            </w14:solidFill>
          </w14:textFill>
        </w:rPr>
      </w:pPr>
      <w:r>
        <w:rPr>
          <w:color w:val="000000" w:themeColor="text1"/>
          <w:kern w:val="0"/>
          <w:sz w:val="24"/>
          <w:lang w:bidi="ar"/>
          <w14:textFill>
            <w14:solidFill>
              <w14:schemeClr w14:val="tx1"/>
            </w14:solidFill>
          </w14:textFill>
        </w:rPr>
        <w:t>根据《国家重点保护野生植物名录》（国家林业局、农业部2021年第15号）、</w:t>
      </w:r>
      <w:r>
        <w:rPr>
          <w:color w:val="000000" w:themeColor="text1"/>
          <w:kern w:val="0"/>
          <w:lang w:bidi="ar"/>
          <w14:textFill>
            <w14:solidFill>
              <w14:schemeClr w14:val="tx1"/>
            </w14:solidFill>
          </w14:textFill>
        </w:rPr>
        <w:t>《新疆国家重点保护野生植物名录》</w:t>
      </w:r>
      <w:r>
        <w:rPr>
          <w:rFonts w:hint="eastAsia"/>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新林护字〔2022〕8号</w:t>
      </w:r>
      <w:r>
        <w:rPr>
          <w:rFonts w:hint="eastAsia"/>
          <w:color w:val="000000" w:themeColor="text1"/>
          <w:kern w:val="0"/>
          <w:lang w:bidi="ar"/>
          <w14:textFill>
            <w14:solidFill>
              <w14:schemeClr w14:val="tx1"/>
            </w14:solidFill>
          </w14:textFill>
        </w:rPr>
        <w:t>）和</w:t>
      </w:r>
      <w:r>
        <w:rPr>
          <w:color w:val="000000" w:themeColor="text1"/>
          <w:kern w:val="0"/>
          <w:lang w:bidi="ar"/>
          <w14:textFill>
            <w14:solidFill>
              <w14:schemeClr w14:val="tx1"/>
            </w14:solidFill>
          </w14:textFill>
        </w:rPr>
        <w:t>《新疆维吾尔自治区重点保护野生植物名录》（新政发〔2023〕63号）中</w:t>
      </w:r>
      <w:r>
        <w:rPr>
          <w:rFonts w:hint="eastAsia"/>
          <w:color w:val="000000" w:themeColor="text1"/>
          <w:kern w:val="0"/>
          <w:lang w:bidi="ar"/>
          <w14:textFill>
            <w14:solidFill>
              <w14:schemeClr w14:val="tx1"/>
            </w14:solidFill>
          </w14:textFill>
        </w:rPr>
        <w:t>，项目评价范围内</w:t>
      </w:r>
      <w:r>
        <w:rPr>
          <w:rFonts w:hint="eastAsia"/>
          <w:color w:val="000000" w:themeColor="text1"/>
          <w:kern w:val="0"/>
          <w:lang w:val="en-US" w:eastAsia="zh-CN" w:bidi="ar"/>
          <w14:textFill>
            <w14:solidFill>
              <w14:schemeClr w14:val="tx1"/>
            </w14:solidFill>
          </w14:textFill>
        </w:rPr>
        <w:t>分布有国家二级保护野生植物，为黑果枸杞和胀果甘草。无</w:t>
      </w:r>
      <w:r>
        <w:rPr>
          <w:rFonts w:hint="eastAsia"/>
          <w:color w:val="000000" w:themeColor="text1"/>
          <w:kern w:val="0"/>
          <w:lang w:bidi="ar"/>
          <w14:textFill>
            <w14:solidFill>
              <w14:schemeClr w14:val="tx1"/>
            </w14:solidFill>
          </w14:textFill>
        </w:rPr>
        <w:t>自治区级重点保护野生植物。</w:t>
      </w:r>
      <w:r>
        <w:rPr>
          <w:rFonts w:hint="eastAsia"/>
          <w:color w:val="000000" w:themeColor="text1"/>
          <w:kern w:val="0"/>
          <w:lang w:val="en-US" w:eastAsia="zh-CN" w:bidi="ar"/>
          <w14:textFill>
            <w14:solidFill>
              <w14:schemeClr w14:val="tx1"/>
            </w14:solidFill>
          </w14:textFill>
        </w:rPr>
        <w:t>具体野生植物保护级别见表4.5-6。</w:t>
      </w:r>
    </w:p>
    <w:p w14:paraId="5671605A">
      <w:pPr>
        <w:adjustRightInd w:val="0"/>
        <w:snapToGrid w:val="0"/>
        <w:ind w:left="0" w:leftChars="0" w:firstLine="0" w:firstLineChars="0"/>
        <w:jc w:val="center"/>
        <w:rPr>
          <w:rFonts w:hint="default"/>
          <w:b/>
          <w:bCs/>
          <w:color w:val="000000" w:themeColor="text1"/>
          <w:kern w:val="0"/>
          <w:sz w:val="21"/>
          <w:szCs w:val="21"/>
          <w:lang w:val="en-US" w:eastAsia="zh-CN" w:bidi="ar"/>
          <w14:textFill>
            <w14:solidFill>
              <w14:schemeClr w14:val="tx1"/>
            </w14:solidFill>
          </w14:textFill>
        </w:rPr>
      </w:pPr>
      <w:r>
        <w:rPr>
          <w:rFonts w:hint="eastAsia"/>
          <w:b/>
          <w:bCs/>
          <w:color w:val="000000" w:themeColor="text1"/>
          <w:kern w:val="0"/>
          <w:sz w:val="21"/>
          <w:szCs w:val="21"/>
          <w:lang w:val="en-US" w:eastAsia="zh-CN" w:bidi="ar"/>
          <w14:textFill>
            <w14:solidFill>
              <w14:schemeClr w14:val="tx1"/>
            </w14:solidFill>
          </w14:textFill>
        </w:rPr>
        <w:t>表4.5-6  重要野生植物统计表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1163"/>
        <w:gridCol w:w="725"/>
        <w:gridCol w:w="987"/>
        <w:gridCol w:w="813"/>
        <w:gridCol w:w="1050"/>
        <w:gridCol w:w="1187"/>
        <w:gridCol w:w="1092"/>
        <w:gridCol w:w="899"/>
      </w:tblGrid>
      <w:tr w14:paraId="4F37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dxa"/>
            <w:vAlign w:val="center"/>
          </w:tcPr>
          <w:p w14:paraId="55FAD8E7">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序号</w:t>
            </w:r>
          </w:p>
        </w:tc>
        <w:tc>
          <w:tcPr>
            <w:tcW w:w="1163" w:type="dxa"/>
            <w:vAlign w:val="center"/>
          </w:tcPr>
          <w:p w14:paraId="722126C2">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物种名称（中文名/拉丁名）</w:t>
            </w:r>
          </w:p>
        </w:tc>
        <w:tc>
          <w:tcPr>
            <w:tcW w:w="725" w:type="dxa"/>
            <w:vAlign w:val="center"/>
          </w:tcPr>
          <w:p w14:paraId="4B19D4A0">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保护级别</w:t>
            </w:r>
          </w:p>
        </w:tc>
        <w:tc>
          <w:tcPr>
            <w:tcW w:w="987" w:type="dxa"/>
            <w:vAlign w:val="center"/>
          </w:tcPr>
          <w:p w14:paraId="172AEEBF">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濒危等级</w:t>
            </w:r>
          </w:p>
        </w:tc>
        <w:tc>
          <w:tcPr>
            <w:tcW w:w="813" w:type="dxa"/>
            <w:vAlign w:val="center"/>
          </w:tcPr>
          <w:p w14:paraId="2C8423D7">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特有种（是/否）</w:t>
            </w:r>
          </w:p>
        </w:tc>
        <w:tc>
          <w:tcPr>
            <w:tcW w:w="1050" w:type="dxa"/>
            <w:vAlign w:val="center"/>
          </w:tcPr>
          <w:p w14:paraId="7B9AF9B1">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极小种群野生植物（是/否）</w:t>
            </w:r>
          </w:p>
        </w:tc>
        <w:tc>
          <w:tcPr>
            <w:tcW w:w="1187" w:type="dxa"/>
            <w:vAlign w:val="center"/>
          </w:tcPr>
          <w:p w14:paraId="011F5ED0">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分布区域</w:t>
            </w:r>
          </w:p>
        </w:tc>
        <w:tc>
          <w:tcPr>
            <w:tcW w:w="1092" w:type="dxa"/>
            <w:vAlign w:val="center"/>
          </w:tcPr>
          <w:p w14:paraId="4163882D">
            <w:pPr>
              <w:keepNext w:val="0"/>
              <w:keepLines w:val="0"/>
              <w:pageBreakBefore w:val="0"/>
              <w:widowControl/>
              <w:suppressLineNumbers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资料来源</w:t>
            </w:r>
          </w:p>
        </w:tc>
        <w:tc>
          <w:tcPr>
            <w:tcW w:w="899" w:type="dxa"/>
            <w:vAlign w:val="center"/>
          </w:tcPr>
          <w:p w14:paraId="3B1E123B">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vertAlign w:val="baseline"/>
                <w:lang w:val="en-US" w:eastAsia="zh-CN" w:bidi="ar"/>
                <w14:textFill>
                  <w14:solidFill>
                    <w14:schemeClr w14:val="tx1"/>
                  </w14:solidFill>
                </w14:textFill>
              </w:rPr>
              <w:t>工程占用情况（是/否）</w:t>
            </w:r>
          </w:p>
        </w:tc>
      </w:tr>
      <w:tr w14:paraId="04C5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dxa"/>
            <w:vAlign w:val="center"/>
          </w:tcPr>
          <w:p w14:paraId="4DF27F87">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1</w:t>
            </w:r>
          </w:p>
        </w:tc>
        <w:tc>
          <w:tcPr>
            <w:tcW w:w="1163" w:type="dxa"/>
            <w:vAlign w:val="center"/>
          </w:tcPr>
          <w:p w14:paraId="4F31F2A9">
            <w:pPr>
              <w:pStyle w:val="41"/>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黑果枸杞/</w:t>
            </w:r>
            <w:r>
              <w:rPr>
                <w:rFonts w:hint="default" w:ascii="Times New Roman" w:hAnsi="Times New Roman" w:cs="Times New Roman"/>
                <w:i/>
                <w:iCs/>
                <w:color w:val="000000" w:themeColor="text1"/>
                <w:sz w:val="21"/>
                <w:szCs w:val="21"/>
                <w:lang w:val="en-US" w:eastAsia="zh-CN"/>
                <w14:textFill>
                  <w14:solidFill>
                    <w14:schemeClr w14:val="tx1"/>
                  </w14:solidFill>
                </w14:textFill>
              </w:rPr>
              <w:t>Lycium ruthenicum</w:t>
            </w:r>
          </w:p>
        </w:tc>
        <w:tc>
          <w:tcPr>
            <w:tcW w:w="725" w:type="dxa"/>
            <w:vAlign w:val="center"/>
          </w:tcPr>
          <w:p w14:paraId="1501081E">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国家二级</w:t>
            </w:r>
          </w:p>
        </w:tc>
        <w:tc>
          <w:tcPr>
            <w:tcW w:w="987" w:type="dxa"/>
            <w:vAlign w:val="center"/>
          </w:tcPr>
          <w:p w14:paraId="47006EBD">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无危（LC）</w:t>
            </w:r>
          </w:p>
        </w:tc>
        <w:tc>
          <w:tcPr>
            <w:tcW w:w="813" w:type="dxa"/>
            <w:vAlign w:val="center"/>
          </w:tcPr>
          <w:p w14:paraId="43AE16EE">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否</w:t>
            </w:r>
          </w:p>
        </w:tc>
        <w:tc>
          <w:tcPr>
            <w:tcW w:w="1050" w:type="dxa"/>
            <w:vAlign w:val="center"/>
          </w:tcPr>
          <w:p w14:paraId="44F25384">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否</w:t>
            </w:r>
          </w:p>
        </w:tc>
        <w:tc>
          <w:tcPr>
            <w:tcW w:w="1187" w:type="dxa"/>
            <w:vAlign w:val="center"/>
          </w:tcPr>
          <w:p w14:paraId="3CA3BB10">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耐干旱，常盐碱土、荒地或路旁</w:t>
            </w:r>
          </w:p>
        </w:tc>
        <w:tc>
          <w:tcPr>
            <w:tcW w:w="1092" w:type="dxa"/>
            <w:vAlign w:val="center"/>
          </w:tcPr>
          <w:p w14:paraId="0FA76E53">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环评现场调查、文献记录、历史调查资料</w:t>
            </w:r>
          </w:p>
        </w:tc>
        <w:tc>
          <w:tcPr>
            <w:tcW w:w="899" w:type="dxa"/>
            <w:vAlign w:val="center"/>
          </w:tcPr>
          <w:p w14:paraId="4D0FF129">
            <w:pPr>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否</w:t>
            </w:r>
          </w:p>
        </w:tc>
      </w:tr>
      <w:tr w14:paraId="169D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dxa"/>
            <w:vAlign w:val="center"/>
          </w:tcPr>
          <w:p w14:paraId="3CCC022F">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2</w:t>
            </w:r>
          </w:p>
        </w:tc>
        <w:tc>
          <w:tcPr>
            <w:tcW w:w="1163" w:type="dxa"/>
            <w:vAlign w:val="center"/>
          </w:tcPr>
          <w:p w14:paraId="6C1B10BB">
            <w:pPr>
              <w:pStyle w:val="41"/>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胀果甘草/</w:t>
            </w:r>
            <w:r>
              <w:rPr>
                <w:rFonts w:hint="default" w:ascii="Times New Roman" w:hAnsi="Times New Roman" w:cs="Times New Roman"/>
                <w:i/>
                <w:iCs/>
                <w:color w:val="000000" w:themeColor="text1"/>
                <w:sz w:val="21"/>
                <w:szCs w:val="21"/>
                <w:lang w:val="en-US" w:eastAsia="zh-CN"/>
                <w14:textFill>
                  <w14:solidFill>
                    <w14:schemeClr w14:val="tx1"/>
                  </w14:solidFill>
                </w14:textFill>
              </w:rPr>
              <w:t>Glucyrrhiza inflata</w:t>
            </w:r>
          </w:p>
        </w:tc>
        <w:tc>
          <w:tcPr>
            <w:tcW w:w="725" w:type="dxa"/>
            <w:vAlign w:val="center"/>
          </w:tcPr>
          <w:p w14:paraId="5E35940E">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国家二级</w:t>
            </w:r>
          </w:p>
        </w:tc>
        <w:tc>
          <w:tcPr>
            <w:tcW w:w="987" w:type="dxa"/>
            <w:vAlign w:val="center"/>
          </w:tcPr>
          <w:p w14:paraId="1FA1B410">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无危（LC）</w:t>
            </w:r>
          </w:p>
        </w:tc>
        <w:tc>
          <w:tcPr>
            <w:tcW w:w="813" w:type="dxa"/>
            <w:vAlign w:val="center"/>
          </w:tcPr>
          <w:p w14:paraId="5D0342A9">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否</w:t>
            </w:r>
          </w:p>
        </w:tc>
        <w:tc>
          <w:tcPr>
            <w:tcW w:w="1050" w:type="dxa"/>
            <w:vAlign w:val="center"/>
          </w:tcPr>
          <w:p w14:paraId="6ECBA50D">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否</w:t>
            </w:r>
          </w:p>
        </w:tc>
        <w:tc>
          <w:tcPr>
            <w:tcW w:w="1187" w:type="dxa"/>
            <w:vAlign w:val="center"/>
          </w:tcPr>
          <w:p w14:paraId="3858474B">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生于干旱沙地、河岸沙质地、山坡草地及盐渍化土壤中</w:t>
            </w:r>
          </w:p>
        </w:tc>
        <w:tc>
          <w:tcPr>
            <w:tcW w:w="1092" w:type="dxa"/>
            <w:vAlign w:val="center"/>
          </w:tcPr>
          <w:p w14:paraId="338F14F0">
            <w:pPr>
              <w:keepNext w:val="0"/>
              <w:keepLines w:val="0"/>
              <w:pageBreakBefore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环评现场调查、文献记录、历史调查资料</w:t>
            </w:r>
          </w:p>
        </w:tc>
        <w:tc>
          <w:tcPr>
            <w:tcW w:w="899" w:type="dxa"/>
            <w:vAlign w:val="center"/>
          </w:tcPr>
          <w:p w14:paraId="07E2AF7B">
            <w:pPr>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vertAlign w:val="baseline"/>
                <w:lang w:val="en-US" w:eastAsia="zh-CN" w:bidi="ar"/>
                <w14:textFill>
                  <w14:solidFill>
                    <w14:schemeClr w14:val="tx1"/>
                  </w14:solidFill>
                </w14:textFill>
              </w:rPr>
              <w:t>否</w:t>
            </w:r>
          </w:p>
        </w:tc>
      </w:tr>
    </w:tbl>
    <w:p w14:paraId="5D80547E">
      <w:pPr>
        <w:adjustRightInd w:val="0"/>
        <w:snapToGrid w:val="0"/>
        <w:ind w:firstLine="480"/>
        <w:rPr>
          <w:rFonts w:hint="default" w:eastAsia="宋体"/>
          <w:color w:val="000000" w:themeColor="text1"/>
          <w:kern w:val="0"/>
          <w:lang w:val="en-US" w:eastAsia="zh-CN" w:bidi="ar"/>
          <w14:textFill>
            <w14:solidFill>
              <w14:schemeClr w14:val="tx1"/>
            </w14:solidFill>
          </w14:textFill>
        </w:rPr>
      </w:pPr>
      <w:r>
        <w:rPr>
          <w:rFonts w:hint="eastAsia"/>
          <w:color w:val="000000" w:themeColor="text1"/>
          <w:kern w:val="0"/>
          <w:lang w:eastAsia="zh-CN" w:bidi="ar"/>
          <w14:textFill>
            <w14:solidFill>
              <w14:schemeClr w14:val="tx1"/>
            </w14:solidFill>
          </w14:textFill>
        </w:rPr>
        <w:t>（</w:t>
      </w:r>
      <w:r>
        <w:rPr>
          <w:rFonts w:hint="eastAsia"/>
          <w:color w:val="000000" w:themeColor="text1"/>
          <w:kern w:val="0"/>
          <w:lang w:val="en-US" w:eastAsia="zh-CN" w:bidi="ar"/>
          <w14:textFill>
            <w14:solidFill>
              <w14:schemeClr w14:val="tx1"/>
            </w14:solidFill>
          </w14:textFill>
        </w:rPr>
        <w:t>4</w:t>
      </w:r>
      <w:r>
        <w:rPr>
          <w:rFonts w:hint="eastAsia"/>
          <w:color w:val="000000" w:themeColor="text1"/>
          <w:kern w:val="0"/>
          <w:lang w:eastAsia="zh-CN" w:bidi="ar"/>
          <w14:textFill>
            <w14:solidFill>
              <w14:schemeClr w14:val="tx1"/>
            </w14:solidFill>
          </w14:textFill>
        </w:rPr>
        <w:t>）</w:t>
      </w:r>
      <w:r>
        <w:rPr>
          <w:rFonts w:hint="eastAsia"/>
          <w:color w:val="000000" w:themeColor="text1"/>
          <w:kern w:val="0"/>
          <w:lang w:val="en-US" w:eastAsia="zh-CN" w:bidi="ar"/>
          <w14:textFill>
            <w14:solidFill>
              <w14:schemeClr w14:val="tx1"/>
            </w14:solidFill>
          </w14:textFill>
        </w:rPr>
        <w:t>公益林</w:t>
      </w:r>
    </w:p>
    <w:p w14:paraId="2DBF9AAD">
      <w:pPr>
        <w:adjustRightInd w:val="0"/>
        <w:snapToGrid w:val="0"/>
        <w:ind w:firstLine="480"/>
        <w:rPr>
          <w:rFonts w:hint="eastAsia"/>
          <w:color w:val="000000" w:themeColor="text1"/>
          <w:kern w:val="0"/>
          <w:lang w:bidi="ar"/>
          <w14:textFill>
            <w14:solidFill>
              <w14:schemeClr w14:val="tx1"/>
            </w14:solidFill>
          </w14:textFill>
        </w:rPr>
      </w:pPr>
      <w:r>
        <w:rPr>
          <w:rFonts w:hint="eastAsia"/>
          <w:color w:val="000000" w:themeColor="text1"/>
          <w:kern w:val="0"/>
          <w:lang w:bidi="ar"/>
          <w14:textFill>
            <w14:solidFill>
              <w14:schemeClr w14:val="tx1"/>
            </w14:solidFill>
          </w14:textFill>
        </w:rPr>
        <w:t>拟建线路生态影响评价范围内的林地均为防风固沙类生态公益林，林种均为荒漠灌木林，树种主要为柽柳等，呈条带状斑块分布，拟建线路评价范围内分布的生态公益林面积小</w:t>
      </w:r>
      <w:r>
        <w:rPr>
          <w:rFonts w:hint="eastAsia"/>
          <w:color w:val="000000" w:themeColor="text1"/>
          <w:kern w:val="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4"/>
          <w:szCs w:val="24"/>
          <w:lang w:val="en-US" w:eastAsia="zh-CN"/>
          <w14:textFill>
            <w14:solidFill>
              <w14:schemeClr w14:val="tx1"/>
            </w14:solidFill>
          </w14:textFill>
        </w:rPr>
        <w:t>评价范围</w:t>
      </w:r>
      <w:r>
        <w:rPr>
          <w:rFonts w:hint="eastAsia" w:cs="Times New Roman" w:eastAsiaTheme="minorEastAsia"/>
          <w:color w:val="000000" w:themeColor="text1"/>
          <w:kern w:val="0"/>
          <w:sz w:val="24"/>
          <w:szCs w:val="24"/>
          <w:lang w:val="en-US" w:eastAsia="zh-CN"/>
          <w14:textFill>
            <w14:solidFill>
              <w14:schemeClr w14:val="tx1"/>
            </w14:solidFill>
          </w14:textFill>
        </w:rPr>
        <w:t>内占地面积为8.4751hm</w:t>
      </w:r>
      <w:r>
        <w:rPr>
          <w:rFonts w:hint="eastAsia" w:cs="Times New Roman" w:eastAsiaTheme="minorEastAsia"/>
          <w:color w:val="000000" w:themeColor="text1"/>
          <w:kern w:val="0"/>
          <w:sz w:val="24"/>
          <w:szCs w:val="24"/>
          <w:vertAlign w:val="superscript"/>
          <w:lang w:val="en-US" w:eastAsia="zh-CN"/>
          <w14:textFill>
            <w14:solidFill>
              <w14:schemeClr w14:val="tx1"/>
            </w14:solidFill>
          </w14:textFill>
        </w:rPr>
        <w:t>2</w:t>
      </w:r>
      <w:r>
        <w:rPr>
          <w:rFonts w:hint="eastAsia"/>
          <w:color w:val="000000" w:themeColor="text1"/>
          <w:kern w:val="0"/>
          <w:lang w:eastAsia="zh-CN" w:bidi="ar"/>
          <w14:textFill>
            <w14:solidFill>
              <w14:schemeClr w14:val="tx1"/>
            </w14:solidFill>
          </w14:textFill>
        </w:rPr>
        <w:t>）</w:t>
      </w:r>
      <w:r>
        <w:rPr>
          <w:rFonts w:hint="eastAsia"/>
          <w:color w:val="000000" w:themeColor="text1"/>
          <w:kern w:val="0"/>
          <w:lang w:bidi="ar"/>
          <w14:textFill>
            <w14:solidFill>
              <w14:schemeClr w14:val="tx1"/>
            </w14:solidFill>
          </w14:textFill>
        </w:rPr>
        <w:t>、林种单一，</w:t>
      </w:r>
      <w:r>
        <w:rPr>
          <w:rFonts w:hint="eastAsia"/>
          <w:color w:val="000000" w:themeColor="text1"/>
          <w:kern w:val="0"/>
          <w:lang w:val="en-US" w:eastAsia="zh-CN" w:bidi="ar"/>
          <w14:textFill>
            <w14:solidFill>
              <w14:schemeClr w14:val="tx1"/>
            </w14:solidFill>
          </w14:textFill>
        </w:rPr>
        <w:t>郁闭度（覆盖度）50%，</w:t>
      </w:r>
      <w:r>
        <w:rPr>
          <w:rFonts w:hint="eastAsia"/>
          <w:color w:val="000000" w:themeColor="text1"/>
          <w:kern w:val="0"/>
          <w:lang w:bidi="ar"/>
          <w14:textFill>
            <w14:solidFill>
              <w14:schemeClr w14:val="tx1"/>
            </w14:solidFill>
          </w14:textFill>
        </w:rPr>
        <w:t>但对维护沿线荒漠生态系统平衡、防治荒漠化程度加剧等方面具有重要的作用和意义，因此，在线路建设过程中应对生态公益林重点保护。</w:t>
      </w:r>
    </w:p>
    <w:bookmarkEnd w:id="822"/>
    <w:bookmarkEnd w:id="823"/>
    <w:bookmarkEnd w:id="824"/>
    <w:bookmarkEnd w:id="825"/>
    <w:bookmarkEnd w:id="826"/>
    <w:bookmarkEnd w:id="827"/>
    <w:bookmarkEnd w:id="828"/>
    <w:bookmarkEnd w:id="829"/>
    <w:bookmarkEnd w:id="830"/>
    <w:bookmarkEnd w:id="831"/>
    <w:bookmarkEnd w:id="832"/>
    <w:p w14:paraId="3320EA78">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833" w:name="_Toc10969"/>
      <w:bookmarkStart w:id="834" w:name="_Toc24629"/>
      <w:bookmarkStart w:id="835" w:name="_Toc16245"/>
      <w:bookmarkStart w:id="836" w:name="_Toc3686"/>
      <w:bookmarkStart w:id="837" w:name="_Toc12499"/>
      <w:bookmarkStart w:id="838" w:name="_Toc16759"/>
      <w:bookmarkStart w:id="839" w:name="_Toc15227"/>
      <w:bookmarkStart w:id="840" w:name="_Toc15728"/>
      <w:bookmarkStart w:id="841" w:name="_Toc21847"/>
      <w:bookmarkStart w:id="842" w:name="_Toc3306"/>
      <w:bookmarkStart w:id="843" w:name="_Toc15387"/>
      <w:r>
        <w:rPr>
          <w:bCs/>
          <w:color w:val="000000" w:themeColor="text1"/>
          <w:sz w:val="28"/>
          <w:szCs w:val="32"/>
          <w14:textFill>
            <w14:solidFill>
              <w14:schemeClr w14:val="tx1"/>
            </w14:solidFill>
          </w14:textFill>
        </w:rPr>
        <w:t>4.5.</w:t>
      </w:r>
      <w:r>
        <w:rPr>
          <w:rFonts w:hint="eastAsia"/>
          <w:bCs/>
          <w:color w:val="000000" w:themeColor="text1"/>
          <w:sz w:val="28"/>
          <w:szCs w:val="32"/>
          <w14:textFill>
            <w14:solidFill>
              <w14:schemeClr w14:val="tx1"/>
            </w14:solidFill>
          </w14:textFill>
        </w:rPr>
        <w:t xml:space="preserve">4 </w:t>
      </w:r>
      <w:r>
        <w:rPr>
          <w:bCs/>
          <w:color w:val="000000" w:themeColor="text1"/>
          <w:sz w:val="28"/>
          <w:szCs w:val="32"/>
          <w14:textFill>
            <w14:solidFill>
              <w14:schemeClr w14:val="tx1"/>
            </w14:solidFill>
          </w14:textFill>
        </w:rPr>
        <w:t>土壤类型现状</w:t>
      </w:r>
      <w:bookmarkEnd w:id="833"/>
      <w:bookmarkEnd w:id="834"/>
      <w:bookmarkEnd w:id="835"/>
      <w:bookmarkEnd w:id="836"/>
      <w:bookmarkEnd w:id="837"/>
      <w:bookmarkEnd w:id="838"/>
      <w:bookmarkEnd w:id="839"/>
      <w:bookmarkEnd w:id="840"/>
      <w:bookmarkEnd w:id="841"/>
      <w:bookmarkEnd w:id="842"/>
      <w:bookmarkEnd w:id="843"/>
    </w:p>
    <w:p w14:paraId="10CFCB39">
      <w:pPr>
        <w:ind w:firstLine="480"/>
        <w:rPr>
          <w:color w:val="000000" w:themeColor="text1"/>
          <w14:textFill>
            <w14:solidFill>
              <w14:schemeClr w14:val="tx1"/>
            </w14:solidFill>
          </w14:textFill>
        </w:rPr>
      </w:pPr>
      <w:r>
        <w:rPr>
          <w:color w:val="000000" w:themeColor="text1"/>
          <w14:textFill>
            <w14:solidFill>
              <w14:schemeClr w14:val="tx1"/>
            </w14:solidFill>
          </w14:textFill>
        </w:rPr>
        <w:t>本次通过遥感解译与现场调查相结合的方法，对评价区土壤类型进行调查。评价区土壤类型主要为</w:t>
      </w:r>
      <w:r>
        <w:rPr>
          <w:rFonts w:hint="eastAsia"/>
          <w:color w:val="000000" w:themeColor="text1"/>
          <w14:textFill>
            <w14:solidFill>
              <w14:schemeClr w14:val="tx1"/>
            </w14:solidFill>
          </w14:textFill>
        </w:rPr>
        <w:t>棕漠土、内陆盐土</w:t>
      </w:r>
      <w:r>
        <w:rPr>
          <w:color w:val="000000" w:themeColor="text1"/>
          <w14:textFill>
            <w14:solidFill>
              <w14:schemeClr w14:val="tx1"/>
            </w14:solidFill>
          </w14:textFill>
        </w:rPr>
        <w:t>。评价区土地利用类型统计表见表</w:t>
      </w:r>
      <w:r>
        <w:rPr>
          <w:rFonts w:hint="eastAsia"/>
          <w:color w:val="000000" w:themeColor="text1"/>
          <w14:textFill>
            <w14:solidFill>
              <w14:schemeClr w14:val="tx1"/>
            </w14:solidFill>
          </w14:textFill>
        </w:rPr>
        <w:t>4.5-</w:t>
      </w:r>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。土壤类型图见图</w:t>
      </w:r>
      <w:r>
        <w:rPr>
          <w:rFonts w:hint="eastAsia"/>
          <w:color w:val="000000" w:themeColor="text1"/>
          <w14:textFill>
            <w14:solidFill>
              <w14:schemeClr w14:val="tx1"/>
            </w14:solidFill>
          </w14:textFill>
        </w:rPr>
        <w:t>4.5-</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p>
    <w:p w14:paraId="0EB40414">
      <w:pPr>
        <w:pStyle w:val="38"/>
        <w:ind w:firstLine="422"/>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表</w:t>
      </w:r>
      <w:r>
        <w:rPr>
          <w:rFonts w:hint="eastAsia"/>
          <w:bCs/>
          <w:color w:val="000000" w:themeColor="text1"/>
          <w:szCs w:val="21"/>
          <w14:textFill>
            <w14:solidFill>
              <w14:schemeClr w14:val="tx1"/>
            </w14:solidFill>
          </w14:textFill>
        </w:rPr>
        <w:t>4.5-</w:t>
      </w:r>
      <w:r>
        <w:rPr>
          <w:rFonts w:hint="eastAsia"/>
          <w:bCs/>
          <w:color w:val="000000" w:themeColor="text1"/>
          <w:szCs w:val="21"/>
          <w:lang w:val="en-US" w:eastAsia="zh-CN"/>
          <w14:textFill>
            <w14:solidFill>
              <w14:schemeClr w14:val="tx1"/>
            </w14:solidFill>
          </w14:textFill>
        </w:rPr>
        <w:t>7</w:t>
      </w:r>
      <w:r>
        <w:rPr>
          <w:bCs/>
          <w:color w:val="000000" w:themeColor="text1"/>
          <w:szCs w:val="21"/>
          <w14:textFill>
            <w14:solidFill>
              <w14:schemeClr w14:val="tx1"/>
            </w14:solidFill>
          </w14:textFill>
        </w:rPr>
        <w:t xml:space="preserve">  评价区土壤类型统计表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0"/>
        <w:gridCol w:w="1800"/>
        <w:gridCol w:w="2688"/>
        <w:gridCol w:w="2131"/>
      </w:tblGrid>
      <w:tr w14:paraId="319D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pct"/>
          </w:tcPr>
          <w:p w14:paraId="2B0D39DA">
            <w:pPr>
              <w:widowControl/>
              <w:spacing w:line="240" w:lineRule="auto"/>
              <w:ind w:firstLine="0" w:firstLineChars="0"/>
              <w:jc w:val="center"/>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土壤类型</w:t>
            </w:r>
          </w:p>
        </w:tc>
        <w:tc>
          <w:tcPr>
            <w:tcW w:w="1056" w:type="pct"/>
          </w:tcPr>
          <w:p w14:paraId="357117B8">
            <w:pPr>
              <w:widowControl/>
              <w:spacing w:line="240" w:lineRule="auto"/>
              <w:ind w:firstLine="0" w:firstLineChars="0"/>
              <w:jc w:val="center"/>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面积（hm</w:t>
            </w:r>
            <w:r>
              <w:rPr>
                <w:rFonts w:hint="eastAsia"/>
                <w:b/>
                <w:bCs/>
                <w:color w:val="000000" w:themeColor="text1"/>
                <w:kern w:val="0"/>
                <w:sz w:val="21"/>
                <w:szCs w:val="21"/>
                <w:vertAlign w:val="superscript"/>
                <w14:textFill>
                  <w14:solidFill>
                    <w14:schemeClr w14:val="tx1"/>
                  </w14:solidFill>
                </w14:textFill>
              </w:rPr>
              <w:t>2</w:t>
            </w:r>
            <w:r>
              <w:rPr>
                <w:rFonts w:hint="eastAsia"/>
                <w:b/>
                <w:bCs/>
                <w:color w:val="000000" w:themeColor="text1"/>
                <w:kern w:val="0"/>
                <w:sz w:val="21"/>
                <w:szCs w:val="21"/>
                <w14:textFill>
                  <w14:solidFill>
                    <w14:schemeClr w14:val="tx1"/>
                  </w14:solidFill>
                </w14:textFill>
              </w:rPr>
              <w:t>）</w:t>
            </w:r>
          </w:p>
        </w:tc>
        <w:tc>
          <w:tcPr>
            <w:tcW w:w="1577" w:type="pct"/>
          </w:tcPr>
          <w:p w14:paraId="4EA7B82C">
            <w:pPr>
              <w:widowControl/>
              <w:spacing w:line="240" w:lineRule="auto"/>
              <w:ind w:firstLine="0" w:firstLineChars="0"/>
              <w:jc w:val="center"/>
              <w:rPr>
                <w:b/>
                <w:bCs/>
                <w:color w:val="000000" w:themeColor="text1"/>
                <w:kern w:val="0"/>
                <w:sz w:val="21"/>
                <w:szCs w:val="21"/>
                <w14:textFill>
                  <w14:solidFill>
                    <w14:schemeClr w14:val="tx1"/>
                  </w14:solidFill>
                </w14:textFill>
              </w:rPr>
            </w:pPr>
            <w:r>
              <w:rPr>
                <w:rFonts w:hint="eastAsia"/>
                <w:b/>
                <w:bCs/>
                <w:color w:val="000000" w:themeColor="text1"/>
                <w:kern w:val="0"/>
                <w:sz w:val="21"/>
                <w:szCs w:val="21"/>
                <w14:textFill>
                  <w14:solidFill>
                    <w14:schemeClr w14:val="tx1"/>
                  </w14:solidFill>
                </w14:textFill>
              </w:rPr>
              <w:t>占评价区面积比例（%）</w:t>
            </w:r>
          </w:p>
        </w:tc>
        <w:tc>
          <w:tcPr>
            <w:tcW w:w="1250" w:type="pct"/>
            <w:shd w:val="clear" w:color="auto" w:fill="auto"/>
            <w:vAlign w:val="center"/>
          </w:tcPr>
          <w:p w14:paraId="13515105">
            <w:pPr>
              <w:widowControl/>
              <w:spacing w:line="240" w:lineRule="auto"/>
              <w:ind w:firstLine="0" w:firstLineChars="0"/>
              <w:jc w:val="center"/>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分布区域</w:t>
            </w:r>
          </w:p>
        </w:tc>
      </w:tr>
      <w:tr w14:paraId="4125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pct"/>
            <w:vAlign w:val="center"/>
          </w:tcPr>
          <w:p w14:paraId="11FD000C">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内陆盐土</w:t>
            </w:r>
          </w:p>
        </w:tc>
        <w:tc>
          <w:tcPr>
            <w:tcW w:w="1056" w:type="pct"/>
            <w:vAlign w:val="center"/>
          </w:tcPr>
          <w:p w14:paraId="31F79830">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322.86</w:t>
            </w:r>
          </w:p>
        </w:tc>
        <w:tc>
          <w:tcPr>
            <w:tcW w:w="1577" w:type="pct"/>
            <w:vAlign w:val="center"/>
          </w:tcPr>
          <w:p w14:paraId="02963C63">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31.08</w:t>
            </w:r>
          </w:p>
        </w:tc>
        <w:tc>
          <w:tcPr>
            <w:tcW w:w="1250" w:type="pct"/>
            <w:vMerge w:val="restart"/>
            <w:shd w:val="clear" w:color="auto" w:fill="auto"/>
            <w:vAlign w:val="center"/>
          </w:tcPr>
          <w:p w14:paraId="5897585D">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生态评价范围内分布</w:t>
            </w:r>
          </w:p>
        </w:tc>
      </w:tr>
      <w:tr w14:paraId="6AC6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pct"/>
            <w:vAlign w:val="center"/>
          </w:tcPr>
          <w:p w14:paraId="5FC44855">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棕漠土</w:t>
            </w:r>
          </w:p>
        </w:tc>
        <w:tc>
          <w:tcPr>
            <w:tcW w:w="1056" w:type="pct"/>
            <w:vAlign w:val="center"/>
          </w:tcPr>
          <w:p w14:paraId="0817DF04">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715.78</w:t>
            </w:r>
          </w:p>
        </w:tc>
        <w:tc>
          <w:tcPr>
            <w:tcW w:w="1577" w:type="pct"/>
            <w:vAlign w:val="center"/>
          </w:tcPr>
          <w:p w14:paraId="16D352C7">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68.92</w:t>
            </w:r>
          </w:p>
        </w:tc>
        <w:tc>
          <w:tcPr>
            <w:tcW w:w="1250" w:type="pct"/>
            <w:vMerge w:val="continue"/>
            <w:vAlign w:val="center"/>
          </w:tcPr>
          <w:p w14:paraId="441B6A38">
            <w:pPr>
              <w:widowControl/>
              <w:spacing w:line="240" w:lineRule="auto"/>
              <w:ind w:firstLine="0" w:firstLineChars="0"/>
              <w:jc w:val="center"/>
              <w:rPr>
                <w:color w:val="000000" w:themeColor="text1"/>
                <w:kern w:val="0"/>
                <w:sz w:val="21"/>
                <w:szCs w:val="21"/>
                <w14:textFill>
                  <w14:solidFill>
                    <w14:schemeClr w14:val="tx1"/>
                  </w14:solidFill>
                </w14:textFill>
              </w:rPr>
            </w:pPr>
          </w:p>
        </w:tc>
      </w:tr>
      <w:tr w14:paraId="2EDC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pct"/>
            <w:vAlign w:val="center"/>
          </w:tcPr>
          <w:p w14:paraId="653DA2F4">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合计</w:t>
            </w:r>
          </w:p>
        </w:tc>
        <w:tc>
          <w:tcPr>
            <w:tcW w:w="1056" w:type="pct"/>
            <w:vAlign w:val="center"/>
          </w:tcPr>
          <w:p w14:paraId="08A14A2E">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1038.64</w:t>
            </w:r>
          </w:p>
        </w:tc>
        <w:tc>
          <w:tcPr>
            <w:tcW w:w="1577" w:type="pct"/>
            <w:vAlign w:val="center"/>
          </w:tcPr>
          <w:p w14:paraId="2EA76A87">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100</w:t>
            </w:r>
          </w:p>
        </w:tc>
        <w:tc>
          <w:tcPr>
            <w:tcW w:w="1250" w:type="pct"/>
            <w:vMerge w:val="continue"/>
            <w:vAlign w:val="center"/>
          </w:tcPr>
          <w:p w14:paraId="67AE9023">
            <w:pPr>
              <w:widowControl/>
              <w:spacing w:line="240" w:lineRule="auto"/>
              <w:ind w:firstLine="0" w:firstLineChars="0"/>
              <w:jc w:val="center"/>
              <w:rPr>
                <w:color w:val="000000" w:themeColor="text1"/>
                <w:kern w:val="0"/>
                <w:sz w:val="21"/>
                <w:szCs w:val="21"/>
                <w14:textFill>
                  <w14:solidFill>
                    <w14:schemeClr w14:val="tx1"/>
                  </w14:solidFill>
                </w14:textFill>
              </w:rPr>
            </w:pPr>
          </w:p>
        </w:tc>
      </w:tr>
    </w:tbl>
    <w:p w14:paraId="5B2AA428">
      <w:pPr>
        <w:pStyle w:val="4"/>
        <w:keepNext/>
        <w:keepLines/>
        <w:tabs>
          <w:tab w:val="clear" w:pos="907"/>
          <w:tab w:val="clear" w:pos="1034"/>
        </w:tabs>
        <w:adjustRightInd/>
        <w:spacing w:before="156" w:beforeLines="50" w:after="156" w:afterLines="50"/>
        <w:ind w:firstLine="0" w:firstLineChars="0"/>
        <w:jc w:val="both"/>
        <w:rPr>
          <w:color w:val="000000" w:themeColor="text1"/>
          <w:sz w:val="28"/>
          <w:szCs w:val="28"/>
          <w14:textFill>
            <w14:solidFill>
              <w14:schemeClr w14:val="tx1"/>
            </w14:solidFill>
          </w14:textFill>
        </w:rPr>
      </w:pPr>
      <w:bookmarkStart w:id="844" w:name="_Toc23977"/>
      <w:bookmarkStart w:id="845" w:name="_Toc20840"/>
      <w:bookmarkStart w:id="846" w:name="_Toc5340"/>
      <w:bookmarkStart w:id="847" w:name="_Toc20186"/>
      <w:bookmarkStart w:id="848" w:name="_Toc32331"/>
      <w:bookmarkStart w:id="849" w:name="_Toc5315"/>
      <w:bookmarkStart w:id="850" w:name="_Toc11015"/>
      <w:r>
        <w:rPr>
          <w:rFonts w:hint="eastAsia"/>
          <w:color w:val="000000" w:themeColor="text1"/>
          <w:sz w:val="28"/>
          <w:szCs w:val="28"/>
          <w14:textFill>
            <w14:solidFill>
              <w14:schemeClr w14:val="tx1"/>
            </w14:solidFill>
          </w14:textFill>
        </w:rPr>
        <w:t>4.5.5 土地沙化现状</w:t>
      </w:r>
    </w:p>
    <w:p w14:paraId="0DE88BC5">
      <w:pPr>
        <w:kinsoku w:val="0"/>
        <w:ind w:firstLine="48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根据《新疆第六次沙化监测报告》，</w:t>
      </w:r>
      <w:r>
        <w:rPr>
          <w:color w:val="000000" w:themeColor="text1"/>
          <w14:textFill>
            <w14:solidFill>
              <w14:schemeClr w14:val="tx1"/>
            </w14:solidFill>
          </w14:textFill>
        </w:rPr>
        <w:t>新疆国土总面积为16648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97</w:t>
      </w:r>
      <w:r>
        <w:rPr>
          <w:rFonts w:hint="eastAsia"/>
          <w:color w:val="000000" w:themeColor="text1"/>
          <w14:textFill>
            <w14:solidFill>
              <w14:schemeClr w14:val="tx1"/>
            </w14:solidFill>
          </w14:textFill>
        </w:rPr>
        <w:t>万</w:t>
      </w:r>
      <w:r>
        <w:rPr>
          <w:color w:val="000000" w:themeColor="text1"/>
          <w14:textFill>
            <w14:solidFill>
              <w14:schemeClr w14:val="tx1"/>
            </w14:solidFill>
          </w14:textFill>
        </w:rPr>
        <w:t>公顷，本次</w:t>
      </w:r>
      <w:r>
        <w:rPr>
          <w:rFonts w:hint="eastAsia"/>
          <w:color w:val="000000" w:themeColor="text1"/>
          <w14:textFill>
            <w14:solidFill>
              <w14:schemeClr w14:val="tx1"/>
            </w14:solidFill>
          </w14:textFill>
        </w:rPr>
        <w:t>沙化</w:t>
      </w:r>
      <w:r>
        <w:rPr>
          <w:color w:val="000000" w:themeColor="text1"/>
          <w14:textFill>
            <w14:solidFill>
              <w14:schemeClr w14:val="tx1"/>
            </w14:solidFill>
          </w14:textFill>
        </w:rPr>
        <w:t>监测</w:t>
      </w:r>
      <w:r>
        <w:rPr>
          <w:rFonts w:hint="eastAsia"/>
          <w:color w:val="000000" w:themeColor="text1"/>
          <w14:textFill>
            <w14:solidFill>
              <w14:schemeClr w14:val="tx1"/>
            </w14:solidFill>
          </w14:textFill>
        </w:rPr>
        <w:t>区</w:t>
      </w:r>
      <w:r>
        <w:rPr>
          <w:color w:val="000000" w:themeColor="text1"/>
          <w14:textFill>
            <w14:solidFill>
              <w14:schemeClr w14:val="tx1"/>
            </w14:solidFill>
          </w14:textFill>
        </w:rPr>
        <w:t>面积为15689</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3万</w:t>
      </w:r>
      <w:r>
        <w:rPr>
          <w:color w:val="000000" w:themeColor="text1"/>
          <w14:textFill>
            <w14:solidFill>
              <w14:schemeClr w14:val="tx1"/>
            </w14:solidFill>
          </w14:textFill>
        </w:rPr>
        <w:t>公顷，沙化监测区分布在14个地州</w:t>
      </w:r>
      <w:r>
        <w:rPr>
          <w:rFonts w:hint="eastAsia"/>
          <w:color w:val="000000" w:themeColor="text1"/>
          <w14:textFill>
            <w14:solidFill>
              <w14:schemeClr w14:val="tx1"/>
            </w14:solidFill>
          </w14:textFill>
        </w:rPr>
        <w:t>市，</w:t>
      </w:r>
      <w:r>
        <w:rPr>
          <w:color w:val="000000" w:themeColor="text1"/>
          <w14:textFill>
            <w14:solidFill>
              <w14:schemeClr w14:val="tx1"/>
            </w14:solidFill>
          </w14:textFill>
        </w:rPr>
        <w:t>88个县市（区）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10个自治区直辖市共98个行政区域</w:t>
      </w:r>
      <w:r>
        <w:rPr>
          <w:rFonts w:hint="eastAsia"/>
          <w:color w:val="000000" w:themeColor="text1"/>
          <w14:textFill>
            <w14:solidFill>
              <w14:schemeClr w14:val="tx1"/>
            </w14:solidFill>
          </w14:textFill>
        </w:rPr>
        <w:t>。监测结果显示：</w:t>
      </w:r>
      <w:r>
        <w:rPr>
          <w:color w:val="000000" w:themeColor="text1"/>
          <w14:textFill>
            <w14:solidFill>
              <w14:schemeClr w14:val="tx1"/>
            </w14:solidFill>
          </w14:textFill>
        </w:rPr>
        <w:t>沙化土地面积7468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21</w:t>
      </w:r>
      <w:r>
        <w:rPr>
          <w:rFonts w:hint="eastAsia"/>
          <w:color w:val="000000" w:themeColor="text1"/>
          <w14:textFill>
            <w14:solidFill>
              <w14:schemeClr w14:val="tx1"/>
            </w14:solidFill>
          </w14:textFill>
        </w:rPr>
        <w:t>万</w:t>
      </w:r>
      <w:r>
        <w:rPr>
          <w:color w:val="000000" w:themeColor="text1"/>
          <w14:textFill>
            <w14:solidFill>
              <w14:schemeClr w14:val="tx1"/>
            </w14:solidFill>
          </w14:textFill>
        </w:rPr>
        <w:t>公顷，占监测区总面积47.60%，具有明显沙化趋势的土地面积</w:t>
      </w:r>
      <w:r>
        <w:rPr>
          <w:rFonts w:hint="eastAsia"/>
          <w:color w:val="000000" w:themeColor="text1"/>
          <w14:textFill>
            <w14:solidFill>
              <w14:schemeClr w14:val="tx1"/>
            </w14:solidFill>
          </w14:textFill>
        </w:rPr>
        <w:t>437.96万</w:t>
      </w:r>
      <w:r>
        <w:rPr>
          <w:color w:val="000000" w:themeColor="text1"/>
          <w14:textFill>
            <w14:solidFill>
              <w14:schemeClr w14:val="tx1"/>
            </w14:solidFill>
          </w14:textFill>
        </w:rPr>
        <w:t>公顷，占监测区总面积2.79%，</w:t>
      </w:r>
      <w:r>
        <w:rPr>
          <w:rFonts w:hint="eastAsia"/>
          <w:color w:val="000000" w:themeColor="text1"/>
          <w14:textFill>
            <w14:solidFill>
              <w14:schemeClr w14:val="tx1"/>
            </w14:solidFill>
          </w14:textFill>
        </w:rPr>
        <w:t>非沙化</w:t>
      </w:r>
      <w:r>
        <w:rPr>
          <w:color w:val="000000" w:themeColor="text1"/>
          <w14:textFill>
            <w14:solidFill>
              <w14:schemeClr w14:val="tx1"/>
            </w14:solidFill>
          </w14:textFill>
        </w:rPr>
        <w:t>土地面积7782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5万</w:t>
      </w:r>
      <w:r>
        <w:rPr>
          <w:color w:val="000000" w:themeColor="text1"/>
          <w14:textFill>
            <w14:solidFill>
              <w14:schemeClr w14:val="tx1"/>
            </w14:solidFill>
          </w14:textFill>
        </w:rPr>
        <w:t>公顷，占监测区总面积49.61%。其中巴音郭楞蒙古自治州为2492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12</w:t>
      </w:r>
      <w:r>
        <w:rPr>
          <w:rFonts w:hint="eastAsia"/>
          <w:color w:val="000000" w:themeColor="text1"/>
          <w14:textFill>
            <w14:solidFill>
              <w14:schemeClr w14:val="tx1"/>
            </w14:solidFill>
          </w14:textFill>
        </w:rPr>
        <w:t>万</w:t>
      </w:r>
      <w:r>
        <w:rPr>
          <w:color w:val="000000" w:themeColor="text1"/>
          <w14:textFill>
            <w14:solidFill>
              <w14:schemeClr w14:val="tx1"/>
            </w14:solidFill>
          </w14:textFill>
        </w:rPr>
        <w:t>公顷，占新疆沙化土地面积33.37%；在巴音郭楞蒙古自治州中沙化土地面积较大的县市有且末县和若羌县。若羌县沙化土地面积为1035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3万</w:t>
      </w:r>
      <w:r>
        <w:rPr>
          <w:color w:val="000000" w:themeColor="text1"/>
          <w14:textFill>
            <w14:solidFill>
              <w14:schemeClr w14:val="tx1"/>
            </w14:solidFill>
          </w14:textFill>
        </w:rPr>
        <w:t>公顷，占全州沙化土地面积的41.54%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且末县沙化土地面积为854.41万公顷，占全州沙化土地面积的34.28%；其它7个县市沙化土地面积602.59万公顷，占24.18%。</w:t>
      </w:r>
    </w:p>
    <w:p w14:paraId="2D46B3FF">
      <w:pPr>
        <w:kinsoku w:val="0"/>
        <w:ind w:firstLine="480"/>
        <w:jc w:val="left"/>
        <w:rPr>
          <w:bCs/>
          <w:color w:val="000000" w:themeColor="text1"/>
          <w14:textFill>
            <w14:solidFill>
              <w14:schemeClr w14:val="tx1"/>
            </w14:solidFill>
          </w14:textFill>
        </w:rPr>
      </w:pPr>
      <w:r>
        <w:rPr>
          <w:color w:val="000000" w:themeColor="text1"/>
          <w14:textFill>
            <w14:solidFill>
              <w14:schemeClr w14:val="tx1"/>
            </w14:solidFill>
          </w14:textFill>
        </w:rPr>
        <w:t>沙化土地按监测区分布情况</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具有明显沙化趋势面积为437.96万公顷，其中占比较大的地州有喀什地区、阿克苏地区和巴音郭楞蒙古自治州，这三个地州具有明显沙化趋势总面积260.93万公顷，占具有明显沙化趋势面积的59.58%，其他11个地州、市具有明显沙化趋势面积177.03万公顷，占具有明显沙化趋势总面积的40.42%。其中巴音郭楞蒙古自治州为69.19万公顷，占新疆具有明显沙化趋势面积15.80%；阿克苏地区为83.75万公顷，占新疆具有明显沙化趋势19.12%；喀什地区为107.99万公顷，占具有明显沙化趋势面积24.66%。</w:t>
      </w:r>
    </w:p>
    <w:p w14:paraId="7FC2FEA5">
      <w:pPr>
        <w:keepNext/>
        <w:keepLines/>
        <w:ind w:firstLine="480"/>
        <w:rPr>
          <w:rFonts w:hint="default"/>
          <w:bCs/>
          <w:color w:val="000000" w:themeColor="text1"/>
          <w:lang w:val="en-US"/>
          <w14:textFill>
            <w14:solidFill>
              <w14:schemeClr w14:val="tx1"/>
            </w14:solidFill>
          </w14:textFill>
        </w:rPr>
      </w:pPr>
      <w:r>
        <w:rPr>
          <w:bCs/>
          <w:color w:val="000000" w:themeColor="text1"/>
          <w14:textFill>
            <w14:solidFill>
              <w14:schemeClr w14:val="tx1"/>
            </w14:solidFill>
          </w14:textFill>
        </w:rPr>
        <w:t>项目所处区域为</w:t>
      </w:r>
      <w:r>
        <w:rPr>
          <w:rFonts w:hint="eastAsia"/>
          <w:bCs/>
          <w:color w:val="000000" w:themeColor="text1"/>
          <w14:textFill>
            <w14:solidFill>
              <w14:schemeClr w14:val="tx1"/>
            </w14:solidFill>
          </w14:textFill>
        </w:rPr>
        <w:t>巴音郭楞蒙古自治州若羌县，属于沙化土地类型中的戈壁，</w:t>
      </w:r>
      <w:r>
        <w:rPr>
          <w:rFonts w:hint="eastAsia"/>
          <w:bCs/>
          <w:color w:val="000000" w:themeColor="text1"/>
          <w:lang w:val="en-US" w:eastAsia="zh-CN"/>
          <w14:textFill>
            <w14:solidFill>
              <w14:schemeClr w14:val="tx1"/>
            </w14:solidFill>
          </w14:textFill>
        </w:rPr>
        <w:t>戈壁地表形成了一层以砾石为覆盖的砾幕层，可有效避免或减少沙尘暴等自然灾害的发生，是十分稀缺的自然资源与地理景观，本项目占用戈壁的面积为361000m</w:t>
      </w:r>
      <w:r>
        <w:rPr>
          <w:rFonts w:hint="eastAsia"/>
          <w:bCs/>
          <w:color w:val="000000" w:themeColor="text1"/>
          <w:vertAlign w:val="superscript"/>
          <w:lang w:val="en-US" w:eastAsia="zh-CN"/>
          <w14:textFill>
            <w14:solidFill>
              <w14:schemeClr w14:val="tx1"/>
            </w14:solidFill>
          </w14:textFill>
        </w:rPr>
        <w:t>2</w:t>
      </w:r>
      <w:r>
        <w:rPr>
          <w:rFonts w:hint="eastAsia"/>
          <w:bCs/>
          <w:color w:val="000000" w:themeColor="text1"/>
          <w:vertAlign w:val="baseline"/>
          <w:lang w:val="en-US" w:eastAsia="zh-CN"/>
          <w14:textFill>
            <w14:solidFill>
              <w14:schemeClr w14:val="tx1"/>
            </w14:solidFill>
          </w14:textFill>
        </w:rPr>
        <w:t>，</w:t>
      </w:r>
      <w:r>
        <w:rPr>
          <w:color w:val="000000" w:themeColor="text1"/>
          <w14:textFill>
            <w14:solidFill>
              <w14:schemeClr w14:val="tx1"/>
            </w14:solidFill>
          </w14:textFill>
        </w:rPr>
        <w:t>其中永久占地</w:t>
      </w:r>
      <w:r>
        <w:rPr>
          <w:rFonts w:hint="eastAsia"/>
          <w:color w:val="000000" w:themeColor="text1"/>
          <w:lang w:eastAsia="zh-CN"/>
          <w14:textFill>
            <w14:solidFill>
              <w14:schemeClr w14:val="tx1"/>
            </w14:solidFill>
          </w14:textFill>
        </w:rPr>
        <w:t>26040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，临时占地</w:t>
      </w:r>
      <w:r>
        <w:rPr>
          <w:rFonts w:hint="eastAsia"/>
          <w:color w:val="000000" w:themeColor="text1"/>
          <w:lang w:eastAsia="zh-CN"/>
          <w14:textFill>
            <w14:solidFill>
              <w14:schemeClr w14:val="tx1"/>
            </w14:solidFill>
          </w14:textFill>
        </w:rPr>
        <w:t>334960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r>
        <w:rPr>
          <w:rFonts w:hint="eastAsia"/>
          <w:bCs/>
          <w:color w:val="000000" w:themeColor="text1"/>
          <w:vertAlign w:val="baseline"/>
          <w:lang w:val="en-US" w:eastAsia="zh-CN"/>
          <w14:textFill>
            <w14:solidFill>
              <w14:schemeClr w14:val="tx1"/>
            </w14:solidFill>
          </w14:textFill>
        </w:rPr>
        <w:t>根据现场调研，线路起点若羌火电厂周边已在开工建设，已有车辆碾压，对戈壁砾幕层已造成破坏，项目线路沿线还未开工建设，戈壁砾幕层还基本完好。</w:t>
      </w:r>
    </w:p>
    <w:p w14:paraId="0C7416A8">
      <w:pPr>
        <w:keepNext/>
        <w:keepLines/>
        <w:ind w:firstLine="480"/>
        <w:rPr>
          <w:color w:val="000000" w:themeColor="text1"/>
          <w14:textFill>
            <w14:solidFill>
              <w14:schemeClr w14:val="tx1"/>
            </w14:solidFill>
          </w14:textFill>
        </w:rPr>
      </w:pPr>
      <w:r>
        <w:rPr>
          <w:rFonts w:hint="eastAsia"/>
          <w:color w:val="000000" w:themeColor="text1"/>
          <w:spacing w:val="-5"/>
          <w:kern w:val="0"/>
          <w14:textFill>
            <w14:solidFill>
              <w14:schemeClr w14:val="tx1"/>
            </w14:solidFill>
          </w14:textFill>
        </w:rPr>
        <w:t>根据现场调查结果，工程所在沙地地表覆盖植被主要为柽柳和骆驼刺等，</w:t>
      </w:r>
      <w:r>
        <w:rPr>
          <w:color w:val="000000" w:themeColor="text1"/>
          <w14:textFill>
            <w14:solidFill>
              <w14:schemeClr w14:val="tx1"/>
            </w14:solidFill>
          </w14:textFill>
        </w:rPr>
        <w:t>植被覆盖率低，</w:t>
      </w:r>
      <w:r>
        <w:rPr>
          <w:rFonts w:hint="eastAsia"/>
          <w:color w:val="000000" w:themeColor="text1"/>
          <w:spacing w:val="-5"/>
          <w:kern w:val="0"/>
          <w14:textFill>
            <w14:solidFill>
              <w14:schemeClr w14:val="tx1"/>
            </w14:solidFill>
          </w14:textFill>
        </w:rPr>
        <w:t>地表结皮类型主要为盐碱结皮，盐碱结皮能够增加表层土壤的水分含量，增强地表的抗风蚀能力，从而有效降低地表风蚀量</w:t>
      </w:r>
      <w:r>
        <w:rPr>
          <w:color w:val="000000" w:themeColor="text1"/>
          <w14:textFill>
            <w14:solidFill>
              <w14:schemeClr w14:val="tx1"/>
            </w14:solidFill>
          </w14:textFill>
        </w:rPr>
        <w:t>。</w:t>
      </w:r>
    </w:p>
    <w:p w14:paraId="5C95D66A">
      <w:pPr>
        <w:keepNext/>
        <w:keepLines/>
        <w:ind w:firstLine="480"/>
        <w:rPr>
          <w:b/>
          <w:bCs/>
          <w:color w:val="000000" w:themeColor="text1"/>
          <w:kern w:val="0"/>
          <w:sz w:val="28"/>
          <w:szCs w:val="32"/>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hint="eastAsia"/>
          <w:bCs/>
          <w:color w:val="000000" w:themeColor="text1"/>
          <w14:textFill>
            <w14:solidFill>
              <w14:schemeClr w14:val="tx1"/>
            </w14:solidFill>
          </w14:textFill>
        </w:rPr>
        <w:t>巴音郭楞蒙古自治州</w:t>
      </w:r>
      <w:r>
        <w:rPr>
          <w:bCs/>
          <w:color w:val="000000" w:themeColor="text1"/>
          <w14:textFill>
            <w14:solidFill>
              <w14:schemeClr w14:val="tx1"/>
            </w14:solidFill>
          </w14:textFill>
        </w:rPr>
        <w:t>沙化土地</w:t>
      </w:r>
      <w:r>
        <w:rPr>
          <w:rFonts w:hint="eastAsia"/>
          <w:bCs/>
          <w:color w:val="000000" w:themeColor="text1"/>
          <w14:textFill>
            <w14:solidFill>
              <w14:schemeClr w14:val="tx1"/>
            </w14:solidFill>
          </w14:textFill>
        </w:rPr>
        <w:t>面积统计</w:t>
      </w:r>
      <w:r>
        <w:rPr>
          <w:bCs/>
          <w:color w:val="000000" w:themeColor="text1"/>
          <w14:textFill>
            <w14:solidFill>
              <w14:schemeClr w14:val="tx1"/>
            </w14:solidFill>
          </w14:textFill>
        </w:rPr>
        <w:t>情况见表4.</w:t>
      </w:r>
      <w:r>
        <w:rPr>
          <w:rFonts w:hint="eastAsia"/>
          <w:bCs/>
          <w:color w:val="000000" w:themeColor="text1"/>
          <w14:textFill>
            <w14:solidFill>
              <w14:schemeClr w14:val="tx1"/>
            </w14:solidFill>
          </w14:textFill>
        </w:rPr>
        <w:t>5</w:t>
      </w:r>
      <w:r>
        <w:rPr>
          <w:bCs/>
          <w:color w:val="000000" w:themeColor="text1"/>
          <w14:textFill>
            <w14:solidFill>
              <w14:schemeClr w14:val="tx1"/>
            </w14:solidFill>
          </w14:textFill>
        </w:rPr>
        <w:t>-</w:t>
      </w:r>
      <w:r>
        <w:rPr>
          <w:rFonts w:hint="eastAsia"/>
          <w:bCs/>
          <w:color w:val="000000" w:themeColor="text1"/>
          <w:lang w:val="en-US" w:eastAsia="zh-CN"/>
          <w14:textFill>
            <w14:solidFill>
              <w14:schemeClr w14:val="tx1"/>
            </w14:solidFill>
          </w14:textFill>
        </w:rPr>
        <w:t>8</w:t>
      </w:r>
      <w:r>
        <w:rPr>
          <w:bCs/>
          <w:color w:val="000000" w:themeColor="text1"/>
          <w14:textFill>
            <w14:solidFill>
              <w14:schemeClr w14:val="tx1"/>
            </w14:solidFill>
          </w14:textFill>
        </w:rPr>
        <w:t>，土地沙化现状详见图4.</w:t>
      </w:r>
      <w:r>
        <w:rPr>
          <w:rFonts w:hint="eastAsia"/>
          <w:bCs/>
          <w:color w:val="000000" w:themeColor="text1"/>
          <w14:textFill>
            <w14:solidFill>
              <w14:schemeClr w14:val="tx1"/>
            </w14:solidFill>
          </w14:textFill>
        </w:rPr>
        <w:t>5</w:t>
      </w:r>
      <w:r>
        <w:rPr>
          <w:bCs/>
          <w:color w:val="000000" w:themeColor="text1"/>
          <w14:textFill>
            <w14:solidFill>
              <w14:schemeClr w14:val="tx1"/>
            </w14:solidFill>
          </w14:textFill>
        </w:rPr>
        <w:t>-</w:t>
      </w:r>
      <w:r>
        <w:rPr>
          <w:rFonts w:hint="eastAsia"/>
          <w:bCs/>
          <w:color w:val="000000" w:themeColor="text1"/>
          <w:lang w:val="en-US" w:eastAsia="zh-CN"/>
          <w14:textFill>
            <w14:solidFill>
              <w14:schemeClr w14:val="tx1"/>
            </w14:solidFill>
          </w14:textFill>
        </w:rPr>
        <w:t>4</w:t>
      </w:r>
      <w:r>
        <w:rPr>
          <w:bCs/>
          <w:color w:val="000000" w:themeColor="text1"/>
          <w14:textFill>
            <w14:solidFill>
              <w14:schemeClr w14:val="tx1"/>
            </w14:solidFill>
          </w14:textFill>
        </w:rPr>
        <w:t>。</w:t>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p>
    <w:p w14:paraId="7B4F80DD">
      <w:pPr>
        <w:adjustRightInd w:val="0"/>
        <w:ind w:firstLine="422"/>
        <w:jc w:val="center"/>
        <w:textAlignment w:val="baseline"/>
        <w:rPr>
          <w:b/>
          <w:color w:val="000000" w:themeColor="text1"/>
          <w:kern w:val="0"/>
          <w:sz w:val="21"/>
          <w:szCs w:val="21"/>
          <w14:textFill>
            <w14:solidFill>
              <w14:schemeClr w14:val="tx1"/>
            </w14:solidFill>
          </w14:textFill>
        </w:rPr>
      </w:pPr>
      <w:r>
        <w:rPr>
          <w:b/>
          <w:color w:val="000000" w:themeColor="text1"/>
          <w:kern w:val="0"/>
          <w:sz w:val="21"/>
          <w:szCs w:val="21"/>
          <w14:textFill>
            <w14:solidFill>
              <w14:schemeClr w14:val="tx1"/>
            </w14:solidFill>
          </w14:textFill>
        </w:rPr>
        <w:t>表</w:t>
      </w:r>
      <w:r>
        <w:rPr>
          <w:rFonts w:hint="eastAsia"/>
          <w:b/>
          <w:color w:val="000000" w:themeColor="text1"/>
          <w:kern w:val="0"/>
          <w:sz w:val="21"/>
          <w:szCs w:val="21"/>
          <w14:textFill>
            <w14:solidFill>
              <w14:schemeClr w14:val="tx1"/>
            </w14:solidFill>
          </w14:textFill>
        </w:rPr>
        <w:t>4.5-</w:t>
      </w:r>
      <w:r>
        <w:rPr>
          <w:rFonts w:hint="eastAsia"/>
          <w:b/>
          <w:color w:val="000000" w:themeColor="text1"/>
          <w:kern w:val="0"/>
          <w:sz w:val="21"/>
          <w:szCs w:val="21"/>
          <w:lang w:val="en-US" w:eastAsia="zh-CN"/>
          <w14:textFill>
            <w14:solidFill>
              <w14:schemeClr w14:val="tx1"/>
            </w14:solidFill>
          </w14:textFill>
        </w:rPr>
        <w:t>8</w:t>
      </w:r>
      <w:r>
        <w:rPr>
          <w:b/>
          <w:color w:val="000000" w:themeColor="text1"/>
          <w:kern w:val="0"/>
          <w:sz w:val="21"/>
          <w:szCs w:val="21"/>
          <w14:textFill>
            <w14:solidFill>
              <w14:schemeClr w14:val="tx1"/>
            </w14:solidFill>
          </w14:textFill>
        </w:rPr>
        <w:t xml:space="preserve">  项目涉及区域沙化土地动态变化情况    （单位：公顷）</w:t>
      </w:r>
    </w:p>
    <w:tbl>
      <w:tblPr>
        <w:tblStyle w:val="26"/>
        <w:tblW w:w="5000" w:type="pct"/>
        <w:tblInd w:w="0" w:type="dxa"/>
        <w:tblLayout w:type="fixed"/>
        <w:tblCellMar>
          <w:top w:w="0" w:type="dxa"/>
          <w:left w:w="108" w:type="dxa"/>
          <w:bottom w:w="0" w:type="dxa"/>
          <w:right w:w="108" w:type="dxa"/>
        </w:tblCellMar>
      </w:tblPr>
      <w:tblGrid>
        <w:gridCol w:w="885"/>
        <w:gridCol w:w="840"/>
        <w:gridCol w:w="840"/>
        <w:gridCol w:w="900"/>
        <w:gridCol w:w="749"/>
        <w:gridCol w:w="1078"/>
        <w:gridCol w:w="1095"/>
        <w:gridCol w:w="825"/>
        <w:gridCol w:w="941"/>
        <w:gridCol w:w="1012"/>
        <w:gridCol w:w="799"/>
        <w:gridCol w:w="879"/>
        <w:gridCol w:w="887"/>
        <w:gridCol w:w="788"/>
        <w:gridCol w:w="848"/>
        <w:gridCol w:w="808"/>
      </w:tblGrid>
      <w:tr w14:paraId="20EC4F9E">
        <w:tblPrEx>
          <w:tblCellMar>
            <w:top w:w="0" w:type="dxa"/>
            <w:left w:w="108" w:type="dxa"/>
            <w:bottom w:w="0" w:type="dxa"/>
            <w:right w:w="108" w:type="dxa"/>
          </w:tblCellMar>
        </w:tblPrEx>
        <w:trPr>
          <w:trHeight w:val="312" w:hRule="atLeast"/>
        </w:trPr>
        <w:tc>
          <w:tcPr>
            <w:tcW w:w="312" w:type="pct"/>
            <w:vMerge w:val="restart"/>
            <w:tcBorders>
              <w:top w:val="single" w:color="000000" w:sz="4" w:space="0"/>
              <w:left w:val="single" w:color="000000" w:sz="4" w:space="0"/>
              <w:bottom w:val="single" w:color="000000" w:sz="4" w:space="0"/>
              <w:right w:val="single" w:color="000000" w:sz="4" w:space="0"/>
            </w:tcBorders>
            <w:vAlign w:val="center"/>
          </w:tcPr>
          <w:p w14:paraId="340F8EC1">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统计单位</w:t>
            </w:r>
          </w:p>
        </w:tc>
        <w:tc>
          <w:tcPr>
            <w:tcW w:w="296" w:type="pct"/>
            <w:vMerge w:val="restart"/>
            <w:tcBorders>
              <w:top w:val="single" w:color="000000" w:sz="4" w:space="0"/>
              <w:left w:val="single" w:color="000000" w:sz="4" w:space="0"/>
              <w:bottom w:val="single" w:color="000000" w:sz="4" w:space="0"/>
              <w:right w:val="single" w:color="000000" w:sz="4" w:space="0"/>
            </w:tcBorders>
            <w:vAlign w:val="center"/>
          </w:tcPr>
          <w:p w14:paraId="53E44E51">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14:textFill>
                  <w14:solidFill>
                    <w14:schemeClr w14:val="tx1"/>
                  </w14:solidFill>
                </w14:textFill>
              </w:rPr>
              <w:t>监测</w:t>
            </w:r>
            <w:r>
              <w:rPr>
                <w:rFonts w:eastAsiaTheme="minorEastAsia"/>
                <w:b/>
                <w:bCs w:val="0"/>
                <w:color w:val="000000" w:themeColor="text1"/>
                <w:sz w:val="21"/>
                <w14:textFill>
                  <w14:solidFill>
                    <w14:schemeClr w14:val="tx1"/>
                  </w14:solidFill>
                </w14:textFill>
              </w:rPr>
              <w:t>总面积</w:t>
            </w:r>
          </w:p>
        </w:tc>
        <w:tc>
          <w:tcPr>
            <w:tcW w:w="3806" w:type="pct"/>
            <w:gridSpan w:val="12"/>
            <w:tcBorders>
              <w:top w:val="single" w:color="000000" w:sz="4" w:space="0"/>
              <w:left w:val="single" w:color="000000" w:sz="4" w:space="0"/>
              <w:bottom w:val="single" w:color="000000" w:sz="4" w:space="0"/>
              <w:right w:val="single" w:color="000000" w:sz="4" w:space="0"/>
            </w:tcBorders>
            <w:vAlign w:val="center"/>
          </w:tcPr>
          <w:p w14:paraId="789D48D9">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沙化土地面积</w:t>
            </w:r>
          </w:p>
        </w:tc>
        <w:tc>
          <w:tcPr>
            <w:tcW w:w="299" w:type="pct"/>
            <w:vMerge w:val="restart"/>
            <w:tcBorders>
              <w:top w:val="single" w:color="000000" w:sz="4" w:space="0"/>
              <w:left w:val="single" w:color="000000" w:sz="4" w:space="0"/>
              <w:bottom w:val="single" w:color="000000" w:sz="4" w:space="0"/>
              <w:right w:val="single" w:color="000000" w:sz="4" w:space="0"/>
            </w:tcBorders>
            <w:vAlign w:val="center"/>
          </w:tcPr>
          <w:p w14:paraId="45009B5A">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14:textFill>
                  <w14:solidFill>
                    <w14:schemeClr w14:val="tx1"/>
                  </w14:solidFill>
                </w14:textFill>
              </w:rPr>
              <w:t>具</w:t>
            </w:r>
            <w:r>
              <w:rPr>
                <w:rFonts w:eastAsiaTheme="minorEastAsia"/>
                <w:b/>
                <w:bCs w:val="0"/>
                <w:color w:val="000000" w:themeColor="text1"/>
                <w:sz w:val="21"/>
                <w14:textFill>
                  <w14:solidFill>
                    <w14:schemeClr w14:val="tx1"/>
                  </w14:solidFill>
                </w14:textFill>
              </w:rPr>
              <w:t>有明显沙化趋势的土地</w:t>
            </w:r>
          </w:p>
        </w:tc>
        <w:tc>
          <w:tcPr>
            <w:tcW w:w="285" w:type="pct"/>
            <w:vMerge w:val="restart"/>
            <w:tcBorders>
              <w:top w:val="single" w:color="000000" w:sz="4" w:space="0"/>
              <w:left w:val="single" w:color="000000" w:sz="4" w:space="0"/>
              <w:bottom w:val="single" w:color="000000" w:sz="4" w:space="0"/>
              <w:right w:val="single" w:color="000000" w:sz="4" w:space="0"/>
            </w:tcBorders>
            <w:vAlign w:val="center"/>
          </w:tcPr>
          <w:p w14:paraId="4354A28A">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其他土地类型</w:t>
            </w:r>
            <w:r>
              <w:rPr>
                <w:rFonts w:hint="eastAsia" w:eastAsiaTheme="minorEastAsia"/>
                <w:b/>
                <w:bCs w:val="0"/>
                <w:color w:val="000000" w:themeColor="text1"/>
                <w:sz w:val="21"/>
                <w14:textFill>
                  <w14:solidFill>
                    <w14:schemeClr w14:val="tx1"/>
                  </w14:solidFill>
                </w14:textFill>
              </w:rPr>
              <w:t>面积</w:t>
            </w:r>
          </w:p>
        </w:tc>
      </w:tr>
      <w:tr w14:paraId="1999E502">
        <w:tblPrEx>
          <w:tblCellMar>
            <w:top w:w="0" w:type="dxa"/>
            <w:left w:w="108" w:type="dxa"/>
            <w:bottom w:w="0" w:type="dxa"/>
            <w:right w:w="108" w:type="dxa"/>
          </w:tblCellMar>
        </w:tblPrEx>
        <w:trPr>
          <w:trHeight w:val="312" w:hRule="atLeast"/>
        </w:trPr>
        <w:tc>
          <w:tcPr>
            <w:tcW w:w="312" w:type="pct"/>
            <w:vMerge w:val="continue"/>
            <w:tcBorders>
              <w:top w:val="single" w:color="000000" w:sz="4" w:space="0"/>
              <w:left w:val="single" w:color="000000" w:sz="4" w:space="0"/>
              <w:bottom w:val="single" w:color="000000" w:sz="4" w:space="0"/>
              <w:right w:val="single" w:color="000000" w:sz="4" w:space="0"/>
            </w:tcBorders>
            <w:vAlign w:val="center"/>
          </w:tcPr>
          <w:p w14:paraId="24B71ED1">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96" w:type="pct"/>
            <w:vMerge w:val="continue"/>
            <w:tcBorders>
              <w:top w:val="single" w:color="000000" w:sz="4" w:space="0"/>
              <w:left w:val="single" w:color="000000" w:sz="4" w:space="0"/>
              <w:bottom w:val="single" w:color="000000" w:sz="4" w:space="0"/>
              <w:right w:val="single" w:color="000000" w:sz="4" w:space="0"/>
            </w:tcBorders>
            <w:vAlign w:val="center"/>
          </w:tcPr>
          <w:p w14:paraId="2025F72B">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96" w:type="pct"/>
            <w:vMerge w:val="restart"/>
            <w:tcBorders>
              <w:top w:val="single" w:color="000000" w:sz="4" w:space="0"/>
              <w:left w:val="single" w:color="000000" w:sz="4" w:space="0"/>
              <w:bottom w:val="single" w:color="000000" w:sz="4" w:space="0"/>
              <w:right w:val="single" w:color="000000" w:sz="4" w:space="0"/>
            </w:tcBorders>
            <w:vAlign w:val="center"/>
          </w:tcPr>
          <w:p w14:paraId="6B87EBC9">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14:textFill>
                  <w14:solidFill>
                    <w14:schemeClr w14:val="tx1"/>
                  </w14:solidFill>
                </w14:textFill>
              </w:rPr>
              <w:t>小</w:t>
            </w:r>
            <w:r>
              <w:rPr>
                <w:rFonts w:eastAsiaTheme="minorEastAsia"/>
                <w:b/>
                <w:bCs w:val="0"/>
                <w:color w:val="000000" w:themeColor="text1"/>
                <w:sz w:val="21"/>
                <w14:textFill>
                  <w14:solidFill>
                    <w14:schemeClr w14:val="tx1"/>
                  </w14:solidFill>
                </w14:textFill>
              </w:rPr>
              <w:t>计</w:t>
            </w:r>
          </w:p>
        </w:tc>
        <w:tc>
          <w:tcPr>
            <w:tcW w:w="317" w:type="pct"/>
            <w:vMerge w:val="restart"/>
            <w:tcBorders>
              <w:top w:val="single" w:color="000000" w:sz="4" w:space="0"/>
              <w:left w:val="single" w:color="000000" w:sz="4" w:space="0"/>
              <w:bottom w:val="single" w:color="000000" w:sz="4" w:space="0"/>
              <w:right w:val="single" w:color="000000" w:sz="4" w:space="0"/>
            </w:tcBorders>
            <w:vAlign w:val="center"/>
          </w:tcPr>
          <w:p w14:paraId="586D5C94">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流动沙地</w:t>
            </w:r>
            <w:r>
              <w:rPr>
                <w:rFonts w:hint="eastAsia" w:eastAsiaTheme="minorEastAsia"/>
                <w:b/>
                <w:bCs w:val="0"/>
                <w:color w:val="000000" w:themeColor="text1"/>
                <w:sz w:val="21"/>
                <w14:textFill>
                  <w14:solidFill>
                    <w14:schemeClr w14:val="tx1"/>
                  </w14:solidFill>
                </w14:textFill>
              </w:rPr>
              <w:t>（丘）</w:t>
            </w:r>
          </w:p>
        </w:tc>
        <w:tc>
          <w:tcPr>
            <w:tcW w:w="1030" w:type="pct"/>
            <w:gridSpan w:val="3"/>
            <w:tcBorders>
              <w:top w:val="single" w:color="000000" w:sz="4" w:space="0"/>
              <w:left w:val="single" w:color="000000" w:sz="4" w:space="0"/>
              <w:bottom w:val="single" w:color="000000" w:sz="4" w:space="0"/>
              <w:right w:val="single" w:color="000000" w:sz="4" w:space="0"/>
            </w:tcBorders>
            <w:vAlign w:val="center"/>
          </w:tcPr>
          <w:p w14:paraId="76857C98">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半固定沙地</w:t>
            </w:r>
            <w:r>
              <w:rPr>
                <w:rFonts w:hint="eastAsia" w:eastAsiaTheme="minorEastAsia"/>
                <w:b/>
                <w:bCs w:val="0"/>
                <w:color w:val="000000" w:themeColor="text1"/>
                <w:sz w:val="21"/>
                <w14:textFill>
                  <w14:solidFill>
                    <w14:schemeClr w14:val="tx1"/>
                  </w14:solidFill>
                </w14:textFill>
              </w:rPr>
              <w:t>（丘）</w:t>
            </w:r>
          </w:p>
        </w:tc>
        <w:tc>
          <w:tcPr>
            <w:tcW w:w="980" w:type="pct"/>
            <w:gridSpan w:val="3"/>
            <w:tcBorders>
              <w:top w:val="single" w:color="000000" w:sz="4" w:space="0"/>
              <w:left w:val="single" w:color="000000" w:sz="4" w:space="0"/>
              <w:bottom w:val="single" w:color="000000" w:sz="4" w:space="0"/>
              <w:right w:val="single" w:color="000000" w:sz="4" w:space="0"/>
            </w:tcBorders>
            <w:vAlign w:val="center"/>
          </w:tcPr>
          <w:p w14:paraId="7A09C375">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固定沙地</w:t>
            </w:r>
            <w:r>
              <w:rPr>
                <w:rFonts w:hint="eastAsia" w:eastAsiaTheme="minorEastAsia"/>
                <w:b/>
                <w:bCs w:val="0"/>
                <w:color w:val="000000" w:themeColor="text1"/>
                <w:sz w:val="21"/>
                <w14:textFill>
                  <w14:solidFill>
                    <w14:schemeClr w14:val="tx1"/>
                  </w14:solidFill>
                </w14:textFill>
              </w:rPr>
              <w:t>（丘）</w:t>
            </w:r>
          </w:p>
        </w:tc>
        <w:tc>
          <w:tcPr>
            <w:tcW w:w="2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C639A">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沙化耕地</w:t>
            </w:r>
          </w:p>
        </w:tc>
        <w:tc>
          <w:tcPr>
            <w:tcW w:w="3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5EDC8">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非生物治沙工程地</w:t>
            </w:r>
          </w:p>
        </w:tc>
        <w:tc>
          <w:tcPr>
            <w:tcW w:w="313" w:type="pct"/>
            <w:vMerge w:val="restart"/>
            <w:tcBorders>
              <w:top w:val="single" w:color="000000" w:sz="4" w:space="0"/>
              <w:left w:val="single" w:color="000000" w:sz="4" w:space="0"/>
              <w:bottom w:val="single" w:color="000000" w:sz="4" w:space="0"/>
              <w:right w:val="single" w:color="000000" w:sz="4" w:space="0"/>
            </w:tcBorders>
            <w:vAlign w:val="center"/>
          </w:tcPr>
          <w:p w14:paraId="559FB52C">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风蚀残丘</w:t>
            </w:r>
            <w:r>
              <w:rPr>
                <w:rFonts w:hint="eastAsia" w:eastAsiaTheme="minorEastAsia"/>
                <w:b/>
                <w:bCs w:val="0"/>
                <w:color w:val="000000" w:themeColor="text1"/>
                <w:sz w:val="21"/>
                <w14:textFill>
                  <w14:solidFill>
                    <w14:schemeClr w14:val="tx1"/>
                  </w14:solidFill>
                </w14:textFill>
              </w:rPr>
              <w:t>（劣地）</w:t>
            </w:r>
          </w:p>
        </w:tc>
        <w:tc>
          <w:tcPr>
            <w:tcW w:w="275" w:type="pct"/>
            <w:vMerge w:val="restart"/>
            <w:tcBorders>
              <w:top w:val="single" w:color="000000" w:sz="4" w:space="0"/>
              <w:left w:val="single" w:color="000000" w:sz="4" w:space="0"/>
              <w:right w:val="single" w:color="000000" w:sz="4" w:space="0"/>
            </w:tcBorders>
            <w:vAlign w:val="center"/>
          </w:tcPr>
          <w:p w14:paraId="6AF63692">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14:textFill>
                  <w14:solidFill>
                    <w14:schemeClr w14:val="tx1"/>
                  </w14:solidFill>
                </w14:textFill>
              </w:rPr>
              <w:t>戈壁</w:t>
            </w:r>
          </w:p>
        </w:tc>
        <w:tc>
          <w:tcPr>
            <w:tcW w:w="299" w:type="pct"/>
            <w:vMerge w:val="continue"/>
            <w:tcBorders>
              <w:top w:val="single" w:color="000000" w:sz="4" w:space="0"/>
              <w:left w:val="single" w:color="000000" w:sz="4" w:space="0"/>
              <w:bottom w:val="single" w:color="000000" w:sz="4" w:space="0"/>
              <w:right w:val="single" w:color="000000" w:sz="4" w:space="0"/>
            </w:tcBorders>
            <w:vAlign w:val="center"/>
          </w:tcPr>
          <w:p w14:paraId="02985F53">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85" w:type="pct"/>
            <w:vMerge w:val="continue"/>
            <w:tcBorders>
              <w:top w:val="single" w:color="000000" w:sz="4" w:space="0"/>
              <w:left w:val="single" w:color="000000" w:sz="4" w:space="0"/>
              <w:bottom w:val="single" w:color="000000" w:sz="4" w:space="0"/>
              <w:right w:val="single" w:color="000000" w:sz="4" w:space="0"/>
            </w:tcBorders>
            <w:vAlign w:val="center"/>
          </w:tcPr>
          <w:p w14:paraId="2A8DB65D">
            <w:pPr>
              <w:pStyle w:val="16"/>
              <w:spacing w:line="240" w:lineRule="auto"/>
              <w:ind w:firstLine="0" w:firstLineChars="0"/>
              <w:rPr>
                <w:rFonts w:eastAsiaTheme="minorEastAsia"/>
                <w:color w:val="000000" w:themeColor="text1"/>
                <w:sz w:val="21"/>
                <w14:textFill>
                  <w14:solidFill>
                    <w14:schemeClr w14:val="tx1"/>
                  </w14:solidFill>
                </w14:textFill>
              </w:rPr>
            </w:pPr>
          </w:p>
        </w:tc>
      </w:tr>
      <w:tr w14:paraId="6D87ABE0">
        <w:tblPrEx>
          <w:tblCellMar>
            <w:top w:w="0" w:type="dxa"/>
            <w:left w:w="108" w:type="dxa"/>
            <w:bottom w:w="0" w:type="dxa"/>
            <w:right w:w="108" w:type="dxa"/>
          </w:tblCellMar>
        </w:tblPrEx>
        <w:trPr>
          <w:trHeight w:val="312" w:hRule="atLeast"/>
        </w:trPr>
        <w:tc>
          <w:tcPr>
            <w:tcW w:w="312" w:type="pct"/>
            <w:vMerge w:val="continue"/>
            <w:tcBorders>
              <w:top w:val="single" w:color="000000" w:sz="4" w:space="0"/>
              <w:left w:val="single" w:color="000000" w:sz="4" w:space="0"/>
              <w:bottom w:val="single" w:color="000000" w:sz="4" w:space="0"/>
              <w:right w:val="single" w:color="000000" w:sz="4" w:space="0"/>
            </w:tcBorders>
            <w:vAlign w:val="center"/>
          </w:tcPr>
          <w:p w14:paraId="3FF33254">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96" w:type="pct"/>
            <w:vMerge w:val="continue"/>
            <w:tcBorders>
              <w:top w:val="single" w:color="000000" w:sz="4" w:space="0"/>
              <w:left w:val="single" w:color="000000" w:sz="4" w:space="0"/>
              <w:bottom w:val="single" w:color="000000" w:sz="4" w:space="0"/>
              <w:right w:val="single" w:color="000000" w:sz="4" w:space="0"/>
            </w:tcBorders>
            <w:vAlign w:val="center"/>
          </w:tcPr>
          <w:p w14:paraId="6FDE879F">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96" w:type="pct"/>
            <w:vMerge w:val="continue"/>
            <w:tcBorders>
              <w:top w:val="single" w:color="000000" w:sz="4" w:space="0"/>
              <w:left w:val="single" w:color="000000" w:sz="4" w:space="0"/>
              <w:bottom w:val="single" w:color="000000" w:sz="4" w:space="0"/>
              <w:right w:val="single" w:color="000000" w:sz="4" w:space="0"/>
            </w:tcBorders>
            <w:vAlign w:val="center"/>
          </w:tcPr>
          <w:p w14:paraId="4705C710">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317" w:type="pct"/>
            <w:vMerge w:val="continue"/>
            <w:tcBorders>
              <w:top w:val="single" w:color="000000" w:sz="4" w:space="0"/>
              <w:left w:val="single" w:color="000000" w:sz="4" w:space="0"/>
              <w:bottom w:val="single" w:color="000000" w:sz="4" w:space="0"/>
              <w:right w:val="single" w:color="000000" w:sz="4" w:space="0"/>
            </w:tcBorders>
            <w:vAlign w:val="center"/>
          </w:tcPr>
          <w:p w14:paraId="43B284A8">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64" w:type="pct"/>
            <w:tcBorders>
              <w:top w:val="single" w:color="000000" w:sz="4" w:space="0"/>
              <w:left w:val="single" w:color="000000" w:sz="4" w:space="0"/>
              <w:bottom w:val="nil"/>
              <w:right w:val="single" w:color="000000" w:sz="4" w:space="0"/>
            </w:tcBorders>
            <w:vAlign w:val="center"/>
          </w:tcPr>
          <w:p w14:paraId="329804B0">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计</w:t>
            </w:r>
          </w:p>
        </w:tc>
        <w:tc>
          <w:tcPr>
            <w:tcW w:w="380" w:type="pct"/>
            <w:tcBorders>
              <w:top w:val="single" w:color="000000" w:sz="4" w:space="0"/>
              <w:left w:val="single" w:color="000000" w:sz="4" w:space="0"/>
              <w:bottom w:val="nil"/>
              <w:right w:val="single" w:color="000000" w:sz="4" w:space="0"/>
            </w:tcBorders>
            <w:vAlign w:val="center"/>
          </w:tcPr>
          <w:p w14:paraId="0CF89DBF">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人工半固定沙地</w:t>
            </w:r>
          </w:p>
        </w:tc>
        <w:tc>
          <w:tcPr>
            <w:tcW w:w="384" w:type="pct"/>
            <w:tcBorders>
              <w:top w:val="single" w:color="000000" w:sz="4" w:space="0"/>
              <w:left w:val="single" w:color="000000" w:sz="4" w:space="0"/>
              <w:bottom w:val="nil"/>
              <w:right w:val="single" w:color="000000" w:sz="4" w:space="0"/>
            </w:tcBorders>
            <w:vAlign w:val="center"/>
          </w:tcPr>
          <w:p w14:paraId="38C858A4">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天然半固定沙地</w:t>
            </w:r>
          </w:p>
        </w:tc>
        <w:tc>
          <w:tcPr>
            <w:tcW w:w="291" w:type="pct"/>
            <w:tcBorders>
              <w:top w:val="single" w:color="000000" w:sz="4" w:space="0"/>
              <w:left w:val="single" w:color="000000" w:sz="4" w:space="0"/>
              <w:bottom w:val="nil"/>
              <w:right w:val="single" w:color="000000" w:sz="4" w:space="0"/>
            </w:tcBorders>
            <w:vAlign w:val="center"/>
          </w:tcPr>
          <w:p w14:paraId="78FD6484">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计</w:t>
            </w:r>
          </w:p>
        </w:tc>
        <w:tc>
          <w:tcPr>
            <w:tcW w:w="332" w:type="pct"/>
            <w:tcBorders>
              <w:top w:val="single" w:color="000000" w:sz="4" w:space="0"/>
              <w:left w:val="single" w:color="000000" w:sz="4" w:space="0"/>
              <w:bottom w:val="nil"/>
              <w:right w:val="single" w:color="000000" w:sz="4" w:space="0"/>
            </w:tcBorders>
            <w:vAlign w:val="center"/>
          </w:tcPr>
          <w:p w14:paraId="2C060D19">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人工固定沙地</w:t>
            </w:r>
          </w:p>
        </w:tc>
        <w:tc>
          <w:tcPr>
            <w:tcW w:w="356" w:type="pct"/>
            <w:tcBorders>
              <w:top w:val="single" w:color="000000" w:sz="4" w:space="0"/>
              <w:left w:val="single" w:color="000000" w:sz="4" w:space="0"/>
              <w:bottom w:val="nil"/>
              <w:right w:val="single" w:color="000000" w:sz="4" w:space="0"/>
            </w:tcBorders>
            <w:vAlign w:val="center"/>
          </w:tcPr>
          <w:p w14:paraId="7F313658">
            <w:pPr>
              <w:pStyle w:val="16"/>
              <w:spacing w:line="240" w:lineRule="auto"/>
              <w:ind w:firstLine="0" w:firstLineChars="0"/>
              <w:rPr>
                <w:rFonts w:eastAsiaTheme="minorEastAsia"/>
                <w:b/>
                <w:bCs w:val="0"/>
                <w:color w:val="000000" w:themeColor="text1"/>
                <w:sz w:val="21"/>
                <w14:textFill>
                  <w14:solidFill>
                    <w14:schemeClr w14:val="tx1"/>
                  </w14:solidFill>
                </w14:textFill>
              </w:rPr>
            </w:pPr>
            <w:r>
              <w:rPr>
                <w:rFonts w:eastAsiaTheme="minorEastAsia"/>
                <w:b/>
                <w:bCs w:val="0"/>
                <w:color w:val="000000" w:themeColor="text1"/>
                <w:sz w:val="21"/>
                <w14:textFill>
                  <w14:solidFill>
                    <w14:schemeClr w14:val="tx1"/>
                  </w14:solidFill>
                </w14:textFill>
              </w:rPr>
              <w:t>天然固定沙地</w:t>
            </w:r>
          </w:p>
        </w:tc>
        <w:tc>
          <w:tcPr>
            <w:tcW w:w="282" w:type="pct"/>
            <w:vMerge w:val="continue"/>
            <w:tcBorders>
              <w:top w:val="single" w:color="000000" w:sz="4" w:space="0"/>
              <w:left w:val="single" w:color="000000" w:sz="4" w:space="0"/>
              <w:bottom w:val="single" w:color="000000" w:sz="4" w:space="0"/>
              <w:right w:val="single" w:color="000000" w:sz="4" w:space="0"/>
            </w:tcBorders>
            <w:vAlign w:val="center"/>
          </w:tcPr>
          <w:p w14:paraId="1DFECC00">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310" w:type="pct"/>
            <w:vMerge w:val="continue"/>
            <w:tcBorders>
              <w:top w:val="single" w:color="000000" w:sz="4" w:space="0"/>
              <w:left w:val="single" w:color="000000" w:sz="4" w:space="0"/>
              <w:bottom w:val="single" w:color="000000" w:sz="4" w:space="0"/>
              <w:right w:val="single" w:color="000000" w:sz="4" w:space="0"/>
            </w:tcBorders>
            <w:vAlign w:val="center"/>
          </w:tcPr>
          <w:p w14:paraId="52E4E38E">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313" w:type="pct"/>
            <w:vMerge w:val="continue"/>
            <w:tcBorders>
              <w:top w:val="single" w:color="000000" w:sz="4" w:space="0"/>
              <w:left w:val="single" w:color="000000" w:sz="4" w:space="0"/>
              <w:bottom w:val="single" w:color="000000" w:sz="4" w:space="0"/>
              <w:right w:val="single" w:color="000000" w:sz="4" w:space="0"/>
            </w:tcBorders>
            <w:vAlign w:val="center"/>
          </w:tcPr>
          <w:p w14:paraId="31FAAA56">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75" w:type="pct"/>
            <w:vMerge w:val="continue"/>
            <w:tcBorders>
              <w:left w:val="single" w:color="000000" w:sz="4" w:space="0"/>
              <w:bottom w:val="single" w:color="000000" w:sz="4" w:space="0"/>
              <w:right w:val="single" w:color="000000" w:sz="4" w:space="0"/>
            </w:tcBorders>
            <w:vAlign w:val="center"/>
          </w:tcPr>
          <w:p w14:paraId="7865605C">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99" w:type="pct"/>
            <w:vMerge w:val="continue"/>
            <w:tcBorders>
              <w:top w:val="single" w:color="000000" w:sz="4" w:space="0"/>
              <w:left w:val="single" w:color="000000" w:sz="4" w:space="0"/>
              <w:bottom w:val="single" w:color="000000" w:sz="4" w:space="0"/>
              <w:right w:val="single" w:color="000000" w:sz="4" w:space="0"/>
            </w:tcBorders>
            <w:vAlign w:val="center"/>
          </w:tcPr>
          <w:p w14:paraId="642E8F53">
            <w:pPr>
              <w:pStyle w:val="16"/>
              <w:spacing w:line="240" w:lineRule="auto"/>
              <w:ind w:firstLine="0" w:firstLineChars="0"/>
              <w:rPr>
                <w:rFonts w:eastAsiaTheme="minorEastAsia"/>
                <w:color w:val="000000" w:themeColor="text1"/>
                <w:sz w:val="21"/>
                <w14:textFill>
                  <w14:solidFill>
                    <w14:schemeClr w14:val="tx1"/>
                  </w14:solidFill>
                </w14:textFill>
              </w:rPr>
            </w:pPr>
          </w:p>
        </w:tc>
        <w:tc>
          <w:tcPr>
            <w:tcW w:w="285" w:type="pct"/>
            <w:vMerge w:val="continue"/>
            <w:tcBorders>
              <w:top w:val="single" w:color="000000" w:sz="4" w:space="0"/>
              <w:left w:val="single" w:color="000000" w:sz="4" w:space="0"/>
              <w:bottom w:val="single" w:color="000000" w:sz="4" w:space="0"/>
              <w:right w:val="single" w:color="000000" w:sz="4" w:space="0"/>
            </w:tcBorders>
            <w:vAlign w:val="center"/>
          </w:tcPr>
          <w:p w14:paraId="693D3E30">
            <w:pPr>
              <w:pStyle w:val="16"/>
              <w:spacing w:line="240" w:lineRule="auto"/>
              <w:ind w:firstLine="0" w:firstLineChars="0"/>
              <w:rPr>
                <w:rFonts w:eastAsiaTheme="minorEastAsia"/>
                <w:color w:val="000000" w:themeColor="text1"/>
                <w:sz w:val="21"/>
                <w14:textFill>
                  <w14:solidFill>
                    <w14:schemeClr w14:val="tx1"/>
                  </w14:solidFill>
                </w14:textFill>
              </w:rPr>
            </w:pPr>
          </w:p>
        </w:tc>
      </w:tr>
      <w:tr w14:paraId="17C96AFD">
        <w:tblPrEx>
          <w:tblCellMar>
            <w:top w:w="0" w:type="dxa"/>
            <w:left w:w="108" w:type="dxa"/>
            <w:bottom w:w="0" w:type="dxa"/>
            <w:right w:w="108" w:type="dxa"/>
          </w:tblCellMar>
        </w:tblPrEx>
        <w:trPr>
          <w:trHeight w:val="312" w:hRule="atLeast"/>
        </w:trPr>
        <w:tc>
          <w:tcPr>
            <w:tcW w:w="312" w:type="pct"/>
            <w:tcBorders>
              <w:top w:val="single" w:color="000000" w:sz="4" w:space="0"/>
              <w:left w:val="single" w:color="000000" w:sz="4" w:space="0"/>
              <w:bottom w:val="single" w:color="000000" w:sz="4" w:space="0"/>
              <w:right w:val="single" w:color="000000" w:sz="4" w:space="0"/>
            </w:tcBorders>
            <w:vAlign w:val="center"/>
          </w:tcPr>
          <w:p w14:paraId="08D9948F">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巴音郭楞蒙古自治州</w:t>
            </w:r>
          </w:p>
        </w:tc>
        <w:tc>
          <w:tcPr>
            <w:tcW w:w="296" w:type="pct"/>
            <w:tcBorders>
              <w:top w:val="single" w:color="000000" w:sz="4" w:space="0"/>
              <w:left w:val="single" w:color="000000" w:sz="4" w:space="0"/>
              <w:bottom w:val="single" w:color="000000" w:sz="4" w:space="0"/>
              <w:right w:val="single" w:color="000000" w:sz="4" w:space="0"/>
            </w:tcBorders>
            <w:noWrap/>
            <w:vAlign w:val="center"/>
          </w:tcPr>
          <w:p w14:paraId="1E24DFE2">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47139429.11</w:t>
            </w:r>
          </w:p>
        </w:tc>
        <w:tc>
          <w:tcPr>
            <w:tcW w:w="296" w:type="pct"/>
            <w:tcBorders>
              <w:top w:val="single" w:color="000000" w:sz="4" w:space="0"/>
              <w:left w:val="single" w:color="000000" w:sz="4" w:space="0"/>
              <w:bottom w:val="single" w:color="000000" w:sz="4" w:space="0"/>
              <w:right w:val="single" w:color="000000" w:sz="4" w:space="0"/>
            </w:tcBorders>
            <w:noWrap/>
            <w:vAlign w:val="center"/>
          </w:tcPr>
          <w:p w14:paraId="07ADA1D8">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24921249.82</w:t>
            </w:r>
          </w:p>
        </w:tc>
        <w:tc>
          <w:tcPr>
            <w:tcW w:w="317" w:type="pct"/>
            <w:tcBorders>
              <w:top w:val="single" w:color="000000" w:sz="4" w:space="0"/>
              <w:left w:val="single" w:color="000000" w:sz="4" w:space="0"/>
              <w:bottom w:val="single" w:color="000000" w:sz="4" w:space="0"/>
              <w:right w:val="single" w:color="000000" w:sz="4" w:space="0"/>
            </w:tcBorders>
            <w:noWrap/>
            <w:vAlign w:val="center"/>
          </w:tcPr>
          <w:p w14:paraId="2B268C8C">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13246944.29</w:t>
            </w:r>
          </w:p>
        </w:tc>
        <w:tc>
          <w:tcPr>
            <w:tcW w:w="264" w:type="pct"/>
            <w:tcBorders>
              <w:top w:val="single" w:color="000000" w:sz="4" w:space="0"/>
              <w:left w:val="single" w:color="000000" w:sz="4" w:space="0"/>
              <w:bottom w:val="single" w:color="000000" w:sz="4" w:space="0"/>
              <w:right w:val="single" w:color="000000" w:sz="4" w:space="0"/>
            </w:tcBorders>
            <w:noWrap/>
            <w:vAlign w:val="center"/>
          </w:tcPr>
          <w:p w14:paraId="00EAAFBA">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2943582.70</w:t>
            </w:r>
          </w:p>
        </w:tc>
        <w:tc>
          <w:tcPr>
            <w:tcW w:w="380" w:type="pct"/>
            <w:tcBorders>
              <w:top w:val="single" w:color="000000" w:sz="4" w:space="0"/>
              <w:left w:val="single" w:color="000000" w:sz="4" w:space="0"/>
              <w:bottom w:val="single" w:color="000000" w:sz="4" w:space="0"/>
              <w:right w:val="single" w:color="000000" w:sz="4" w:space="0"/>
            </w:tcBorders>
            <w:noWrap/>
            <w:vAlign w:val="center"/>
          </w:tcPr>
          <w:p w14:paraId="46643661">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137443.68</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0D870FD8">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2806139.02</w:t>
            </w:r>
          </w:p>
        </w:tc>
        <w:tc>
          <w:tcPr>
            <w:tcW w:w="291" w:type="pct"/>
            <w:tcBorders>
              <w:top w:val="single" w:color="000000" w:sz="4" w:space="0"/>
              <w:left w:val="single" w:color="000000" w:sz="4" w:space="0"/>
              <w:bottom w:val="single" w:color="000000" w:sz="4" w:space="0"/>
              <w:right w:val="single" w:color="000000" w:sz="4" w:space="0"/>
            </w:tcBorders>
            <w:noWrap/>
            <w:vAlign w:val="center"/>
          </w:tcPr>
          <w:p w14:paraId="11777FED">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1215262.99</w:t>
            </w:r>
          </w:p>
        </w:tc>
        <w:tc>
          <w:tcPr>
            <w:tcW w:w="332" w:type="pct"/>
            <w:tcBorders>
              <w:top w:val="single" w:color="000000" w:sz="4" w:space="0"/>
              <w:left w:val="single" w:color="000000" w:sz="4" w:space="0"/>
              <w:bottom w:val="single" w:color="000000" w:sz="4" w:space="0"/>
              <w:right w:val="single" w:color="000000" w:sz="4" w:space="0"/>
            </w:tcBorders>
            <w:noWrap/>
            <w:vAlign w:val="center"/>
          </w:tcPr>
          <w:p w14:paraId="30737241">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59955.98</w:t>
            </w:r>
          </w:p>
        </w:tc>
        <w:tc>
          <w:tcPr>
            <w:tcW w:w="356" w:type="pct"/>
            <w:tcBorders>
              <w:top w:val="single" w:color="000000" w:sz="4" w:space="0"/>
              <w:left w:val="single" w:color="000000" w:sz="4" w:space="0"/>
              <w:bottom w:val="single" w:color="000000" w:sz="4" w:space="0"/>
              <w:right w:val="single" w:color="000000" w:sz="4" w:space="0"/>
            </w:tcBorders>
            <w:noWrap/>
            <w:vAlign w:val="center"/>
          </w:tcPr>
          <w:p w14:paraId="57F2E235">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1155307.01</w:t>
            </w:r>
          </w:p>
        </w:tc>
        <w:tc>
          <w:tcPr>
            <w:tcW w:w="282" w:type="pct"/>
            <w:tcBorders>
              <w:top w:val="single" w:color="000000" w:sz="4" w:space="0"/>
              <w:left w:val="single" w:color="000000" w:sz="4" w:space="0"/>
              <w:bottom w:val="single" w:color="000000" w:sz="4" w:space="0"/>
              <w:right w:val="single" w:color="000000" w:sz="4" w:space="0"/>
            </w:tcBorders>
            <w:noWrap/>
            <w:vAlign w:val="center"/>
          </w:tcPr>
          <w:p w14:paraId="1BDCE6BE">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52527.49</w:t>
            </w:r>
          </w:p>
        </w:tc>
        <w:tc>
          <w:tcPr>
            <w:tcW w:w="310" w:type="pct"/>
            <w:tcBorders>
              <w:top w:val="single" w:color="000000" w:sz="4" w:space="0"/>
              <w:left w:val="single" w:color="000000" w:sz="4" w:space="0"/>
              <w:bottom w:val="single" w:color="000000" w:sz="4" w:space="0"/>
              <w:right w:val="single" w:color="000000" w:sz="4" w:space="0"/>
            </w:tcBorders>
            <w:noWrap/>
            <w:vAlign w:val="center"/>
          </w:tcPr>
          <w:p w14:paraId="048CD88D">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431.91</w:t>
            </w:r>
          </w:p>
        </w:tc>
        <w:tc>
          <w:tcPr>
            <w:tcW w:w="313" w:type="pct"/>
            <w:tcBorders>
              <w:top w:val="single" w:color="000000" w:sz="4" w:space="0"/>
              <w:left w:val="single" w:color="000000" w:sz="4" w:space="0"/>
              <w:bottom w:val="single" w:color="000000" w:sz="4" w:space="0"/>
              <w:right w:val="single" w:color="000000" w:sz="4" w:space="0"/>
            </w:tcBorders>
            <w:noWrap/>
            <w:vAlign w:val="center"/>
          </w:tcPr>
          <w:p w14:paraId="2A5C3E50">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203988.95</w:t>
            </w:r>
          </w:p>
        </w:tc>
        <w:tc>
          <w:tcPr>
            <w:tcW w:w="275" w:type="pct"/>
            <w:tcBorders>
              <w:top w:val="single" w:color="000000" w:sz="4" w:space="0"/>
              <w:left w:val="single" w:color="000000" w:sz="4" w:space="0"/>
              <w:bottom w:val="single" w:color="000000" w:sz="4" w:space="0"/>
              <w:right w:val="single" w:color="000000" w:sz="4" w:space="0"/>
            </w:tcBorders>
            <w:noWrap/>
            <w:vAlign w:val="center"/>
          </w:tcPr>
          <w:p w14:paraId="2FCF5988">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7258511.49</w:t>
            </w:r>
          </w:p>
        </w:tc>
        <w:tc>
          <w:tcPr>
            <w:tcW w:w="299" w:type="pct"/>
            <w:tcBorders>
              <w:top w:val="single" w:color="000000" w:sz="4" w:space="0"/>
              <w:left w:val="single" w:color="000000" w:sz="4" w:space="0"/>
              <w:bottom w:val="single" w:color="000000" w:sz="4" w:space="0"/>
              <w:right w:val="single" w:color="000000" w:sz="4" w:space="0"/>
            </w:tcBorders>
            <w:noWrap/>
            <w:vAlign w:val="center"/>
          </w:tcPr>
          <w:p w14:paraId="40AA8169">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691894.65</w:t>
            </w:r>
          </w:p>
        </w:tc>
        <w:tc>
          <w:tcPr>
            <w:tcW w:w="285" w:type="pct"/>
            <w:tcBorders>
              <w:top w:val="single" w:color="000000" w:sz="4" w:space="0"/>
              <w:left w:val="single" w:color="000000" w:sz="4" w:space="0"/>
              <w:bottom w:val="single" w:color="000000" w:sz="4" w:space="0"/>
              <w:right w:val="single" w:color="000000" w:sz="4" w:space="0"/>
            </w:tcBorders>
            <w:noWrap/>
            <w:vAlign w:val="center"/>
          </w:tcPr>
          <w:p w14:paraId="68336C2A">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21526284.64</w:t>
            </w:r>
          </w:p>
        </w:tc>
      </w:tr>
      <w:tr w14:paraId="45002E00">
        <w:tblPrEx>
          <w:tblCellMar>
            <w:top w:w="0" w:type="dxa"/>
            <w:left w:w="108" w:type="dxa"/>
            <w:bottom w:w="0" w:type="dxa"/>
            <w:right w:w="108" w:type="dxa"/>
          </w:tblCellMar>
        </w:tblPrEx>
        <w:trPr>
          <w:trHeight w:val="312" w:hRule="atLeast"/>
        </w:trPr>
        <w:tc>
          <w:tcPr>
            <w:tcW w:w="312" w:type="pct"/>
            <w:tcBorders>
              <w:top w:val="single" w:color="000000" w:sz="4" w:space="0"/>
              <w:left w:val="single" w:color="000000" w:sz="4" w:space="0"/>
              <w:bottom w:val="single" w:color="000000" w:sz="4" w:space="0"/>
              <w:right w:val="single" w:color="000000" w:sz="4" w:space="0"/>
            </w:tcBorders>
            <w:vAlign w:val="center"/>
          </w:tcPr>
          <w:p w14:paraId="251A3CAF">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若羌县</w:t>
            </w:r>
          </w:p>
        </w:tc>
        <w:tc>
          <w:tcPr>
            <w:tcW w:w="296" w:type="pct"/>
            <w:tcBorders>
              <w:top w:val="single" w:color="000000" w:sz="4" w:space="0"/>
              <w:left w:val="single" w:color="000000" w:sz="4" w:space="0"/>
              <w:bottom w:val="single" w:color="000000" w:sz="4" w:space="0"/>
              <w:right w:val="single" w:color="000000" w:sz="4" w:space="0"/>
            </w:tcBorders>
            <w:noWrap/>
            <w:vAlign w:val="center"/>
          </w:tcPr>
          <w:p w14:paraId="7A96D811">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19868521.75</w:t>
            </w:r>
          </w:p>
        </w:tc>
        <w:tc>
          <w:tcPr>
            <w:tcW w:w="296" w:type="pct"/>
            <w:tcBorders>
              <w:top w:val="single" w:color="000000" w:sz="4" w:space="0"/>
              <w:left w:val="single" w:color="000000" w:sz="4" w:space="0"/>
              <w:bottom w:val="single" w:color="000000" w:sz="4" w:space="0"/>
              <w:right w:val="single" w:color="000000" w:sz="4" w:space="0"/>
            </w:tcBorders>
            <w:noWrap/>
            <w:vAlign w:val="center"/>
          </w:tcPr>
          <w:p w14:paraId="07EC03DB">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10351255.80</w:t>
            </w:r>
          </w:p>
        </w:tc>
        <w:tc>
          <w:tcPr>
            <w:tcW w:w="317" w:type="pct"/>
            <w:tcBorders>
              <w:top w:val="single" w:color="000000" w:sz="4" w:space="0"/>
              <w:left w:val="single" w:color="000000" w:sz="4" w:space="0"/>
              <w:bottom w:val="single" w:color="000000" w:sz="4" w:space="0"/>
              <w:right w:val="single" w:color="000000" w:sz="4" w:space="0"/>
            </w:tcBorders>
            <w:noWrap/>
            <w:vAlign w:val="center"/>
          </w:tcPr>
          <w:p w14:paraId="045CAFD2">
            <w:pPr>
              <w:pStyle w:val="16"/>
              <w:spacing w:line="240" w:lineRule="auto"/>
              <w:ind w:firstLine="0" w:firstLineChars="0"/>
              <w:rPr>
                <w:rFonts w:eastAsiaTheme="minorEastAsia"/>
                <w:color w:val="000000" w:themeColor="text1"/>
                <w:sz w:val="21"/>
                <w14:textFill>
                  <w14:solidFill>
                    <w14:schemeClr w14:val="tx1"/>
                  </w14:solidFill>
                </w14:textFill>
              </w:rPr>
            </w:pPr>
            <w:r>
              <w:rPr>
                <w:rFonts w:eastAsiaTheme="minorEastAsia"/>
                <w:color w:val="000000" w:themeColor="text1"/>
                <w:sz w:val="21"/>
                <w14:textFill>
                  <w14:solidFill>
                    <w14:schemeClr w14:val="tx1"/>
                  </w14:solidFill>
                </w14:textFill>
              </w:rPr>
              <w:t>4368957.76</w:t>
            </w:r>
          </w:p>
        </w:tc>
        <w:tc>
          <w:tcPr>
            <w:tcW w:w="264" w:type="pct"/>
            <w:tcBorders>
              <w:top w:val="single" w:color="000000" w:sz="4" w:space="0"/>
              <w:left w:val="single" w:color="000000" w:sz="4" w:space="0"/>
              <w:bottom w:val="single" w:color="000000" w:sz="4" w:space="0"/>
              <w:right w:val="single" w:color="000000" w:sz="4" w:space="0"/>
            </w:tcBorders>
            <w:noWrap/>
            <w:vAlign w:val="center"/>
          </w:tcPr>
          <w:p w14:paraId="72D1B4CC">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463350.56</w:t>
            </w:r>
          </w:p>
        </w:tc>
        <w:tc>
          <w:tcPr>
            <w:tcW w:w="380" w:type="pct"/>
            <w:tcBorders>
              <w:top w:val="single" w:color="000000" w:sz="4" w:space="0"/>
              <w:left w:val="single" w:color="000000" w:sz="4" w:space="0"/>
              <w:bottom w:val="single" w:color="000000" w:sz="4" w:space="0"/>
              <w:right w:val="single" w:color="000000" w:sz="4" w:space="0"/>
            </w:tcBorders>
            <w:noWrap/>
            <w:vAlign w:val="center"/>
          </w:tcPr>
          <w:p w14:paraId="7211E813">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6144.02</w:t>
            </w:r>
          </w:p>
        </w:tc>
        <w:tc>
          <w:tcPr>
            <w:tcW w:w="384" w:type="pct"/>
            <w:tcBorders>
              <w:top w:val="single" w:color="000000" w:sz="4" w:space="0"/>
              <w:left w:val="single" w:color="000000" w:sz="4" w:space="0"/>
              <w:bottom w:val="single" w:color="000000" w:sz="4" w:space="0"/>
              <w:right w:val="single" w:color="000000" w:sz="4" w:space="0"/>
            </w:tcBorders>
            <w:noWrap/>
            <w:vAlign w:val="center"/>
          </w:tcPr>
          <w:p w14:paraId="34010562">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457206.54</w:t>
            </w:r>
          </w:p>
        </w:tc>
        <w:tc>
          <w:tcPr>
            <w:tcW w:w="291" w:type="pct"/>
            <w:tcBorders>
              <w:top w:val="single" w:color="000000" w:sz="4" w:space="0"/>
              <w:left w:val="single" w:color="000000" w:sz="4" w:space="0"/>
              <w:bottom w:val="single" w:color="000000" w:sz="4" w:space="0"/>
              <w:right w:val="single" w:color="000000" w:sz="4" w:space="0"/>
            </w:tcBorders>
            <w:noWrap/>
            <w:vAlign w:val="center"/>
          </w:tcPr>
          <w:p w14:paraId="26384A68">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255767.18</w:t>
            </w:r>
          </w:p>
        </w:tc>
        <w:tc>
          <w:tcPr>
            <w:tcW w:w="332" w:type="pct"/>
            <w:tcBorders>
              <w:top w:val="single" w:color="000000" w:sz="4" w:space="0"/>
              <w:left w:val="single" w:color="000000" w:sz="4" w:space="0"/>
              <w:bottom w:val="single" w:color="000000" w:sz="4" w:space="0"/>
              <w:right w:val="single" w:color="000000" w:sz="4" w:space="0"/>
            </w:tcBorders>
            <w:noWrap/>
            <w:vAlign w:val="center"/>
          </w:tcPr>
          <w:p w14:paraId="588B4E66">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9790.97</w:t>
            </w:r>
          </w:p>
        </w:tc>
        <w:tc>
          <w:tcPr>
            <w:tcW w:w="356" w:type="pct"/>
            <w:tcBorders>
              <w:top w:val="single" w:color="000000" w:sz="4" w:space="0"/>
              <w:left w:val="single" w:color="000000" w:sz="4" w:space="0"/>
              <w:bottom w:val="single" w:color="000000" w:sz="4" w:space="0"/>
              <w:right w:val="single" w:color="000000" w:sz="4" w:space="0"/>
            </w:tcBorders>
            <w:noWrap/>
            <w:vAlign w:val="center"/>
          </w:tcPr>
          <w:p w14:paraId="734B77FE">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245976.21</w:t>
            </w:r>
          </w:p>
        </w:tc>
        <w:tc>
          <w:tcPr>
            <w:tcW w:w="282" w:type="pct"/>
            <w:tcBorders>
              <w:top w:val="single" w:color="000000" w:sz="4" w:space="0"/>
              <w:left w:val="single" w:color="000000" w:sz="4" w:space="0"/>
              <w:bottom w:val="single" w:color="000000" w:sz="4" w:space="0"/>
              <w:right w:val="single" w:color="000000" w:sz="4" w:space="0"/>
            </w:tcBorders>
            <w:noWrap/>
            <w:vAlign w:val="center"/>
          </w:tcPr>
          <w:p w14:paraId="31473C6B">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536.16</w:t>
            </w:r>
          </w:p>
        </w:tc>
        <w:tc>
          <w:tcPr>
            <w:tcW w:w="310" w:type="pct"/>
            <w:tcBorders>
              <w:top w:val="single" w:color="000000" w:sz="4" w:space="0"/>
              <w:left w:val="single" w:color="000000" w:sz="4" w:space="0"/>
              <w:bottom w:val="single" w:color="000000" w:sz="4" w:space="0"/>
              <w:right w:val="single" w:color="000000" w:sz="4" w:space="0"/>
            </w:tcBorders>
            <w:noWrap/>
            <w:vAlign w:val="center"/>
          </w:tcPr>
          <w:p w14:paraId="14E59324">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428.18</w:t>
            </w:r>
          </w:p>
        </w:tc>
        <w:tc>
          <w:tcPr>
            <w:tcW w:w="313" w:type="pct"/>
            <w:tcBorders>
              <w:top w:val="single" w:color="000000" w:sz="4" w:space="0"/>
              <w:left w:val="single" w:color="000000" w:sz="4" w:space="0"/>
              <w:bottom w:val="single" w:color="000000" w:sz="4" w:space="0"/>
              <w:right w:val="single" w:color="000000" w:sz="4" w:space="0"/>
            </w:tcBorders>
            <w:noWrap/>
            <w:vAlign w:val="center"/>
          </w:tcPr>
          <w:p w14:paraId="464A7D62">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200200.11</w:t>
            </w:r>
          </w:p>
        </w:tc>
        <w:tc>
          <w:tcPr>
            <w:tcW w:w="275" w:type="pct"/>
            <w:tcBorders>
              <w:top w:val="single" w:color="000000" w:sz="4" w:space="0"/>
              <w:left w:val="single" w:color="000000" w:sz="4" w:space="0"/>
              <w:bottom w:val="single" w:color="000000" w:sz="4" w:space="0"/>
              <w:right w:val="single" w:color="000000" w:sz="4" w:space="0"/>
            </w:tcBorders>
            <w:noWrap/>
            <w:vAlign w:val="center"/>
          </w:tcPr>
          <w:p w14:paraId="32B8E002">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5062015.85</w:t>
            </w:r>
          </w:p>
        </w:tc>
        <w:tc>
          <w:tcPr>
            <w:tcW w:w="299" w:type="pct"/>
            <w:tcBorders>
              <w:top w:val="single" w:color="000000" w:sz="4" w:space="0"/>
              <w:left w:val="single" w:color="000000" w:sz="4" w:space="0"/>
              <w:bottom w:val="single" w:color="000000" w:sz="4" w:space="0"/>
              <w:right w:val="single" w:color="000000" w:sz="4" w:space="0"/>
            </w:tcBorders>
            <w:noWrap/>
            <w:vAlign w:val="center"/>
          </w:tcPr>
          <w:p w14:paraId="79768A89">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190127.79</w:t>
            </w:r>
          </w:p>
        </w:tc>
        <w:tc>
          <w:tcPr>
            <w:tcW w:w="285" w:type="pct"/>
            <w:tcBorders>
              <w:top w:val="single" w:color="000000" w:sz="4" w:space="0"/>
              <w:left w:val="single" w:color="000000" w:sz="4" w:space="0"/>
              <w:bottom w:val="single" w:color="000000" w:sz="4" w:space="0"/>
              <w:right w:val="single" w:color="000000" w:sz="4" w:space="0"/>
            </w:tcBorders>
            <w:noWrap/>
            <w:vAlign w:val="center"/>
          </w:tcPr>
          <w:p w14:paraId="53AD937E">
            <w:pPr>
              <w:pStyle w:val="16"/>
              <w:spacing w:line="240" w:lineRule="auto"/>
              <w:ind w:firstLine="0" w:firstLineChars="0"/>
              <w:rPr>
                <w:rFonts w:eastAsiaTheme="minorEastAsia"/>
                <w:color w:val="000000" w:themeColor="text1"/>
                <w:sz w:val="21"/>
                <w14:textFill>
                  <w14:solidFill>
                    <w14:schemeClr w14:val="tx1"/>
                  </w14:solidFill>
                </w14:textFill>
              </w:rPr>
            </w:pPr>
            <w:r>
              <w:rPr>
                <w:rFonts w:hint="eastAsia" w:eastAsiaTheme="minorEastAsia"/>
                <w:color w:val="000000" w:themeColor="text1"/>
                <w:sz w:val="21"/>
                <w14:textFill>
                  <w14:solidFill>
                    <w14:schemeClr w14:val="tx1"/>
                  </w14:solidFill>
                </w14:textFill>
              </w:rPr>
              <w:t>9327138.16</w:t>
            </w:r>
          </w:p>
        </w:tc>
      </w:tr>
    </w:tbl>
    <w:p w14:paraId="32F19F0D">
      <w:pPr>
        <w:pStyle w:val="44"/>
        <w:rPr>
          <w:color w:val="000000" w:themeColor="text1"/>
          <w14:textFill>
            <w14:solidFill>
              <w14:schemeClr w14:val="tx1"/>
            </w14:solidFill>
          </w14:textFill>
        </w:rPr>
        <w:sectPr>
          <w:pgSz w:w="16838" w:h="11906" w:orient="landscape"/>
          <w:pgMar w:top="1800" w:right="1440" w:bottom="1800" w:left="1440" w:header="851" w:footer="992" w:gutter="0"/>
          <w:cols w:space="720" w:num="1"/>
          <w:docGrid w:type="lines" w:linePitch="312" w:charSpace="0"/>
        </w:sectPr>
      </w:pPr>
    </w:p>
    <w:p w14:paraId="7A6F8285">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r>
        <w:rPr>
          <w:bCs/>
          <w:color w:val="000000" w:themeColor="text1"/>
          <w:sz w:val="28"/>
          <w:szCs w:val="32"/>
          <w14:textFill>
            <w14:solidFill>
              <w14:schemeClr w14:val="tx1"/>
            </w14:solidFill>
          </w14:textFill>
        </w:rPr>
        <w:t>4.5.</w:t>
      </w:r>
      <w:r>
        <w:rPr>
          <w:rFonts w:hint="eastAsia"/>
          <w:bCs/>
          <w:color w:val="000000" w:themeColor="text1"/>
          <w:sz w:val="28"/>
          <w:szCs w:val="32"/>
          <w14:textFill>
            <w14:solidFill>
              <w14:schemeClr w14:val="tx1"/>
            </w14:solidFill>
          </w14:textFill>
        </w:rPr>
        <w:t xml:space="preserve">6 </w:t>
      </w:r>
      <w:r>
        <w:rPr>
          <w:bCs/>
          <w:color w:val="000000" w:themeColor="text1"/>
          <w:sz w:val="28"/>
          <w:szCs w:val="32"/>
          <w14:textFill>
            <w14:solidFill>
              <w14:schemeClr w14:val="tx1"/>
            </w14:solidFill>
          </w14:textFill>
        </w:rPr>
        <w:t>水土流失现状</w:t>
      </w:r>
      <w:bookmarkEnd w:id="844"/>
      <w:bookmarkEnd w:id="845"/>
      <w:bookmarkEnd w:id="846"/>
      <w:bookmarkEnd w:id="847"/>
      <w:bookmarkEnd w:id="848"/>
    </w:p>
    <w:p w14:paraId="78B59E1E">
      <w:pPr>
        <w:pStyle w:val="50"/>
        <w:spacing w:line="360" w:lineRule="auto"/>
        <w:ind w:firstLine="480"/>
        <w:rPr>
          <w:color w:val="000000" w:themeColor="text1"/>
          <w14:textFill>
            <w14:solidFill>
              <w14:schemeClr w14:val="tx1"/>
            </w14:solidFill>
          </w14:textFill>
        </w:rPr>
      </w:pPr>
      <w:r>
        <w:rPr>
          <w:rFonts w:hint="eastAsia" w:ascii="Times New Roman" w:hAnsi="Times New Roman"/>
          <w:color w:val="000000" w:themeColor="text1"/>
          <w:sz w:val="24"/>
          <w:lang w:val="en-US" w:eastAsia="zh-CN"/>
          <w14:textFill>
            <w14:solidFill>
              <w14:schemeClr w14:val="tx1"/>
            </w14:solidFill>
          </w14:textFill>
        </w:rPr>
        <w:t>根据&lt;水利部办公厅关于印发《全国水土保持规划国家级水土流失重点预防区和重点治理区复核划分成果》的通知&gt;（办水保</w:t>
      </w:r>
      <w:r>
        <w:rPr>
          <w:rFonts w:hint="eastAsia" w:ascii="宋体" w:hAnsi="宋体" w:eastAsia="宋体" w:cs="宋体"/>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2013</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Times New Roman" w:hAnsi="Times New Roman"/>
          <w:color w:val="000000" w:themeColor="text1"/>
          <w:sz w:val="24"/>
          <w:lang w:val="en-US" w:eastAsia="zh-CN"/>
          <w14:textFill>
            <w14:solidFill>
              <w14:schemeClr w14:val="tx1"/>
            </w14:solidFill>
          </w14:textFill>
        </w:rPr>
        <w:t>188号），若羌县属于阿尔金山国家级水土流失重点预防区。</w:t>
      </w:r>
      <w:r>
        <w:rPr>
          <w:rFonts w:ascii="Times New Roman" w:hAnsi="Times New Roman"/>
          <w:color w:val="000000" w:themeColor="text1"/>
          <w:sz w:val="24"/>
          <w14:textFill>
            <w14:solidFill>
              <w14:schemeClr w14:val="tx1"/>
            </w14:solidFill>
          </w14:textFill>
        </w:rPr>
        <w:t>根据新疆维吾尔自治区水利厅《关于印发新疆</w:t>
      </w:r>
      <w:r>
        <w:rPr>
          <w:rFonts w:hint="eastAsia" w:ascii="Times New Roman" w:hAnsi="Times New Roman"/>
          <w:color w:val="000000" w:themeColor="text1"/>
          <w:sz w:val="24"/>
          <w14:textFill>
            <w14:solidFill>
              <w14:schemeClr w14:val="tx1"/>
            </w14:solidFill>
          </w14:textFill>
        </w:rPr>
        <w:t>维吾尔</w:t>
      </w:r>
      <w:r>
        <w:rPr>
          <w:rFonts w:ascii="Times New Roman" w:hAnsi="Times New Roman"/>
          <w:color w:val="000000" w:themeColor="text1"/>
          <w:sz w:val="24"/>
          <w14:textFill>
            <w14:solidFill>
              <w14:schemeClr w14:val="tx1"/>
            </w14:solidFill>
          </w14:textFill>
        </w:rPr>
        <w:t>自治区级水土流失重点预防区和重点治理区复核划分成果的通知》（新水办水保〔2019〕4号），项目区</w:t>
      </w:r>
      <w:r>
        <w:rPr>
          <w:rFonts w:hint="eastAsia" w:ascii="Times New Roman" w:hAnsi="Times New Roman"/>
          <w:color w:val="000000" w:themeColor="text1"/>
          <w:sz w:val="24"/>
          <w14:textFill>
            <w14:solidFill>
              <w14:schemeClr w14:val="tx1"/>
            </w14:solidFill>
          </w14:textFill>
        </w:rPr>
        <w:t>不</w:t>
      </w:r>
      <w:r>
        <w:rPr>
          <w:rFonts w:ascii="Times New Roman" w:hAnsi="Times New Roman"/>
          <w:color w:val="000000" w:themeColor="text1"/>
          <w:sz w:val="24"/>
          <w14:textFill>
            <w14:solidFill>
              <w14:schemeClr w14:val="tx1"/>
            </w14:solidFill>
          </w14:textFill>
        </w:rPr>
        <w:t>属于新疆维吾尔自治区水土流失重点治理区</w:t>
      </w:r>
      <w:r>
        <w:rPr>
          <w:rFonts w:hint="eastAsia" w:ascii="Times New Roman" w:hAnsi="Times New Roman"/>
          <w:color w:val="000000" w:themeColor="text1"/>
          <w:sz w:val="24"/>
          <w14:textFill>
            <w14:solidFill>
              <w14:schemeClr w14:val="tx1"/>
            </w14:solidFill>
          </w14:textFill>
        </w:rPr>
        <w:t>和预防区</w:t>
      </w:r>
      <w:r>
        <w:rPr>
          <w:rFonts w:ascii="Times New Roman" w:hAnsi="Times New Roman"/>
          <w:color w:val="000000" w:themeColor="text1"/>
          <w:sz w:val="24"/>
          <w14:textFill>
            <w14:solidFill>
              <w14:schemeClr w14:val="tx1"/>
            </w14:solidFill>
          </w14:textFill>
        </w:rPr>
        <w:t>。</w:t>
      </w:r>
    </w:p>
    <w:p w14:paraId="62CD010A">
      <w:pPr>
        <w:pStyle w:val="50"/>
        <w:spacing w:line="360" w:lineRule="auto"/>
        <w:ind w:firstLine="480"/>
        <w:rPr>
          <w:rFonts w:hint="eastAsia" w:ascii="Times New Roman" w:hAnsi="Times New Roman"/>
          <w:color w:val="000000" w:themeColor="text1"/>
          <w:sz w:val="24"/>
          <w:lang w:val="en-US" w:eastAsia="zh-CN"/>
          <w14:textFill>
            <w14:solidFill>
              <w14:schemeClr w14:val="tx1"/>
            </w14:solidFill>
          </w14:textFill>
        </w:rPr>
      </w:pPr>
      <w:r>
        <w:rPr>
          <w:rFonts w:hint="eastAsia" w:ascii="Times New Roman" w:hAnsi="Times New Roman"/>
          <w:color w:val="000000" w:themeColor="text1"/>
          <w:sz w:val="24"/>
          <w:lang w:val="en-US" w:eastAsia="zh-CN"/>
          <w14:textFill>
            <w14:solidFill>
              <w14:schemeClr w14:val="tx1"/>
            </w14:solidFill>
          </w14:textFill>
        </w:rPr>
        <w:t>根据《新疆维吾尔自治区</w:t>
      </w:r>
      <w:r>
        <w:rPr>
          <w:rFonts w:hint="default" w:ascii="Times New Roman" w:hAnsi="Times New Roman"/>
          <w:color w:val="000000" w:themeColor="text1"/>
          <w:sz w:val="24"/>
          <w:lang w:val="en-US" w:eastAsia="zh-CN"/>
          <w14:textFill>
            <w14:solidFill>
              <w14:schemeClr w14:val="tx1"/>
            </w14:solidFill>
          </w14:textFill>
        </w:rPr>
        <w:t>2023</w:t>
      </w:r>
      <w:r>
        <w:rPr>
          <w:rFonts w:hint="eastAsia" w:ascii="Times New Roman" w:hAnsi="Times New Roman"/>
          <w:color w:val="000000" w:themeColor="text1"/>
          <w:sz w:val="24"/>
          <w:lang w:val="en-US" w:eastAsia="zh-CN"/>
          <w14:textFill>
            <w14:solidFill>
              <w14:schemeClr w14:val="tx1"/>
            </w14:solidFill>
          </w14:textFill>
        </w:rPr>
        <w:t>年度水土流失动态监测年报》，</w:t>
      </w:r>
      <w:r>
        <w:rPr>
          <w:rFonts w:hint="default" w:ascii="Times New Roman" w:hAnsi="Times New Roman"/>
          <w:color w:val="000000" w:themeColor="text1"/>
          <w:sz w:val="24"/>
          <w:lang w:val="en-US" w:eastAsia="zh-CN"/>
          <w14:textFill>
            <w14:solidFill>
              <w14:schemeClr w14:val="tx1"/>
            </w14:solidFill>
          </w14:textFill>
        </w:rPr>
        <w:t>2023</w:t>
      </w:r>
      <w:r>
        <w:rPr>
          <w:rFonts w:hint="eastAsia" w:ascii="Times New Roman" w:hAnsi="Times New Roman"/>
          <w:color w:val="000000" w:themeColor="text1"/>
          <w:sz w:val="24"/>
          <w:lang w:val="en-US" w:eastAsia="zh-CN"/>
          <w14:textFill>
            <w14:solidFill>
              <w14:schemeClr w14:val="tx1"/>
            </w14:solidFill>
          </w14:textFill>
        </w:rPr>
        <w:t>年若羌县水土流失面积</w:t>
      </w:r>
      <w:r>
        <w:rPr>
          <w:rFonts w:hint="default" w:ascii="Times New Roman" w:hAnsi="Times New Roman"/>
          <w:color w:val="000000" w:themeColor="text1"/>
          <w:sz w:val="24"/>
          <w:lang w:val="en-US" w:eastAsia="zh-CN"/>
          <w14:textFill>
            <w14:solidFill>
              <w14:schemeClr w14:val="tx1"/>
            </w14:solidFill>
          </w14:textFill>
        </w:rPr>
        <w:t>83103.61km</w:t>
      </w:r>
      <w:r>
        <w:rPr>
          <w:rFonts w:hint="default" w:ascii="Times New Roman" w:hAnsi="Times New Roman"/>
          <w:color w:val="000000" w:themeColor="text1"/>
          <w:sz w:val="24"/>
          <w:vertAlign w:val="superscript"/>
          <w:lang w:val="en-US" w:eastAsia="zh-CN"/>
          <w14:textFill>
            <w14:solidFill>
              <w14:schemeClr w14:val="tx1"/>
            </w14:solidFill>
          </w14:textFill>
        </w:rPr>
        <w:t>2</w:t>
      </w:r>
      <w:r>
        <w:rPr>
          <w:rFonts w:hint="eastAsia" w:ascii="Times New Roman" w:hAnsi="Times New Roman"/>
          <w:color w:val="000000" w:themeColor="text1"/>
          <w:sz w:val="24"/>
          <w:lang w:val="en-US" w:eastAsia="zh-CN"/>
          <w14:textFill>
            <w14:solidFill>
              <w14:schemeClr w14:val="tx1"/>
            </w14:solidFill>
          </w14:textFill>
        </w:rPr>
        <w:t>，其中水力侵蚀面积</w:t>
      </w:r>
      <w:r>
        <w:rPr>
          <w:rFonts w:hint="default" w:ascii="Times New Roman" w:hAnsi="Times New Roman"/>
          <w:color w:val="000000" w:themeColor="text1"/>
          <w:sz w:val="24"/>
          <w:lang w:val="en-US" w:eastAsia="zh-CN"/>
          <w14:textFill>
            <w14:solidFill>
              <w14:schemeClr w14:val="tx1"/>
            </w14:solidFill>
          </w14:textFill>
        </w:rPr>
        <w:t>355.10km</w:t>
      </w:r>
      <w:r>
        <w:rPr>
          <w:rFonts w:hint="default" w:ascii="Times New Roman" w:hAnsi="Times New Roman"/>
          <w:color w:val="000000" w:themeColor="text1"/>
          <w:sz w:val="24"/>
          <w:vertAlign w:val="superscript"/>
          <w:lang w:val="en-US" w:eastAsia="zh-CN"/>
          <w14:textFill>
            <w14:solidFill>
              <w14:schemeClr w14:val="tx1"/>
            </w14:solidFill>
          </w14:textFill>
        </w:rPr>
        <w:t>2</w:t>
      </w:r>
      <w:r>
        <w:rPr>
          <w:rFonts w:hint="eastAsia" w:ascii="Times New Roman" w:hAnsi="Times New Roman"/>
          <w:color w:val="000000" w:themeColor="text1"/>
          <w:sz w:val="24"/>
          <w:lang w:val="en-US" w:eastAsia="zh-CN"/>
          <w14:textFill>
            <w14:solidFill>
              <w14:schemeClr w14:val="tx1"/>
            </w14:solidFill>
          </w14:textFill>
        </w:rPr>
        <w:t>，风力侵蚀面积</w:t>
      </w:r>
      <w:r>
        <w:rPr>
          <w:rFonts w:hint="default" w:ascii="Times New Roman" w:hAnsi="Times New Roman"/>
          <w:color w:val="000000" w:themeColor="text1"/>
          <w:sz w:val="24"/>
          <w:lang w:val="en-US" w:eastAsia="zh-CN"/>
          <w14:textFill>
            <w14:solidFill>
              <w14:schemeClr w14:val="tx1"/>
            </w14:solidFill>
          </w14:textFill>
        </w:rPr>
        <w:t>82748.51km</w:t>
      </w:r>
      <w:r>
        <w:rPr>
          <w:rFonts w:hint="default" w:ascii="Times New Roman" w:hAnsi="Times New Roman"/>
          <w:color w:val="000000" w:themeColor="text1"/>
          <w:sz w:val="24"/>
          <w:vertAlign w:val="superscript"/>
          <w:lang w:val="en-US" w:eastAsia="zh-CN"/>
          <w14:textFill>
            <w14:solidFill>
              <w14:schemeClr w14:val="tx1"/>
            </w14:solidFill>
          </w14:textFill>
        </w:rPr>
        <w:t>2</w:t>
      </w:r>
      <w:r>
        <w:rPr>
          <w:rFonts w:hint="eastAsia" w:ascii="Times New Roman" w:hAnsi="Times New Roman"/>
          <w:color w:val="000000" w:themeColor="text1"/>
          <w:sz w:val="24"/>
          <w:lang w:val="en-US" w:eastAsia="zh-CN"/>
          <w14:textFill>
            <w14:solidFill>
              <w14:schemeClr w14:val="tx1"/>
            </w14:solidFill>
          </w14:textFill>
        </w:rPr>
        <w:t>，若羌县水土流失强度及面积统计见表</w:t>
      </w:r>
      <w:r>
        <w:rPr>
          <w:rFonts w:hint="default" w:ascii="Times New Roman" w:hAnsi="Times New Roman"/>
          <w:color w:val="000000" w:themeColor="text1"/>
          <w:sz w:val="24"/>
          <w:lang w:val="en-US" w:eastAsia="zh-CN"/>
          <w14:textFill>
            <w14:solidFill>
              <w14:schemeClr w14:val="tx1"/>
            </w14:solidFill>
          </w14:textFill>
        </w:rPr>
        <w:t>4.</w:t>
      </w:r>
      <w:r>
        <w:rPr>
          <w:rFonts w:hint="eastAsia" w:ascii="Times New Roman" w:hAnsi="Times New Roman"/>
          <w:color w:val="000000" w:themeColor="text1"/>
          <w:sz w:val="24"/>
          <w:lang w:val="en-US" w:eastAsia="zh-CN"/>
          <w14:textFill>
            <w14:solidFill>
              <w14:schemeClr w14:val="tx1"/>
            </w14:solidFill>
          </w14:textFill>
        </w:rPr>
        <w:t>5-9，水土流失动态变化见表</w:t>
      </w:r>
      <w:r>
        <w:rPr>
          <w:rFonts w:hint="default" w:ascii="Times New Roman" w:hAnsi="Times New Roman"/>
          <w:color w:val="000000" w:themeColor="text1"/>
          <w:sz w:val="24"/>
          <w:lang w:val="en-US" w:eastAsia="zh-CN"/>
          <w14:textFill>
            <w14:solidFill>
              <w14:schemeClr w14:val="tx1"/>
            </w14:solidFill>
          </w14:textFill>
        </w:rPr>
        <w:t>4.</w:t>
      </w:r>
      <w:r>
        <w:rPr>
          <w:rFonts w:hint="eastAsia" w:ascii="Times New Roman" w:hAnsi="Times New Roman"/>
          <w:color w:val="000000" w:themeColor="text1"/>
          <w:sz w:val="24"/>
          <w:lang w:val="en-US" w:eastAsia="zh-CN"/>
          <w14:textFill>
            <w14:solidFill>
              <w14:schemeClr w14:val="tx1"/>
            </w14:solidFill>
          </w14:textFill>
        </w:rPr>
        <w:t>5-10。</w:t>
      </w:r>
    </w:p>
    <w:p w14:paraId="0FB50A38">
      <w:pPr>
        <w:pStyle w:val="50"/>
        <w:spacing w:line="360" w:lineRule="auto"/>
        <w:jc w:val="center"/>
        <w:rPr>
          <w:rFonts w:hint="eastAsia" w:ascii="Times New Roman" w:hAnsi="Times New Roman" w:cs="Times New Roman" w:eastAsiaTheme="minorEastAsia"/>
          <w:b/>
          <w:bCs/>
          <w:color w:val="000000" w:themeColor="text1"/>
          <w:kern w:val="0"/>
          <w:sz w:val="21"/>
          <w:szCs w:val="21"/>
          <w:vertAlign w:val="superscript"/>
          <w:lang w:val="en-US" w:eastAsia="zh-CN" w:bidi="ar"/>
          <w14:textFill>
            <w14:solidFill>
              <w14:schemeClr w14:val="tx1"/>
            </w14:solidFill>
          </w14:textFill>
        </w:rPr>
      </w:pPr>
      <w:r>
        <w:rPr>
          <w:rFonts w:hint="eastAsia"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表</w:t>
      </w: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4.</w:t>
      </w:r>
      <w:r>
        <w:rPr>
          <w:rFonts w:hint="eastAsia"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 xml:space="preserve">5-9 </w:t>
      </w: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 xml:space="preserve"> 2023</w:t>
      </w:r>
      <w:r>
        <w:rPr>
          <w:rFonts w:hint="eastAsia"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年若羌县土壤侵蚀分类分级面积统计表 单位：</w:t>
      </w: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km</w:t>
      </w:r>
      <w:r>
        <w:rPr>
          <w:rFonts w:hint="default" w:ascii="Times New Roman" w:hAnsi="Times New Roman" w:cs="Times New Roman" w:eastAsiaTheme="minorEastAsia"/>
          <w:b/>
          <w:bCs/>
          <w:color w:val="000000" w:themeColor="text1"/>
          <w:kern w:val="0"/>
          <w:sz w:val="21"/>
          <w:szCs w:val="21"/>
          <w:vertAlign w:val="superscript"/>
          <w:lang w:val="en-US" w:eastAsia="zh-CN" w:bidi="ar"/>
          <w14:textFill>
            <w14:solidFill>
              <w14:schemeClr w14:val="tx1"/>
            </w14:solidFill>
          </w14:textFill>
        </w:rPr>
        <w:t>2</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120"/>
        <w:gridCol w:w="1225"/>
        <w:gridCol w:w="1307"/>
        <w:gridCol w:w="1218"/>
        <w:gridCol w:w="1218"/>
      </w:tblGrid>
      <w:tr w14:paraId="3173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57DE88F">
            <w:pPr>
              <w:pStyle w:val="16"/>
              <w:spacing w:line="240" w:lineRule="auto"/>
              <w:ind w:firstLine="0" w:firstLineChars="0"/>
              <w:jc w:val="center"/>
              <w:rPr>
                <w:rFonts w:hint="default"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侵蚀类别</w:t>
            </w:r>
          </w:p>
        </w:tc>
        <w:tc>
          <w:tcPr>
            <w:tcW w:w="1217" w:type="dxa"/>
            <w:vAlign w:val="center"/>
          </w:tcPr>
          <w:p w14:paraId="6D9503C3">
            <w:pPr>
              <w:pStyle w:val="16"/>
              <w:spacing w:line="240" w:lineRule="auto"/>
              <w:ind w:firstLine="0" w:firstLineChars="0"/>
              <w:jc w:val="center"/>
              <w:rPr>
                <w:rFonts w:hint="eastAsia"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轻度侵蚀</w:t>
            </w:r>
          </w:p>
        </w:tc>
        <w:tc>
          <w:tcPr>
            <w:tcW w:w="1120" w:type="dxa"/>
            <w:vAlign w:val="center"/>
          </w:tcPr>
          <w:p w14:paraId="6301CCB1">
            <w:pPr>
              <w:pStyle w:val="16"/>
              <w:spacing w:line="240" w:lineRule="auto"/>
              <w:ind w:firstLine="0" w:firstLineChars="0"/>
              <w:jc w:val="center"/>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中度侵蚀</w:t>
            </w:r>
          </w:p>
        </w:tc>
        <w:tc>
          <w:tcPr>
            <w:tcW w:w="1225" w:type="dxa"/>
            <w:vAlign w:val="center"/>
          </w:tcPr>
          <w:p w14:paraId="3D30BFE0">
            <w:pPr>
              <w:pStyle w:val="16"/>
              <w:spacing w:line="240" w:lineRule="auto"/>
              <w:ind w:firstLine="0" w:firstLineChars="0"/>
              <w:jc w:val="center"/>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强烈侵蚀</w:t>
            </w:r>
          </w:p>
        </w:tc>
        <w:tc>
          <w:tcPr>
            <w:tcW w:w="1307" w:type="dxa"/>
            <w:vAlign w:val="center"/>
          </w:tcPr>
          <w:p w14:paraId="52C0DFD2">
            <w:pPr>
              <w:pStyle w:val="16"/>
              <w:spacing w:line="240" w:lineRule="auto"/>
              <w:ind w:firstLine="0" w:firstLineChars="0"/>
              <w:jc w:val="center"/>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极强度侵蚀</w:t>
            </w:r>
          </w:p>
        </w:tc>
        <w:tc>
          <w:tcPr>
            <w:tcW w:w="1218" w:type="dxa"/>
            <w:vAlign w:val="center"/>
          </w:tcPr>
          <w:p w14:paraId="2F672D4F">
            <w:pPr>
              <w:pStyle w:val="16"/>
              <w:spacing w:line="240" w:lineRule="auto"/>
              <w:ind w:firstLine="0" w:firstLineChars="0"/>
              <w:jc w:val="center"/>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剧烈侵蚀</w:t>
            </w:r>
          </w:p>
        </w:tc>
        <w:tc>
          <w:tcPr>
            <w:tcW w:w="1218" w:type="dxa"/>
            <w:vAlign w:val="center"/>
          </w:tcPr>
          <w:p w14:paraId="7E937FB2">
            <w:pPr>
              <w:pStyle w:val="16"/>
              <w:spacing w:line="240" w:lineRule="auto"/>
              <w:ind w:firstLine="0" w:firstLineChars="0"/>
              <w:jc w:val="center"/>
              <w:rPr>
                <w:rFonts w:hint="eastAsia"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合计</w:t>
            </w:r>
          </w:p>
        </w:tc>
      </w:tr>
      <w:tr w14:paraId="40B3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4DE15C4A">
            <w:pPr>
              <w:pStyle w:val="16"/>
              <w:spacing w:line="240" w:lineRule="auto"/>
              <w:ind w:firstLine="0" w:firstLineChars="0"/>
              <w:jc w:val="center"/>
              <w:rPr>
                <w:rFonts w:hint="eastAsia"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水力侵蚀</w:t>
            </w:r>
          </w:p>
        </w:tc>
        <w:tc>
          <w:tcPr>
            <w:tcW w:w="1217" w:type="dxa"/>
            <w:vAlign w:val="center"/>
          </w:tcPr>
          <w:p w14:paraId="33EE8FAB">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341.26</w:t>
            </w:r>
          </w:p>
        </w:tc>
        <w:tc>
          <w:tcPr>
            <w:tcW w:w="1120" w:type="dxa"/>
            <w:vAlign w:val="center"/>
          </w:tcPr>
          <w:p w14:paraId="7DF4DC16">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13.79</w:t>
            </w:r>
          </w:p>
        </w:tc>
        <w:tc>
          <w:tcPr>
            <w:tcW w:w="1225" w:type="dxa"/>
            <w:vAlign w:val="center"/>
          </w:tcPr>
          <w:p w14:paraId="6DD3E4FC">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0.05</w:t>
            </w:r>
          </w:p>
        </w:tc>
        <w:tc>
          <w:tcPr>
            <w:tcW w:w="1307" w:type="dxa"/>
            <w:vAlign w:val="center"/>
          </w:tcPr>
          <w:p w14:paraId="15E7F4EF">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0</w:t>
            </w:r>
          </w:p>
        </w:tc>
        <w:tc>
          <w:tcPr>
            <w:tcW w:w="1218" w:type="dxa"/>
            <w:vAlign w:val="center"/>
          </w:tcPr>
          <w:p w14:paraId="38CF7152">
            <w:pPr>
              <w:pStyle w:val="16"/>
              <w:spacing w:line="240" w:lineRule="auto"/>
              <w:ind w:firstLine="0" w:firstLineChars="0"/>
              <w:jc w:val="center"/>
              <w:rPr>
                <w:rFonts w:hint="eastAsia"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0</w:t>
            </w:r>
          </w:p>
        </w:tc>
        <w:tc>
          <w:tcPr>
            <w:tcW w:w="1218" w:type="dxa"/>
            <w:vAlign w:val="center"/>
          </w:tcPr>
          <w:p w14:paraId="3F2A4840">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355.10</w:t>
            </w:r>
          </w:p>
        </w:tc>
      </w:tr>
      <w:tr w14:paraId="0AFE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411E939C">
            <w:pPr>
              <w:pStyle w:val="16"/>
              <w:spacing w:line="240" w:lineRule="auto"/>
              <w:ind w:firstLine="0" w:firstLineChars="0"/>
              <w:jc w:val="center"/>
              <w:rPr>
                <w:rFonts w:hint="eastAsia"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风力侵蚀</w:t>
            </w:r>
          </w:p>
        </w:tc>
        <w:tc>
          <w:tcPr>
            <w:tcW w:w="1217" w:type="dxa"/>
            <w:vAlign w:val="center"/>
          </w:tcPr>
          <w:p w14:paraId="1B17A0D8">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16543.65</w:t>
            </w:r>
          </w:p>
        </w:tc>
        <w:tc>
          <w:tcPr>
            <w:tcW w:w="1120" w:type="dxa"/>
            <w:vAlign w:val="center"/>
          </w:tcPr>
          <w:p w14:paraId="3821DB49">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13515.24</w:t>
            </w:r>
          </w:p>
        </w:tc>
        <w:tc>
          <w:tcPr>
            <w:tcW w:w="1225" w:type="dxa"/>
            <w:vAlign w:val="center"/>
          </w:tcPr>
          <w:p w14:paraId="30C0D2BC">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18305.26</w:t>
            </w:r>
          </w:p>
        </w:tc>
        <w:tc>
          <w:tcPr>
            <w:tcW w:w="1307" w:type="dxa"/>
            <w:vAlign w:val="center"/>
          </w:tcPr>
          <w:p w14:paraId="24A007BD">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12224.84</w:t>
            </w:r>
          </w:p>
        </w:tc>
        <w:tc>
          <w:tcPr>
            <w:tcW w:w="1218" w:type="dxa"/>
            <w:vAlign w:val="center"/>
          </w:tcPr>
          <w:p w14:paraId="1F1F6A23">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22160.52</w:t>
            </w:r>
          </w:p>
        </w:tc>
        <w:tc>
          <w:tcPr>
            <w:tcW w:w="1218" w:type="dxa"/>
            <w:vAlign w:val="center"/>
          </w:tcPr>
          <w:p w14:paraId="1BD3EDAC">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82748.51</w:t>
            </w:r>
          </w:p>
        </w:tc>
      </w:tr>
      <w:tr w14:paraId="1D36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4" w:type="dxa"/>
            <w:gridSpan w:val="6"/>
            <w:vAlign w:val="center"/>
          </w:tcPr>
          <w:p w14:paraId="751FA17F">
            <w:pPr>
              <w:pStyle w:val="16"/>
              <w:spacing w:line="240" w:lineRule="auto"/>
              <w:ind w:firstLine="0" w:firstLineChars="0"/>
              <w:jc w:val="center"/>
              <w:rPr>
                <w:rFonts w:eastAsiaTheme="minorEastAsia"/>
                <w:color w:val="000000" w:themeColor="text1"/>
                <w:sz w:val="21"/>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合计</w:t>
            </w:r>
          </w:p>
        </w:tc>
        <w:tc>
          <w:tcPr>
            <w:tcW w:w="1218" w:type="dxa"/>
            <w:vAlign w:val="center"/>
          </w:tcPr>
          <w:p w14:paraId="65BBCB48">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83103.61</w:t>
            </w:r>
          </w:p>
        </w:tc>
      </w:tr>
    </w:tbl>
    <w:p w14:paraId="0D6EEEBB">
      <w:pPr>
        <w:keepNext w:val="0"/>
        <w:keepLines w:val="0"/>
        <w:widowControl/>
        <w:suppressLineNumbers w:val="0"/>
        <w:ind w:left="0" w:leftChars="0" w:firstLine="0" w:firstLineChars="0"/>
        <w:jc w:val="center"/>
        <w:rPr>
          <w:rFonts w:hint="default" w:ascii="Times New Roman" w:hAnsi="Times New Roman" w:cs="Times New Roman" w:eastAsiaTheme="minorEastAsia"/>
          <w:b/>
          <w:bCs/>
          <w:color w:val="000000" w:themeColor="text1"/>
          <w:sz w:val="21"/>
          <w:szCs w:val="21"/>
          <w:lang w:val="en-US"/>
          <w14:textFill>
            <w14:solidFill>
              <w14:schemeClr w14:val="tx1"/>
            </w14:solidFill>
          </w14:textFill>
        </w:rPr>
      </w:pP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表4.</w:t>
      </w:r>
      <w:r>
        <w:rPr>
          <w:rFonts w:hint="eastAsia" w:cs="Times New Roman" w:eastAsiaTheme="minorEastAsia"/>
          <w:b/>
          <w:bCs/>
          <w:color w:val="000000" w:themeColor="text1"/>
          <w:kern w:val="0"/>
          <w:sz w:val="21"/>
          <w:szCs w:val="21"/>
          <w:lang w:val="en-US" w:eastAsia="zh-CN" w:bidi="ar"/>
          <w14:textFill>
            <w14:solidFill>
              <w14:schemeClr w14:val="tx1"/>
            </w14:solidFill>
          </w14:textFill>
        </w:rPr>
        <w:t>5-10</w:t>
      </w: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 xml:space="preserve">  2023年若羌县水土流失动态变化情况表 </w:t>
      </w:r>
      <w:r>
        <w:rPr>
          <w:rFonts w:hint="eastAsia"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 xml:space="preserve">  </w:t>
      </w: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单位</w:t>
      </w:r>
      <w:r>
        <w:rPr>
          <w:rFonts w:hint="eastAsia"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w:t>
      </w: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km</w:t>
      </w:r>
      <w:r>
        <w:rPr>
          <w:rFonts w:hint="default" w:ascii="Times New Roman" w:hAnsi="Times New Roman" w:cs="Times New Roman" w:eastAsiaTheme="minorEastAsia"/>
          <w:b/>
          <w:bCs/>
          <w:color w:val="000000" w:themeColor="text1"/>
          <w:kern w:val="0"/>
          <w:sz w:val="21"/>
          <w:szCs w:val="21"/>
          <w:vertAlign w:val="superscript"/>
          <w:lang w:val="en-US" w:eastAsia="zh-CN" w:bidi="ar"/>
          <w14:textFill>
            <w14:solidFill>
              <w14:schemeClr w14:val="tx1"/>
            </w14:solidFill>
          </w14:textFill>
        </w:rPr>
        <w:t>2</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120"/>
        <w:gridCol w:w="1225"/>
        <w:gridCol w:w="1307"/>
        <w:gridCol w:w="1218"/>
        <w:gridCol w:w="1218"/>
      </w:tblGrid>
      <w:tr w14:paraId="27C3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04731FF">
            <w:pPr>
              <w:pStyle w:val="16"/>
              <w:spacing w:line="240" w:lineRule="auto"/>
              <w:ind w:firstLine="0" w:firstLineChars="0"/>
              <w:jc w:val="center"/>
              <w:rPr>
                <w:rFonts w:hint="default"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年</w:t>
            </w:r>
          </w:p>
        </w:tc>
        <w:tc>
          <w:tcPr>
            <w:tcW w:w="1217" w:type="dxa"/>
            <w:vAlign w:val="center"/>
          </w:tcPr>
          <w:p w14:paraId="7095537E">
            <w:pPr>
              <w:pStyle w:val="16"/>
              <w:spacing w:line="240" w:lineRule="auto"/>
              <w:ind w:firstLine="0" w:firstLineChars="0"/>
              <w:jc w:val="center"/>
              <w:rPr>
                <w:rFonts w:hint="eastAsia"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轻度侵蚀</w:t>
            </w:r>
          </w:p>
        </w:tc>
        <w:tc>
          <w:tcPr>
            <w:tcW w:w="1120" w:type="dxa"/>
            <w:vAlign w:val="center"/>
          </w:tcPr>
          <w:p w14:paraId="042F28A7">
            <w:pPr>
              <w:pStyle w:val="16"/>
              <w:spacing w:line="240" w:lineRule="auto"/>
              <w:ind w:firstLine="0" w:firstLineChars="0"/>
              <w:jc w:val="center"/>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中度侵蚀</w:t>
            </w:r>
          </w:p>
        </w:tc>
        <w:tc>
          <w:tcPr>
            <w:tcW w:w="1225" w:type="dxa"/>
            <w:vAlign w:val="center"/>
          </w:tcPr>
          <w:p w14:paraId="2842D1C9">
            <w:pPr>
              <w:pStyle w:val="16"/>
              <w:spacing w:line="240" w:lineRule="auto"/>
              <w:ind w:firstLine="0" w:firstLineChars="0"/>
              <w:jc w:val="center"/>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强烈侵蚀</w:t>
            </w:r>
          </w:p>
        </w:tc>
        <w:tc>
          <w:tcPr>
            <w:tcW w:w="1307" w:type="dxa"/>
            <w:vAlign w:val="center"/>
          </w:tcPr>
          <w:p w14:paraId="29062DE3">
            <w:pPr>
              <w:pStyle w:val="16"/>
              <w:spacing w:line="240" w:lineRule="auto"/>
              <w:ind w:firstLine="0" w:firstLineChars="0"/>
              <w:jc w:val="center"/>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极强度侵蚀</w:t>
            </w:r>
          </w:p>
        </w:tc>
        <w:tc>
          <w:tcPr>
            <w:tcW w:w="1218" w:type="dxa"/>
            <w:vAlign w:val="center"/>
          </w:tcPr>
          <w:p w14:paraId="2731B883">
            <w:pPr>
              <w:pStyle w:val="16"/>
              <w:spacing w:line="240" w:lineRule="auto"/>
              <w:ind w:firstLine="0" w:firstLineChars="0"/>
              <w:jc w:val="center"/>
              <w:rPr>
                <w:rFonts w:eastAsiaTheme="minorEastAsia"/>
                <w:b/>
                <w:bCs w:val="0"/>
                <w:color w:val="000000" w:themeColor="text1"/>
                <w:sz w:val="21"/>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剧烈侵蚀</w:t>
            </w:r>
          </w:p>
        </w:tc>
        <w:tc>
          <w:tcPr>
            <w:tcW w:w="1218" w:type="dxa"/>
            <w:vAlign w:val="center"/>
          </w:tcPr>
          <w:p w14:paraId="0397B854">
            <w:pPr>
              <w:pStyle w:val="16"/>
              <w:spacing w:line="240" w:lineRule="auto"/>
              <w:ind w:firstLine="0" w:firstLineChars="0"/>
              <w:jc w:val="center"/>
              <w:rPr>
                <w:rFonts w:hint="eastAsia"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合计</w:t>
            </w:r>
          </w:p>
        </w:tc>
      </w:tr>
      <w:tr w14:paraId="4DFA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08B602B">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2023年</w:t>
            </w:r>
          </w:p>
        </w:tc>
        <w:tc>
          <w:tcPr>
            <w:tcW w:w="1217" w:type="dxa"/>
            <w:vAlign w:val="center"/>
          </w:tcPr>
          <w:p w14:paraId="711E664B">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16884.91</w:t>
            </w:r>
          </w:p>
        </w:tc>
        <w:tc>
          <w:tcPr>
            <w:tcW w:w="1120" w:type="dxa"/>
            <w:vAlign w:val="center"/>
          </w:tcPr>
          <w:p w14:paraId="7D629BB5">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13529.03</w:t>
            </w:r>
          </w:p>
        </w:tc>
        <w:tc>
          <w:tcPr>
            <w:tcW w:w="1225" w:type="dxa"/>
            <w:vAlign w:val="center"/>
          </w:tcPr>
          <w:p w14:paraId="62CB2613">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18304.30</w:t>
            </w:r>
          </w:p>
        </w:tc>
        <w:tc>
          <w:tcPr>
            <w:tcW w:w="1307" w:type="dxa"/>
            <w:vAlign w:val="center"/>
          </w:tcPr>
          <w:p w14:paraId="680E2B4E">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12224.84</w:t>
            </w:r>
          </w:p>
        </w:tc>
        <w:tc>
          <w:tcPr>
            <w:tcW w:w="1218" w:type="dxa"/>
            <w:vAlign w:val="center"/>
          </w:tcPr>
          <w:p w14:paraId="33AC776D">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22160.52</w:t>
            </w:r>
          </w:p>
        </w:tc>
        <w:tc>
          <w:tcPr>
            <w:tcW w:w="1218" w:type="dxa"/>
            <w:vAlign w:val="center"/>
          </w:tcPr>
          <w:p w14:paraId="1236AFB1">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83103.61</w:t>
            </w:r>
          </w:p>
        </w:tc>
      </w:tr>
      <w:tr w14:paraId="51A1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C464391">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2022年</w:t>
            </w:r>
          </w:p>
        </w:tc>
        <w:tc>
          <w:tcPr>
            <w:tcW w:w="1217" w:type="dxa"/>
            <w:vAlign w:val="center"/>
          </w:tcPr>
          <w:p w14:paraId="53BACF16">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16447.91</w:t>
            </w:r>
          </w:p>
        </w:tc>
        <w:tc>
          <w:tcPr>
            <w:tcW w:w="1120" w:type="dxa"/>
            <w:vAlign w:val="center"/>
          </w:tcPr>
          <w:p w14:paraId="4B81FC3A">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12534.06</w:t>
            </w:r>
          </w:p>
        </w:tc>
        <w:tc>
          <w:tcPr>
            <w:tcW w:w="1225" w:type="dxa"/>
            <w:vAlign w:val="center"/>
          </w:tcPr>
          <w:p w14:paraId="0EB8E1AB">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19252.49</w:t>
            </w:r>
          </w:p>
        </w:tc>
        <w:tc>
          <w:tcPr>
            <w:tcW w:w="1307" w:type="dxa"/>
            <w:vAlign w:val="center"/>
          </w:tcPr>
          <w:p w14:paraId="0BE1363C">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11971.99</w:t>
            </w:r>
          </w:p>
        </w:tc>
        <w:tc>
          <w:tcPr>
            <w:tcW w:w="1218" w:type="dxa"/>
            <w:vAlign w:val="center"/>
          </w:tcPr>
          <w:p w14:paraId="2EEC830F">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22964.52</w:t>
            </w:r>
          </w:p>
        </w:tc>
        <w:tc>
          <w:tcPr>
            <w:tcW w:w="1218" w:type="dxa"/>
            <w:vAlign w:val="center"/>
          </w:tcPr>
          <w:p w14:paraId="4BFD9645">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83170.97</w:t>
            </w:r>
          </w:p>
        </w:tc>
      </w:tr>
      <w:tr w14:paraId="4FAF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D7FFF1E">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消长情况</w:t>
            </w:r>
          </w:p>
        </w:tc>
        <w:tc>
          <w:tcPr>
            <w:tcW w:w="1217" w:type="dxa"/>
            <w:vAlign w:val="center"/>
          </w:tcPr>
          <w:p w14:paraId="37A914C4">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437.00</w:t>
            </w:r>
          </w:p>
        </w:tc>
        <w:tc>
          <w:tcPr>
            <w:tcW w:w="1120" w:type="dxa"/>
            <w:vAlign w:val="center"/>
          </w:tcPr>
          <w:p w14:paraId="277EE739">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994.97</w:t>
            </w:r>
          </w:p>
        </w:tc>
        <w:tc>
          <w:tcPr>
            <w:tcW w:w="1225" w:type="dxa"/>
            <w:vAlign w:val="center"/>
          </w:tcPr>
          <w:p w14:paraId="6E25370F">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-948.18</w:t>
            </w:r>
          </w:p>
        </w:tc>
        <w:tc>
          <w:tcPr>
            <w:tcW w:w="1307" w:type="dxa"/>
            <w:vAlign w:val="center"/>
          </w:tcPr>
          <w:p w14:paraId="479C6D0B">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252.85</w:t>
            </w:r>
          </w:p>
        </w:tc>
        <w:tc>
          <w:tcPr>
            <w:tcW w:w="1218" w:type="dxa"/>
            <w:vAlign w:val="center"/>
          </w:tcPr>
          <w:p w14:paraId="4AB1E2E7">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-804.00</w:t>
            </w:r>
          </w:p>
        </w:tc>
        <w:tc>
          <w:tcPr>
            <w:tcW w:w="1218" w:type="dxa"/>
            <w:vAlign w:val="center"/>
          </w:tcPr>
          <w:p w14:paraId="4757359B">
            <w:pPr>
              <w:pStyle w:val="16"/>
              <w:spacing w:line="240" w:lineRule="auto"/>
              <w:ind w:firstLine="0" w:firstLineChars="0"/>
              <w:jc w:val="center"/>
              <w:rPr>
                <w:rFonts w:hint="default"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-67.36</w:t>
            </w:r>
          </w:p>
        </w:tc>
      </w:tr>
    </w:tbl>
    <w:p w14:paraId="1EB79CF7">
      <w:pPr>
        <w:keepNext w:val="0"/>
        <w:keepLines w:val="0"/>
        <w:widowControl/>
        <w:suppressLineNumbers w:val="0"/>
        <w:jc w:val="left"/>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根据《全国水土保持规划》（</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2015</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2030</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年）、《新疆维吾尔自治区水土保持规划》（</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2018-2030</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年），项目区水土保持功能区划见表4.5-</w:t>
      </w:r>
      <w:r>
        <w:rPr>
          <w:rFonts w:hint="eastAsia" w:cs="Times New Roman"/>
          <w:color w:val="000000" w:themeColor="text1"/>
          <w:kern w:val="2"/>
          <w:sz w:val="24"/>
          <w:szCs w:val="22"/>
          <w:lang w:val="en-US" w:eastAsia="zh-CN" w:bidi="ar-SA"/>
          <w14:textFill>
            <w14:solidFill>
              <w14:schemeClr w14:val="tx1"/>
            </w14:solidFill>
          </w14:textFill>
        </w:rPr>
        <w:t>11</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w:t>
      </w:r>
    </w:p>
    <w:p w14:paraId="34EEA26D">
      <w:pPr>
        <w:keepNext w:val="0"/>
        <w:keepLines w:val="0"/>
        <w:widowControl/>
        <w:suppressLineNumbers w:val="0"/>
        <w:ind w:left="0" w:leftChars="0" w:firstLine="0" w:firstLineChars="0"/>
        <w:jc w:val="center"/>
        <w:rPr>
          <w:rFonts w:hint="eastAsia"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表</w:t>
      </w:r>
      <w:r>
        <w:rPr>
          <w:rFonts w:hint="eastAsia" w:cs="Times New Roman" w:eastAsiaTheme="minorEastAsia"/>
          <w:b/>
          <w:bCs/>
          <w:color w:val="000000" w:themeColor="text1"/>
          <w:kern w:val="0"/>
          <w:sz w:val="21"/>
          <w:szCs w:val="21"/>
          <w:lang w:val="en-US" w:eastAsia="zh-CN" w:bidi="ar"/>
          <w14:textFill>
            <w14:solidFill>
              <w14:schemeClr w14:val="tx1"/>
            </w14:solidFill>
          </w14:textFill>
        </w:rPr>
        <w:t xml:space="preserve">4.5-11 </w:t>
      </w: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 xml:space="preserve"> </w:t>
      </w:r>
      <w:r>
        <w:rPr>
          <w:rFonts w:hint="eastAsia"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项目区水土保持功能区划表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3200"/>
        <w:gridCol w:w="1738"/>
        <w:gridCol w:w="2730"/>
      </w:tblGrid>
      <w:tr w14:paraId="6DFD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4F6FE58E">
            <w:pPr>
              <w:pStyle w:val="16"/>
              <w:spacing w:line="240" w:lineRule="auto"/>
              <w:ind w:firstLine="0" w:firstLineChars="0"/>
              <w:jc w:val="center"/>
              <w:rPr>
                <w:rFonts w:hint="eastAsia"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行政区</w:t>
            </w:r>
          </w:p>
        </w:tc>
        <w:tc>
          <w:tcPr>
            <w:tcW w:w="3200" w:type="dxa"/>
            <w:vAlign w:val="center"/>
          </w:tcPr>
          <w:p w14:paraId="5D4F1632">
            <w:pPr>
              <w:pStyle w:val="16"/>
              <w:spacing w:line="240" w:lineRule="auto"/>
              <w:ind w:firstLine="0" w:firstLineChars="0"/>
              <w:jc w:val="center"/>
              <w:rPr>
                <w:rFonts w:hint="eastAsia"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一级区代码</w:t>
            </w:r>
          </w:p>
        </w:tc>
        <w:tc>
          <w:tcPr>
            <w:tcW w:w="1738" w:type="dxa"/>
            <w:vAlign w:val="center"/>
          </w:tcPr>
          <w:p w14:paraId="679D5A3B">
            <w:pPr>
              <w:pStyle w:val="16"/>
              <w:spacing w:line="240" w:lineRule="auto"/>
              <w:ind w:firstLine="0" w:firstLineChars="0"/>
              <w:jc w:val="center"/>
              <w:rPr>
                <w:rFonts w:hint="eastAsia"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二级区代码</w:t>
            </w:r>
          </w:p>
        </w:tc>
        <w:tc>
          <w:tcPr>
            <w:tcW w:w="2730" w:type="dxa"/>
            <w:vAlign w:val="center"/>
          </w:tcPr>
          <w:p w14:paraId="5E59188C">
            <w:pPr>
              <w:pStyle w:val="16"/>
              <w:spacing w:line="240" w:lineRule="auto"/>
              <w:ind w:firstLine="0" w:firstLineChars="0"/>
              <w:jc w:val="center"/>
              <w:rPr>
                <w:rFonts w:hint="eastAsia" w:eastAsiaTheme="minorEastAsia"/>
                <w:b/>
                <w:bCs w:val="0"/>
                <w:color w:val="000000" w:themeColor="text1"/>
                <w:sz w:val="21"/>
                <w:lang w:val="en-US" w:eastAsia="zh-CN"/>
                <w14:textFill>
                  <w14:solidFill>
                    <w14:schemeClr w14:val="tx1"/>
                  </w14:solidFill>
                </w14:textFill>
              </w:rPr>
            </w:pPr>
            <w:r>
              <w:rPr>
                <w:rFonts w:hint="eastAsia" w:eastAsiaTheme="minorEastAsia"/>
                <w:b/>
                <w:bCs w:val="0"/>
                <w:color w:val="000000" w:themeColor="text1"/>
                <w:sz w:val="21"/>
                <w:lang w:val="en-US" w:eastAsia="zh-CN"/>
                <w14:textFill>
                  <w14:solidFill>
                    <w14:schemeClr w14:val="tx1"/>
                  </w14:solidFill>
                </w14:textFill>
              </w:rPr>
              <w:t>三级区代码</w:t>
            </w:r>
          </w:p>
        </w:tc>
      </w:tr>
      <w:tr w14:paraId="0BCE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vAlign w:val="center"/>
          </w:tcPr>
          <w:p w14:paraId="7E59DE89">
            <w:pPr>
              <w:pStyle w:val="16"/>
              <w:spacing w:line="240" w:lineRule="auto"/>
              <w:ind w:firstLine="0" w:firstLineChars="0"/>
              <w:jc w:val="center"/>
              <w:rPr>
                <w:rFonts w:hint="eastAsia"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若羌县</w:t>
            </w:r>
          </w:p>
        </w:tc>
        <w:tc>
          <w:tcPr>
            <w:tcW w:w="3200" w:type="dxa"/>
            <w:vAlign w:val="center"/>
          </w:tcPr>
          <w:p w14:paraId="3BD18F53">
            <w:pPr>
              <w:pStyle w:val="16"/>
              <w:spacing w:line="240" w:lineRule="auto"/>
              <w:ind w:firstLine="0" w:firstLineChars="0"/>
              <w:jc w:val="center"/>
              <w:rPr>
                <w:rFonts w:hint="eastAsia"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北方风沙区（新甘蒙高原盆地区）</w:t>
            </w:r>
          </w:p>
        </w:tc>
        <w:tc>
          <w:tcPr>
            <w:tcW w:w="1738" w:type="dxa"/>
            <w:vAlign w:val="center"/>
          </w:tcPr>
          <w:p w14:paraId="65CA3D96">
            <w:pPr>
              <w:pStyle w:val="16"/>
              <w:spacing w:line="240" w:lineRule="auto"/>
              <w:ind w:firstLine="0" w:firstLineChars="0"/>
              <w:jc w:val="center"/>
              <w:rPr>
                <w:rFonts w:hint="eastAsia"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南疆山地盆地区</w:t>
            </w:r>
          </w:p>
        </w:tc>
        <w:tc>
          <w:tcPr>
            <w:tcW w:w="2730" w:type="dxa"/>
            <w:vAlign w:val="center"/>
          </w:tcPr>
          <w:p w14:paraId="7691DB1F">
            <w:pPr>
              <w:pStyle w:val="16"/>
              <w:spacing w:line="240" w:lineRule="auto"/>
              <w:ind w:firstLine="0" w:firstLineChars="0"/>
              <w:jc w:val="center"/>
              <w:rPr>
                <w:rFonts w:hint="eastAsia" w:eastAsiaTheme="minorEastAsia"/>
                <w:color w:val="000000" w:themeColor="text1"/>
                <w:sz w:val="21"/>
                <w:lang w:val="en-US" w:eastAsia="zh-CN"/>
                <w14:textFill>
                  <w14:solidFill>
                    <w14:schemeClr w14:val="tx1"/>
                  </w14:solidFill>
                </w14:textFill>
              </w:rPr>
            </w:pPr>
            <w:r>
              <w:rPr>
                <w:rFonts w:hint="eastAsia" w:eastAsiaTheme="minorEastAsia"/>
                <w:color w:val="000000" w:themeColor="text1"/>
                <w:sz w:val="21"/>
                <w:lang w:val="en-US" w:eastAsia="zh-CN"/>
                <w14:textFill>
                  <w14:solidFill>
                    <w14:schemeClr w14:val="tx1"/>
                  </w14:solidFill>
                </w14:textFill>
              </w:rPr>
              <w:t>塔里木盆地南部农田防护防沙区</w:t>
            </w:r>
          </w:p>
        </w:tc>
      </w:tr>
    </w:tbl>
    <w:p w14:paraId="0BF793B9">
      <w:pPr>
        <w:keepNext w:val="0"/>
        <w:keepLines w:val="0"/>
        <w:widowControl/>
        <w:suppressLineNumbers w:val="0"/>
        <w:jc w:val="left"/>
        <w:rPr>
          <w:rFonts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2"/>
          <w:lang w:val="en-US" w:eastAsia="zh-CN" w:bidi="ar-SA"/>
          <w14:textFill>
            <w14:solidFill>
              <w14:schemeClr w14:val="tx1"/>
            </w14:solidFill>
          </w14:textFill>
        </w:rPr>
        <w:t>根据《土壤侵蚀分类分级标准》（</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SL190-2007</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），本项目区属于</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II</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风力侵蚀类型区</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-II1“</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三北</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戈壁沙漠及沙地风沙区，土壤侵蚀类型以风力侵蚀为主；根据《新疆维吾尔自治区</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2023</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年度水土流失动态监测年报》，土壤侵蚀强度以轻度侵蚀为主。</w:t>
      </w:r>
    </w:p>
    <w:p w14:paraId="70EDD293">
      <w:pPr>
        <w:keepNext w:val="0"/>
        <w:keepLines w:val="0"/>
        <w:widowControl/>
        <w:suppressLineNumbers w:val="0"/>
        <w:jc w:val="left"/>
        <w:rPr>
          <w:rFonts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2"/>
          <w:lang w:val="en-US" w:eastAsia="zh-CN" w:bidi="ar-SA"/>
          <w14:textFill>
            <w14:solidFill>
              <w14:schemeClr w14:val="tx1"/>
            </w14:solidFill>
          </w14:textFill>
        </w:rPr>
        <w:t>根据《土壤侵蚀分类分级标准》（</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SL190-2007</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）、《生产建设项目水土流失防治标准》（</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GB</w:t>
      </w:r>
      <w:r>
        <w:rPr>
          <w:rFonts w:hint="eastAsia" w:cs="Times New Roman"/>
          <w:color w:val="000000" w:themeColor="text1"/>
          <w:kern w:val="2"/>
          <w:sz w:val="24"/>
          <w:szCs w:val="22"/>
          <w:lang w:val="en-US" w:eastAsia="zh-CN" w:bidi="ar-SA"/>
          <w14:textFill>
            <w14:solidFill>
              <w14:schemeClr w14:val="tx1"/>
            </w14:solidFill>
          </w14:textFill>
        </w:rPr>
        <w:t>/T</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50434-2018</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），项目区综合容许土壤流失量为</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1500t/</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km</w:t>
      </w:r>
      <w:r>
        <w:rPr>
          <w:rFonts w:hint="default" w:ascii="Times New Roman" w:hAnsi="Times New Roman" w:eastAsia="宋体" w:cs="Times New Roman"/>
          <w:color w:val="000000" w:themeColor="text1"/>
          <w:kern w:val="2"/>
          <w:sz w:val="24"/>
          <w:szCs w:val="22"/>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t>•a</w:t>
      </w:r>
      <w:r>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t>）。</w:t>
      </w:r>
    </w:p>
    <w:bookmarkEnd w:id="849"/>
    <w:bookmarkEnd w:id="850"/>
    <w:p w14:paraId="4CFD9BF6">
      <w:pPr>
        <w:pStyle w:val="3"/>
        <w:keepNext/>
        <w:keepLines/>
        <w:tabs>
          <w:tab w:val="clear" w:pos="420"/>
          <w:tab w:val="clear" w:pos="907"/>
          <w:tab w:val="clear" w:pos="1267"/>
        </w:tabs>
        <w:adjustRightInd/>
        <w:spacing w:before="156" w:beforeLines="50" w:after="156" w:afterLines="50"/>
        <w:rPr>
          <w:color w:val="000000" w:themeColor="text1"/>
          <w:szCs w:val="32"/>
          <w14:textFill>
            <w14:solidFill>
              <w14:schemeClr w14:val="tx1"/>
            </w14:solidFill>
          </w14:textFill>
        </w:rPr>
      </w:pPr>
      <w:bookmarkStart w:id="851" w:name="_Toc2910"/>
      <w:bookmarkStart w:id="852" w:name="_Toc5904"/>
      <w:bookmarkStart w:id="853" w:name="_Toc12863"/>
      <w:bookmarkStart w:id="854" w:name="_Toc26854"/>
      <w:bookmarkStart w:id="855" w:name="_Toc24994"/>
      <w:bookmarkStart w:id="856" w:name="_Toc9510"/>
      <w:bookmarkStart w:id="857" w:name="_Toc18686"/>
      <w:bookmarkStart w:id="858" w:name="_Toc31766"/>
      <w:bookmarkStart w:id="859" w:name="_Toc801"/>
      <w:bookmarkStart w:id="860" w:name="_Toc4893"/>
      <w:bookmarkStart w:id="861" w:name="_Toc32418"/>
      <w:r>
        <w:rPr>
          <w:color w:val="000000" w:themeColor="text1"/>
          <w:szCs w:val="32"/>
          <w14:textFill>
            <w14:solidFill>
              <w14:schemeClr w14:val="tx1"/>
            </w14:solidFill>
          </w14:textFill>
        </w:rPr>
        <w:t>4.6地表水环境现状评价</w:t>
      </w:r>
      <w:bookmarkEnd w:id="851"/>
      <w:bookmarkEnd w:id="852"/>
      <w:bookmarkEnd w:id="853"/>
      <w:bookmarkEnd w:id="854"/>
      <w:bookmarkEnd w:id="855"/>
      <w:bookmarkEnd w:id="856"/>
      <w:bookmarkEnd w:id="857"/>
      <w:bookmarkEnd w:id="858"/>
      <w:bookmarkEnd w:id="859"/>
      <w:bookmarkEnd w:id="860"/>
      <w:bookmarkEnd w:id="861"/>
    </w:p>
    <w:p w14:paraId="38550622">
      <w:pPr>
        <w:ind w:firstLine="480"/>
        <w:rPr>
          <w:bCs/>
          <w:color w:val="000000" w:themeColor="text1"/>
          <w:lang w:bidi="ar"/>
          <w14:textFill>
            <w14:solidFill>
              <w14:schemeClr w14:val="tx1"/>
            </w14:solidFill>
          </w14:textFill>
        </w:rPr>
        <w:sectPr>
          <w:pgSz w:w="11906" w:h="16838"/>
          <w:pgMar w:top="1440" w:right="1800" w:bottom="1440" w:left="1800" w:header="851" w:footer="992" w:gutter="0"/>
          <w:cols w:space="425" w:num="1"/>
          <w:docGrid w:type="lines" w:linePitch="312" w:charSpace="0"/>
        </w:sectPr>
      </w:pPr>
      <w:r>
        <w:rPr>
          <w:color w:val="000000" w:themeColor="text1"/>
          <w14:textFill>
            <w14:solidFill>
              <w14:schemeClr w14:val="tx1"/>
            </w14:solidFill>
          </w14:textFill>
        </w:rPr>
        <w:t>本项目不涉及跨越地表水，暂不进行地表水现状评价。</w:t>
      </w:r>
    </w:p>
    <w:p w14:paraId="30D9110E">
      <w:pPr>
        <w:pStyle w:val="2"/>
        <w:spacing w:before="120" w:beforeLines="50" w:after="120" w:afterLines="50"/>
        <w:rPr>
          <w:color w:val="000000" w:themeColor="text1"/>
          <w14:textFill>
            <w14:solidFill>
              <w14:schemeClr w14:val="tx1"/>
            </w14:solidFill>
          </w14:textFill>
        </w:rPr>
      </w:pPr>
      <w:bookmarkStart w:id="862" w:name="_Toc109378214"/>
      <w:bookmarkStart w:id="863" w:name="_Toc109377533"/>
      <w:bookmarkStart w:id="864" w:name="_Toc109378077"/>
      <w:bookmarkStart w:id="865" w:name="_Toc18141"/>
      <w:bookmarkStart w:id="866" w:name="_Toc24204"/>
      <w:bookmarkStart w:id="867" w:name="_Toc4057"/>
      <w:bookmarkStart w:id="868" w:name="_Toc26776"/>
      <w:bookmarkStart w:id="869" w:name="_Toc2986"/>
      <w:bookmarkStart w:id="870" w:name="_Toc18824"/>
      <w:bookmarkStart w:id="871" w:name="_Toc29434"/>
      <w:bookmarkStart w:id="872" w:name="_Toc3458"/>
      <w:bookmarkStart w:id="873" w:name="_Toc7573"/>
      <w:bookmarkStart w:id="874" w:name="_Toc1869"/>
      <w:bookmarkStart w:id="875" w:name="_Toc5328"/>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6387465</wp:posOffset>
                </wp:positionH>
                <wp:positionV relativeFrom="paragraph">
                  <wp:posOffset>3893185</wp:posOffset>
                </wp:positionV>
                <wp:extent cx="349250" cy="635"/>
                <wp:effectExtent l="0" t="0" r="0" b="0"/>
                <wp:wrapNone/>
                <wp:docPr id="111" name="直接连接符 111"/>
                <wp:cNvGraphicFramePr/>
                <a:graphic xmlns:a="http://schemas.openxmlformats.org/drawingml/2006/main">
                  <a:graphicData uri="http://schemas.microsoft.com/office/word/2010/wordprocessingShape">
                    <wps:wsp>
                      <wps:cNvCnPr>
                        <a:cxnSpLocks noChangeShapeType="1"/>
                      </wps:cNvCnPr>
                      <wps:spPr bwMode="auto">
                        <a:xfrm>
                          <a:off x="0" y="0"/>
                          <a:ext cx="349250" cy="635"/>
                        </a:xfrm>
                        <a:prstGeom prst="line">
                          <a:avLst/>
                        </a:prstGeom>
                        <a:noFill/>
                        <a:ln>
                          <a:noFill/>
                        </a:ln>
                        <a:effectLst/>
                      </wps:spPr>
                      <wps:bodyPr/>
                    </wps:wsp>
                  </a:graphicData>
                </a:graphic>
              </wp:anchor>
            </w:drawing>
          </mc:Choice>
          <mc:Fallback>
            <w:pict>
              <v:line id="_x0000_s1026" o:spid="_x0000_s1026" o:spt="20" style="position:absolute;left:0pt;margin-left:502.95pt;margin-top:306.55pt;height:0.05pt;width:27.5pt;z-index:251659264;mso-width-relative:page;mso-height-relative:page;" filled="f" stroked="f" coordsize="21600,21600" o:gfxdata="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&#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SbK9vZAAAADQEAAA8AAAAAAAAAAQAgAAAAIgAAAGRy&#10;cy9kb3ducmV2LnhtbFBLAQIUABQAAAAIAIdO4kCq69+tywEAAIEDAAAOAAAAAAAAAAEAIAAAACgB&#10;AABkcnMvZTJvRG9jLnhtbFBLBQYAAAAABgAGAFkBAABlBQAAAAA=&#10;">
                <v:fill on="f" focussize="0,0"/>
                <v:stroke on="f"/>
                <v:imagedata o:title=""/>
                <o:lock v:ext="edit" aspectratio="f"/>
              </v:line>
            </w:pict>
          </mc:Fallback>
        </mc:AlternateContent>
      </w:r>
      <w:bookmarkEnd w:id="862"/>
      <w:bookmarkEnd w:id="863"/>
      <w:bookmarkEnd w:id="864"/>
      <w:r>
        <w:rPr>
          <w:color w:val="000000" w:themeColor="text1"/>
          <w14:textFill>
            <w14:solidFill>
              <w14:schemeClr w14:val="tx1"/>
            </w14:solidFill>
          </w14:textFill>
        </w:rPr>
        <w:t>5施工期</w:t>
      </w:r>
      <w:r>
        <w:rPr>
          <w:rFonts w:hint="eastAsia"/>
          <w:color w:val="000000" w:themeColor="text1"/>
          <w:lang w:val="en-US" w:eastAsia="zh-CN"/>
          <w14:textFill>
            <w14:solidFill>
              <w14:schemeClr w14:val="tx1"/>
            </w14:solidFill>
          </w14:textFill>
        </w:rPr>
        <w:t>生态</w:t>
      </w:r>
      <w:r>
        <w:rPr>
          <w:color w:val="000000" w:themeColor="text1"/>
          <w14:textFill>
            <w14:solidFill>
              <w14:schemeClr w14:val="tx1"/>
            </w14:solidFill>
          </w14:textFill>
        </w:rPr>
        <w:t>环境影响评价</w:t>
      </w:r>
      <w:bookmarkEnd w:id="865"/>
      <w:bookmarkEnd w:id="866"/>
      <w:bookmarkEnd w:id="867"/>
      <w:bookmarkEnd w:id="868"/>
      <w:bookmarkEnd w:id="869"/>
      <w:bookmarkEnd w:id="870"/>
      <w:bookmarkEnd w:id="871"/>
      <w:bookmarkEnd w:id="872"/>
      <w:bookmarkEnd w:id="873"/>
      <w:bookmarkEnd w:id="874"/>
      <w:bookmarkEnd w:id="875"/>
    </w:p>
    <w:p w14:paraId="12702399">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876" w:name="_Toc26071"/>
      <w:bookmarkStart w:id="877" w:name="_Toc23235"/>
      <w:bookmarkStart w:id="878" w:name="_Toc13326"/>
      <w:bookmarkStart w:id="879" w:name="_Toc11798"/>
      <w:bookmarkStart w:id="880" w:name="_Toc2"/>
      <w:bookmarkStart w:id="881" w:name="_Toc6279"/>
      <w:bookmarkStart w:id="882" w:name="_Toc11423"/>
      <w:bookmarkStart w:id="883" w:name="_Toc25111"/>
      <w:bookmarkStart w:id="884" w:name="_Toc14554"/>
      <w:bookmarkStart w:id="885" w:name="_Toc6388"/>
      <w:bookmarkStart w:id="886" w:name="_Toc22947"/>
      <w:r>
        <w:rPr>
          <w:color w:val="000000" w:themeColor="text1"/>
          <w:szCs w:val="32"/>
          <w14:textFill>
            <w14:solidFill>
              <w14:schemeClr w14:val="tx1"/>
            </w14:solidFill>
          </w14:textFill>
        </w:rPr>
        <w:t>5.1生态环境影响预测与评价</w:t>
      </w:r>
      <w:bookmarkEnd w:id="876"/>
      <w:bookmarkEnd w:id="877"/>
      <w:bookmarkEnd w:id="878"/>
      <w:bookmarkEnd w:id="879"/>
      <w:bookmarkEnd w:id="880"/>
      <w:bookmarkEnd w:id="881"/>
      <w:bookmarkEnd w:id="882"/>
      <w:bookmarkEnd w:id="883"/>
      <w:bookmarkEnd w:id="884"/>
      <w:bookmarkEnd w:id="885"/>
      <w:bookmarkEnd w:id="886"/>
    </w:p>
    <w:p w14:paraId="7312726E">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887" w:name="_Toc9134"/>
      <w:bookmarkStart w:id="888" w:name="_Toc9484"/>
      <w:bookmarkStart w:id="889" w:name="_Toc14023"/>
      <w:bookmarkStart w:id="890" w:name="_Toc18389"/>
      <w:bookmarkStart w:id="891" w:name="_Toc26336"/>
      <w:bookmarkStart w:id="892" w:name="_Toc413419724"/>
      <w:bookmarkStart w:id="893" w:name="_Toc425441842"/>
      <w:r>
        <w:rPr>
          <w:bCs/>
          <w:color w:val="000000" w:themeColor="text1"/>
          <w:sz w:val="28"/>
          <w:szCs w:val="32"/>
          <w14:textFill>
            <w14:solidFill>
              <w14:schemeClr w14:val="tx1"/>
            </w14:solidFill>
          </w14:textFill>
        </w:rPr>
        <w:t>5.1.</w:t>
      </w:r>
      <w:r>
        <w:rPr>
          <w:rFonts w:hint="eastAsia"/>
          <w:bCs/>
          <w:color w:val="000000" w:themeColor="text1"/>
          <w:sz w:val="28"/>
          <w:szCs w:val="32"/>
          <w14:textFill>
            <w14:solidFill>
              <w14:schemeClr w14:val="tx1"/>
            </w14:solidFill>
          </w14:textFill>
        </w:rPr>
        <w:t>1</w:t>
      </w:r>
      <w:r>
        <w:rPr>
          <w:bCs/>
          <w:color w:val="000000" w:themeColor="text1"/>
          <w:sz w:val="28"/>
          <w:szCs w:val="32"/>
          <w14:textFill>
            <w14:solidFill>
              <w14:schemeClr w14:val="tx1"/>
            </w14:solidFill>
          </w14:textFill>
        </w:rPr>
        <w:t>对土地利用的影响分析</w:t>
      </w:r>
      <w:bookmarkEnd w:id="887"/>
      <w:bookmarkEnd w:id="888"/>
      <w:bookmarkEnd w:id="889"/>
      <w:bookmarkEnd w:id="890"/>
      <w:bookmarkEnd w:id="891"/>
    </w:p>
    <w:p w14:paraId="25BCDB9A">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本项目的生态影响评价范围是：输电线路边导线两侧300m范围的带状区域。</w:t>
      </w:r>
    </w:p>
    <w:p w14:paraId="59415D50">
      <w:pPr>
        <w:ind w:firstLine="480"/>
        <w:rPr>
          <w:color w:val="000000" w:themeColor="text1"/>
          <w14:textFill>
            <w14:solidFill>
              <w14:schemeClr w14:val="tx1"/>
            </w14:solidFill>
          </w14:textFill>
        </w:rPr>
      </w:pPr>
      <w:r>
        <w:rPr>
          <w:color w:val="000000" w:themeColor="text1"/>
          <w14:textFill>
            <w14:solidFill>
              <w14:schemeClr w14:val="tx1"/>
            </w14:solidFill>
          </w14:textFill>
        </w:rPr>
        <w:t>工程建设过程中，输电线路杆塔建设，会带来永久与临时占地，从而使场地植被及微区域地表状态发生改变，对区域生态环境造成不同程度的影响。本项目建设过程中可能造成的生态影响主要表现在以下几个方面：</w:t>
      </w:r>
    </w:p>
    <w:p w14:paraId="3BA5B302">
      <w:pPr>
        <w:ind w:firstLine="480"/>
        <w:rPr>
          <w:color w:val="000000" w:themeColor="text1"/>
          <w14:textFill>
            <w14:solidFill>
              <w14:schemeClr w14:val="tx1"/>
            </w14:solidFill>
          </w14:textFill>
        </w:rPr>
      </w:pPr>
      <w:r>
        <w:rPr>
          <w:color w:val="000000" w:themeColor="text1"/>
          <w14:textFill>
            <w14:solidFill>
              <w14:schemeClr w14:val="tx1"/>
            </w14:solidFill>
          </w14:textFill>
        </w:rPr>
        <w:t>（1）输电线路塔基施工需进行挖方、填方、浇筑等活动，会对附近的原生地貌和植被造成一定程度破坏，降低植被覆盖度，可能形成裸露疏松表土，周边的土壤也可能随之流失；同时施工弃土、弃渣及建筑垃圾等，如果不进行必要的防护，可能会影响当地的植物生长，加剧土壤侵蚀与水土流失，导致生产力下降和生物量损失。</w:t>
      </w:r>
    </w:p>
    <w:p w14:paraId="5ED1319C">
      <w:pPr>
        <w:ind w:firstLine="480"/>
        <w:rPr>
          <w:color w:val="000000" w:themeColor="text1"/>
          <w14:textFill>
            <w14:solidFill>
              <w14:schemeClr w14:val="tx1"/>
            </w14:solidFill>
          </w14:textFill>
        </w:rPr>
      </w:pPr>
      <w:r>
        <w:rPr>
          <w:color w:val="000000" w:themeColor="text1"/>
          <w14:textFill>
            <w14:solidFill>
              <w14:schemeClr w14:val="tx1"/>
            </w14:solidFill>
          </w14:textFill>
        </w:rPr>
        <w:t>（2）杆塔运至现场进行组立，需要占用一定范围的临时用地；张力牵张放线并紧线，需要租用牵张场地；为施工和运行检修方便，会新修部分临时道路，工程土建施工弃渣的临时堆放也会占用一定的场地。这些临时占地将改变原有的土地利用方式，使部分植被和土壤遭到短期破坏，导致生产力下降和生物量损失，但这种破坏是可逆转的。</w:t>
      </w:r>
    </w:p>
    <w:p w14:paraId="1A691E5E">
      <w:pPr>
        <w:ind w:firstLine="480"/>
        <w:rPr>
          <w:color w:val="000000" w:themeColor="text1"/>
          <w14:textFill>
            <w14:solidFill>
              <w14:schemeClr w14:val="tx1"/>
            </w14:solidFill>
          </w14:textFill>
        </w:rPr>
      </w:pPr>
      <w:r>
        <w:rPr>
          <w:color w:val="000000" w:themeColor="text1"/>
          <w14:textFill>
            <w14:solidFill>
              <w14:schemeClr w14:val="tx1"/>
            </w14:solidFill>
          </w14:textFill>
        </w:rPr>
        <w:t>（3）施工期间，施工人员出入、运输车辆的来往、施工机械的运行会对施工场地周边小型野生动物觅食、繁殖和发育等产生干扰，有可能限制其活动区域、觅食范围与栖息空间等。夜间运输车辆的灯光可能会对一些鸟类和兽类产生干扰，影响其正常的活动。</w:t>
      </w:r>
    </w:p>
    <w:p w14:paraId="4DBEB6D1">
      <w:pPr>
        <w:ind w:firstLine="480"/>
        <w:rPr>
          <w:color w:val="000000" w:themeColor="text1"/>
          <w14:textFill>
            <w14:solidFill>
              <w14:schemeClr w14:val="tx1"/>
            </w14:solidFill>
          </w14:textFill>
        </w:rPr>
      </w:pPr>
      <w:r>
        <w:rPr>
          <w:color w:val="000000" w:themeColor="text1"/>
          <w14:textFill>
            <w14:solidFill>
              <w14:schemeClr w14:val="tx1"/>
            </w14:solidFill>
          </w14:textFill>
        </w:rPr>
        <w:t>对土地利用的影响分析项目建设临时和永久地占用一定面积的土地，使评价区范围内的各种土地现状面积发生变化，对区域内土地利用结构产生一定影响。</w:t>
      </w:r>
    </w:p>
    <w:p w14:paraId="28785262">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输电线路施工占地包括永久占地和临时占地，永久占地为塔基占地，临时占地包括：塔基施工临时占地、牵张场、施工道路占地、跨越施工场地占地等。工程占地性质以临时占地为主，较为分散，输电线路不存在集中大量占用土地的情况，对生态环境的影响较小，对当地土地利用几乎无影响。</w:t>
      </w:r>
    </w:p>
    <w:p w14:paraId="2AFD4701">
      <w:pPr>
        <w:ind w:firstLine="480"/>
        <w:rPr>
          <w:color w:val="000000" w:themeColor="text1"/>
          <w14:textFill>
            <w14:solidFill>
              <w14:schemeClr w14:val="tx1"/>
            </w14:solidFill>
          </w14:textFill>
        </w:rPr>
      </w:pPr>
      <w:r>
        <w:rPr>
          <w:color w:val="000000" w:themeColor="text1"/>
          <w14:textFill>
            <w14:solidFill>
              <w14:schemeClr w14:val="tx1"/>
            </w14:solidFill>
          </w14:textFill>
        </w:rPr>
        <w:t>线路在施工时，应根据当地地形合理选择塔基位置。塔基选择时，应充分利用现有道路，尽量减少修建临时施工便道，将塔基设置在地表植被较少地区。</w:t>
      </w:r>
    </w:p>
    <w:p w14:paraId="5199BD31">
      <w:pPr>
        <w:ind w:firstLine="480"/>
        <w:rPr>
          <w:color w:val="000000" w:themeColor="text1"/>
          <w14:textFill>
            <w14:solidFill>
              <w14:schemeClr w14:val="tx1"/>
            </w14:solidFill>
          </w14:textFill>
        </w:rPr>
      </w:pPr>
      <w:r>
        <w:rPr>
          <w:color w:val="000000" w:themeColor="text1"/>
          <w14:textFill>
            <w14:solidFill>
              <w14:schemeClr w14:val="tx1"/>
            </w14:solidFill>
          </w14:textFill>
        </w:rPr>
        <w:t>线路塔基建设需临时征用土地，被占用的土地植被暂时被清除，根据塔基占用土地类型及周围生态环境和输电线路路径地区的具体情况，选取适当的恢复措施，对临时征用的土地进行恢复，以减少对土地占用的影响。被永久占用的土地原有植被受到破坏，临时占用土地的植被部分会受到影响，但施工结束后及时给予恢复。</w:t>
      </w:r>
    </w:p>
    <w:p w14:paraId="11FBD3C0">
      <w:pPr>
        <w:widowControl/>
        <w:ind w:firstLine="480"/>
        <w:rPr>
          <w:color w:val="000000" w:themeColor="text1"/>
          <w:kern w:val="0"/>
          <w14:textFill>
            <w14:solidFill>
              <w14:schemeClr w14:val="tx1"/>
            </w14:solidFill>
          </w14:textFill>
        </w:rPr>
      </w:pPr>
      <w:r>
        <w:rPr>
          <w:color w:val="000000" w:themeColor="text1"/>
          <w14:textFill>
            <w14:solidFill>
              <w14:schemeClr w14:val="tx1"/>
            </w14:solidFill>
          </w14:textFill>
        </w:rPr>
        <w:t>输电线路设计时，一方面优化塔基选型及塔位布置，减少塔基区永久占地；</w:t>
      </w:r>
      <w:r>
        <w:rPr>
          <w:rFonts w:hint="eastAsia"/>
          <w:color w:val="000000" w:themeColor="text1"/>
          <w:lang w:eastAsia="zh-CN"/>
          <w14:textFill>
            <w14:solidFill>
              <w14:schemeClr w14:val="tx1"/>
            </w14:solidFill>
          </w14:textFill>
        </w:rPr>
        <w:t>另</w:t>
      </w:r>
      <w:r>
        <w:rPr>
          <w:color w:val="000000" w:themeColor="text1"/>
          <w14:textFill>
            <w14:solidFill>
              <w14:schemeClr w14:val="tx1"/>
            </w14:solidFill>
          </w14:textFill>
        </w:rPr>
        <w:t>一方面尽量靠近现有道路架设线路，最大限度减少施工便道等临时用地，塔基选择时，应充分利用现有道路及已建线路的检修道路，尽量减少修建临时施工便道。施工时，严格落实水土保持方案报告书提出的各项水土流失防治措施，以减少水土流失。施工结束后，除塔基四个支撑脚占地外，其余均采取土地整治，并积极恢复原有地貌。采取上述措施后，本项目不会明显改变项目沿线土地利用结构，对项目沿线土地利用影响轻微，不会造成新的水土流失和土地生产力下降。就整体而言，线路施工占地、塔基开挖和弃土堆放占地，只要处理得当，对环境影响较小，不会造成新的水土流失和土地生产力下降。</w:t>
      </w:r>
    </w:p>
    <w:p w14:paraId="04F72327">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894" w:name="_Toc24451"/>
      <w:bookmarkStart w:id="895" w:name="_Toc4634"/>
      <w:bookmarkStart w:id="896" w:name="_Toc6898"/>
      <w:bookmarkStart w:id="897" w:name="_Toc31396"/>
      <w:bookmarkStart w:id="898" w:name="_Toc4573"/>
      <w:bookmarkStart w:id="899" w:name="_Toc25612"/>
      <w:bookmarkStart w:id="900" w:name="_Toc8681"/>
      <w:bookmarkStart w:id="901" w:name="_Toc5275"/>
      <w:bookmarkStart w:id="902" w:name="_Toc290"/>
      <w:bookmarkStart w:id="903" w:name="_Toc18227"/>
      <w:bookmarkStart w:id="904" w:name="_Toc19650"/>
      <w:r>
        <w:rPr>
          <w:bCs/>
          <w:color w:val="000000" w:themeColor="text1"/>
          <w:sz w:val="28"/>
          <w:szCs w:val="32"/>
          <w14:textFill>
            <w14:solidFill>
              <w14:schemeClr w14:val="tx1"/>
            </w14:solidFill>
          </w14:textFill>
        </w:rPr>
        <w:t>5.1.</w:t>
      </w:r>
      <w:r>
        <w:rPr>
          <w:rFonts w:hint="eastAsia"/>
          <w:bCs/>
          <w:color w:val="000000" w:themeColor="text1"/>
          <w:sz w:val="28"/>
          <w:szCs w:val="32"/>
          <w14:textFill>
            <w14:solidFill>
              <w14:schemeClr w14:val="tx1"/>
            </w14:solidFill>
          </w14:textFill>
        </w:rPr>
        <w:t>2</w:t>
      </w:r>
      <w:r>
        <w:rPr>
          <w:bCs/>
          <w:color w:val="000000" w:themeColor="text1"/>
          <w:sz w:val="28"/>
          <w:szCs w:val="32"/>
          <w14:textFill>
            <w14:solidFill>
              <w14:schemeClr w14:val="tx1"/>
            </w14:solidFill>
          </w14:textFill>
        </w:rPr>
        <w:t>对植被的影响分析</w:t>
      </w:r>
      <w:bookmarkEnd w:id="894"/>
      <w:bookmarkEnd w:id="895"/>
      <w:bookmarkEnd w:id="896"/>
      <w:bookmarkEnd w:id="897"/>
      <w:bookmarkEnd w:id="898"/>
      <w:bookmarkEnd w:id="899"/>
      <w:bookmarkEnd w:id="900"/>
      <w:bookmarkEnd w:id="901"/>
      <w:bookmarkEnd w:id="902"/>
      <w:bookmarkEnd w:id="903"/>
      <w:bookmarkEnd w:id="904"/>
    </w:p>
    <w:p w14:paraId="180C3DB4">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（1）对其他草地的影响</w:t>
      </w:r>
    </w:p>
    <w:p w14:paraId="32CDC371">
      <w:pPr>
        <w:ind w:firstLine="480"/>
        <w:rPr>
          <w:color w:val="000000" w:themeColor="text1"/>
          <w14:textFill>
            <w14:solidFill>
              <w14:schemeClr w14:val="tx1"/>
            </w14:solidFill>
          </w14:textFill>
        </w:rPr>
      </w:pPr>
      <w:r>
        <w:rPr>
          <w:color w:val="000000" w:themeColor="text1"/>
          <w14:textFill>
            <w14:solidFill>
              <w14:schemeClr w14:val="tx1"/>
            </w14:solidFill>
          </w14:textFill>
        </w:rPr>
        <w:t>本工程输电线路沿线植被主要为荒漠草本植被，如</w:t>
      </w:r>
      <w:r>
        <w:rPr>
          <w:rFonts w:hint="eastAsia"/>
          <w:color w:val="000000" w:themeColor="text1"/>
          <w14:textFill>
            <w14:solidFill>
              <w14:schemeClr w14:val="tx1"/>
            </w14:solidFill>
          </w14:textFill>
        </w:rPr>
        <w:t>膜果麻黄、多枝柽柳</w:t>
      </w:r>
      <w:r>
        <w:rPr>
          <w:color w:val="000000" w:themeColor="text1"/>
          <w14:textFill>
            <w14:solidFill>
              <w14:schemeClr w14:val="tx1"/>
            </w14:solidFill>
          </w14:textFill>
        </w:rPr>
        <w:t>等，无高大乔木植物。输电线路沿线</w:t>
      </w:r>
      <w:r>
        <w:rPr>
          <w:rFonts w:hint="eastAsia"/>
          <w:color w:val="000000" w:themeColor="text1"/>
          <w:lang w:val="en-US" w:eastAsia="zh-CN"/>
          <w14:textFill>
            <w14:solidFill>
              <w14:schemeClr w14:val="tx1"/>
            </w14:solidFill>
          </w14:textFill>
        </w:rPr>
        <w:t>53</w:t>
      </w:r>
      <w:r>
        <w:rPr>
          <w:color w:val="000000" w:themeColor="text1"/>
          <w14:textFill>
            <w14:solidFill>
              <w14:schemeClr w14:val="tx1"/>
            </w14:solidFill>
          </w14:textFill>
        </w:rPr>
        <w:t>基塔基</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处</w:t>
      </w:r>
      <w:r>
        <w:rPr>
          <w:color w:val="000000" w:themeColor="text1"/>
          <w14:textFill>
            <w14:solidFill>
              <w14:schemeClr w14:val="tx1"/>
            </w14:solidFill>
          </w14:textFill>
        </w:rPr>
        <w:t>牵</w:t>
      </w:r>
      <w:r>
        <w:rPr>
          <w:rFonts w:hint="eastAsia"/>
          <w:color w:val="000000" w:themeColor="text1"/>
          <w:lang w:val="en-US" w:eastAsia="zh-CN"/>
          <w14:textFill>
            <w14:solidFill>
              <w14:schemeClr w14:val="tx1"/>
            </w14:solidFill>
          </w14:textFill>
        </w:rPr>
        <w:t>引</w:t>
      </w:r>
      <w:r>
        <w:rPr>
          <w:color w:val="000000" w:themeColor="text1"/>
          <w14:textFill>
            <w14:solidFill>
              <w14:schemeClr w14:val="tx1"/>
            </w14:solidFill>
          </w14:textFill>
        </w:rPr>
        <w:t>场及</w:t>
      </w:r>
      <w:r>
        <w:rPr>
          <w:rFonts w:hint="eastAsia"/>
          <w:color w:val="000000" w:themeColor="text1"/>
          <w:lang w:val="en-US" w:eastAsia="zh-CN"/>
          <w14:textFill>
            <w14:solidFill>
              <w14:schemeClr w14:val="tx1"/>
            </w14:solidFill>
          </w14:textFill>
        </w:rPr>
        <w:t>21处张力场</w:t>
      </w:r>
      <w:r>
        <w:rPr>
          <w:color w:val="000000" w:themeColor="text1"/>
          <w14:textFill>
            <w14:solidFill>
              <w14:schemeClr w14:val="tx1"/>
            </w14:solidFill>
          </w14:textFill>
        </w:rPr>
        <w:t>、临时道路占用草地，估算</w:t>
      </w:r>
      <w:r>
        <w:rPr>
          <w:rFonts w:hint="eastAsia"/>
          <w:color w:val="000000" w:themeColor="text1"/>
          <w14:textFill>
            <w14:solidFill>
              <w14:schemeClr w14:val="tx1"/>
            </w14:solidFill>
          </w14:textFill>
        </w:rPr>
        <w:t>其他草地</w:t>
      </w:r>
      <w:r>
        <w:rPr>
          <w:color w:val="000000" w:themeColor="text1"/>
          <w14:textFill>
            <w14:solidFill>
              <w14:schemeClr w14:val="tx1"/>
            </w14:solidFill>
          </w14:textFill>
        </w:rPr>
        <w:t>永久占地</w:t>
      </w:r>
      <w:r>
        <w:rPr>
          <w:rFonts w:hint="eastAsia"/>
          <w:color w:val="000000" w:themeColor="text1"/>
          <w:lang w:val="en-US" w:eastAsia="zh-CN"/>
          <w14:textFill>
            <w14:solidFill>
              <w14:schemeClr w14:val="tx1"/>
            </w14:solidFill>
          </w14:textFill>
        </w:rPr>
        <w:t>16430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，临时占地</w:t>
      </w:r>
      <w:r>
        <w:rPr>
          <w:rFonts w:hint="eastAsia"/>
          <w:color w:val="000000" w:themeColor="text1"/>
          <w:lang w:val="en-US" w:eastAsia="zh-CN"/>
          <w14:textFill>
            <w14:solidFill>
              <w14:schemeClr w14:val="tx1"/>
            </w14:solidFill>
          </w14:textFill>
        </w:rPr>
        <w:t>186200</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根据黄玫、季劲钧等《中国区域植被地上与地下生物量模拟》（生态学报，2006（12）：4156-4163）中提到荒漠植被类型平均总生物量为0.07kg/m</w:t>
      </w:r>
      <w:r>
        <w:rPr>
          <w:rFonts w:ascii="Times New Roman" w:hAnsi="Times New Roman" w:cs="Times New Roman"/>
          <w:color w:val="000000" w:themeColor="text1"/>
          <w:sz w:val="24"/>
          <w:vertAlign w:val="superscript"/>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草地的</w:t>
      </w:r>
      <w:r>
        <w:rPr>
          <w:rFonts w:hint="eastAsia" w:ascii="Times New Roman" w:hAnsi="Times New Roman" w:cs="Times New Roman"/>
          <w:color w:val="000000" w:themeColor="text1"/>
          <w:sz w:val="24"/>
          <w:lang w:val="en-US" w:eastAsia="zh-CN"/>
          <w14:textFill>
            <w14:solidFill>
              <w14:schemeClr w14:val="tx1"/>
            </w14:solidFill>
          </w14:textFill>
        </w:rPr>
        <w:t>永久</w:t>
      </w:r>
      <w:r>
        <w:rPr>
          <w:rFonts w:ascii="Times New Roman" w:hAnsi="Times New Roman" w:cs="Times New Roman"/>
          <w:color w:val="000000" w:themeColor="text1"/>
          <w:sz w:val="24"/>
          <w14:textFill>
            <w14:solidFill>
              <w14:schemeClr w14:val="tx1"/>
            </w14:solidFill>
          </w14:textFill>
        </w:rPr>
        <w:t>生物损失量约为</w:t>
      </w:r>
      <w:r>
        <w:rPr>
          <w:rFonts w:hint="eastAsia" w:ascii="Times New Roman" w:hAnsi="Times New Roman" w:cs="Times New Roman"/>
          <w:color w:val="000000" w:themeColor="text1"/>
          <w:sz w:val="24"/>
          <w:lang w:val="en-US" w:eastAsia="zh-CN"/>
          <w14:textFill>
            <w14:solidFill>
              <w14:schemeClr w14:val="tx1"/>
            </w14:solidFill>
          </w14:textFill>
        </w:rPr>
        <w:t>1.1</w:t>
      </w:r>
      <w:r>
        <w:rPr>
          <w:rFonts w:hint="eastAsia" w:cs="Times New Roman"/>
          <w:color w:val="000000" w:themeColor="text1"/>
          <w:sz w:val="24"/>
          <w:lang w:val="en-US" w:eastAsia="zh-CN"/>
          <w14:textFill>
            <w14:solidFill>
              <w14:schemeClr w14:val="tx1"/>
            </w14:solidFill>
          </w14:textFill>
        </w:rPr>
        <w:t>5</w:t>
      </w:r>
      <w:r>
        <w:rPr>
          <w:rFonts w:ascii="Times New Roman" w:hAnsi="Times New Roman" w:cs="Times New Roman"/>
          <w:color w:val="000000" w:themeColor="text1"/>
          <w:sz w:val="24"/>
          <w14:textFill>
            <w14:solidFill>
              <w14:schemeClr w14:val="tx1"/>
            </w14:solidFill>
          </w14:textFill>
        </w:rPr>
        <w:t>t/a</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临时草地</w:t>
      </w:r>
      <w:r>
        <w:rPr>
          <w:rFonts w:ascii="Times New Roman" w:hAnsi="Times New Roman" w:cs="Times New Roman"/>
          <w:color w:val="000000" w:themeColor="text1"/>
          <w:sz w:val="24"/>
          <w14:textFill>
            <w14:solidFill>
              <w14:schemeClr w14:val="tx1"/>
            </w14:solidFill>
          </w14:textFill>
        </w:rPr>
        <w:t>生物损失量约为</w:t>
      </w:r>
      <w:r>
        <w:rPr>
          <w:rFonts w:hint="eastAsia" w:cs="Times New Roman"/>
          <w:color w:val="000000" w:themeColor="text1"/>
          <w:sz w:val="24"/>
          <w:lang w:val="en-US" w:eastAsia="zh-CN"/>
          <w14:textFill>
            <w14:solidFill>
              <w14:schemeClr w14:val="tx1"/>
            </w14:solidFill>
          </w14:textFill>
        </w:rPr>
        <w:t>13.03</w:t>
      </w:r>
      <w:r>
        <w:rPr>
          <w:rFonts w:ascii="Times New Roman" w:hAnsi="Times New Roman" w:cs="Times New Roman"/>
          <w:color w:val="000000" w:themeColor="text1"/>
          <w:sz w:val="24"/>
          <w14:textFill>
            <w14:solidFill>
              <w14:schemeClr w14:val="tx1"/>
            </w14:solidFill>
          </w14:textFill>
        </w:rPr>
        <w:t>t/a。本项目占地范围内植被覆盖度较低，</w:t>
      </w:r>
      <w:r>
        <w:rPr>
          <w:color w:val="000000" w:themeColor="text1"/>
          <w14:textFill>
            <w14:solidFill>
              <w14:schemeClr w14:val="tx1"/>
            </w14:solidFill>
          </w14:textFill>
        </w:rPr>
        <w:t>项目建设过程中施工人员、机械进入草地，使草地环境中人类活动频率大幅度增加。线路塔基和施工临时占地可能会占用部分荒漠草本植被，导致小尺度范围植被破坏，造成草丛少量生产力及生物量的永久性损失，临时占地也可能会带来短期的扰动。但是，草丛各优势种适应性强，生长快，恢复力强，在工程结束后，该类植被会迅速恢复，影响较小。</w:t>
      </w:r>
    </w:p>
    <w:p w14:paraId="1AC2DF86">
      <w:pPr>
        <w:ind w:firstLine="480"/>
        <w:rPr>
          <w:rFonts w:hint="default"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对公益林的影响分析</w:t>
      </w:r>
    </w:p>
    <w:p w14:paraId="5163D874">
      <w:pPr>
        <w:ind w:firstLine="480"/>
        <w:rPr>
          <w:rFonts w:hint="eastAsia"/>
          <w:color w:val="000000" w:themeColor="text1"/>
          <w:lang w:eastAsia="zh-CN"/>
          <w14:textFill>
            <w14:solidFill>
              <w14:schemeClr w14:val="tx1"/>
            </w14:solidFill>
          </w14:textFill>
        </w:rPr>
      </w:pPr>
      <w:r>
        <w:rPr>
          <w:rFonts w:hint="eastAsia" w:cs="Times New Roman"/>
          <w:color w:val="000000" w:themeColor="text1"/>
          <w:kern w:val="0"/>
          <w:sz w:val="24"/>
          <w:szCs w:val="24"/>
          <w:highlight w:val="none"/>
          <w:lang w:val="en-US" w:eastAsia="zh-CN" w:bidi="ar"/>
          <w14:textFill>
            <w14:solidFill>
              <w14:schemeClr w14:val="tx1"/>
            </w14:solidFill>
          </w14:textFill>
        </w:rPr>
        <w:t>本项目评价范围内涉及</w:t>
      </w:r>
      <w:r>
        <w:rPr>
          <w:rFonts w:hint="default" w:ascii="Times New Roman" w:hAnsi="Times New Roman" w:cs="Times New Roman"/>
          <w:color w:val="000000" w:themeColor="text1"/>
          <w:kern w:val="0"/>
          <w:sz w:val="24"/>
          <w:szCs w:val="24"/>
          <w:lang w:bidi="ar"/>
          <w14:textFill>
            <w14:solidFill>
              <w14:schemeClr w14:val="tx1"/>
            </w14:solidFill>
          </w14:textFill>
        </w:rPr>
        <w:t>防风固沙类生态公益林</w:t>
      </w:r>
      <w:r>
        <w:rPr>
          <w:rFonts w:hint="eastAsia" w:ascii="Times New Roman" w:hAnsi="Times New Roman" w:cs="Times New Roman"/>
          <w:color w:val="000000" w:themeColor="text1"/>
          <w:kern w:val="0"/>
          <w:sz w:val="24"/>
          <w:szCs w:val="24"/>
          <w:lang w:eastAsia="zh-CN" w:bidi="ar"/>
          <w14:textFill>
            <w14:solidFill>
              <w14:schemeClr w14:val="tx1"/>
            </w14:solidFill>
          </w14:textFill>
        </w:rPr>
        <w:t>，</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但项目不占用公益林。施工期若不严加管理，严格控制施工作业范围，施工车辆、机械误入公益林范围，会造成破坏林木，扬尘增加，生态环境质量下降。</w:t>
      </w:r>
    </w:p>
    <w:p w14:paraId="1ACF940E">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905" w:name="_Toc20425"/>
      <w:bookmarkStart w:id="906" w:name="_Toc32481"/>
      <w:bookmarkStart w:id="907" w:name="_Toc3948"/>
      <w:bookmarkStart w:id="908" w:name="_Toc7695"/>
      <w:bookmarkStart w:id="909" w:name="_Toc17154"/>
      <w:r>
        <w:rPr>
          <w:bCs/>
          <w:color w:val="000000" w:themeColor="text1"/>
          <w:sz w:val="28"/>
          <w:szCs w:val="32"/>
          <w14:textFill>
            <w14:solidFill>
              <w14:schemeClr w14:val="tx1"/>
            </w14:solidFill>
          </w14:textFill>
        </w:rPr>
        <w:t>5.1.</w:t>
      </w:r>
      <w:r>
        <w:rPr>
          <w:rFonts w:hint="eastAsia"/>
          <w:bCs/>
          <w:color w:val="000000" w:themeColor="text1"/>
          <w:sz w:val="28"/>
          <w:szCs w:val="32"/>
          <w14:textFill>
            <w14:solidFill>
              <w14:schemeClr w14:val="tx1"/>
            </w14:solidFill>
          </w14:textFill>
        </w:rPr>
        <w:t>3</w:t>
      </w:r>
      <w:r>
        <w:rPr>
          <w:bCs/>
          <w:color w:val="000000" w:themeColor="text1"/>
          <w:sz w:val="28"/>
          <w:szCs w:val="32"/>
          <w14:textFill>
            <w14:solidFill>
              <w14:schemeClr w14:val="tx1"/>
            </w14:solidFill>
          </w14:textFill>
        </w:rPr>
        <w:t>对动物的影响分析</w:t>
      </w:r>
      <w:bookmarkEnd w:id="905"/>
      <w:bookmarkEnd w:id="906"/>
      <w:bookmarkEnd w:id="907"/>
      <w:bookmarkEnd w:id="908"/>
      <w:bookmarkEnd w:id="909"/>
    </w:p>
    <w:p w14:paraId="286F93E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）对爬行动物影响</w:t>
      </w:r>
    </w:p>
    <w:p w14:paraId="5B8B102A">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在输电线路施工范围内，爬行类动物种类不多，不涉及国家重点保护爬行动物。施工可能对这些动物的分布产生影响，迫使其离开栖息地，减少其活动强度和范围，但这种影响是暂时、局部、可逆的，随着施工活动的结束而结束。</w:t>
      </w:r>
    </w:p>
    <w:p w14:paraId="00F7FB05">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）对哺乳类动物的影响</w:t>
      </w:r>
    </w:p>
    <w:p w14:paraId="4465A78A">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工程沿线分布的动物主要为当地常见动物，主要包括野兔、鼠、蛇等，这些动物大多是广泛分布物种，适应范围广，迁移能力强，不会因施工作业而使其物种种群数量大幅下降。现场踏勘期间，未在评价范围内发现受保护野生动物。同时，这些动物大多生性机警，易受惊扰，施工噪声及人为干扰会使这些动物迅速离开施工现场，受影响程度会比较小。</w:t>
      </w:r>
    </w:p>
    <w:p w14:paraId="0AD91FD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）对鸟类的影响</w:t>
      </w:r>
    </w:p>
    <w:p w14:paraId="46A85892">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线路塔基永久占地施工、临时施工道路、牵张场的建设和施工人员活动都会对施工扰动区域鸟类的生境造成干扰和破坏，造成鸟类领地范围的改变和领地竞争，迫使部分鸟类迁离原栖息地，但同时也为部分人居型鸟类提供了适宜的生存空间，进而影响区域鸟类的种群结构。但由于输变电工程为点状的线性工程，施工扰动区域面积很小且分散，因此输变电工程施工期施工扰动对鸟类栖息地的影响较小。具体表现为：施工开始后，灌丛区、草原区的施工占地区域内大多数个体能够逃离施工区域。猛禽鸟类飞翔能力强、大多在高空飞行，施工使它们</w:t>
      </w:r>
      <w:r>
        <w:rPr>
          <w:rFonts w:hint="eastAsia" w:ascii="宋体" w:hAnsi="宋体" w:cs="宋体"/>
          <w:color w:val="000000" w:themeColor="text1"/>
          <w:kern w:val="0"/>
          <w:lang w:eastAsia="zh-CN" w:bidi="ar"/>
          <w14:textFill>
            <w14:solidFill>
              <w14:schemeClr w14:val="tx1"/>
            </w14:solidFill>
          </w14:textFill>
        </w:rPr>
        <w:t>觅食</w:t>
      </w:r>
      <w:r>
        <w:rPr>
          <w:rFonts w:hint="eastAsia" w:ascii="宋体" w:hAnsi="宋体" w:cs="宋体"/>
          <w:color w:val="000000" w:themeColor="text1"/>
          <w:kern w:val="0"/>
          <w:lang w:bidi="ar"/>
          <w14:textFill>
            <w14:solidFill>
              <w14:schemeClr w14:val="tx1"/>
            </w14:solidFill>
          </w14:textFill>
        </w:rPr>
        <w:t>面积缩小；一般小型鸟类种群数量较大，个体小，繁殖力强，种群受干扰后的恢复能力较强，它们在施工期可以迅速离开现场，施工结束后影响可较快消失。</w:t>
      </w:r>
    </w:p>
    <w:p w14:paraId="435AB979">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鸟类迁徙主要沿着山脊和河流飞行，一般飞行高度在</w:t>
      </w:r>
      <w:r>
        <w:rPr>
          <w:color w:val="000000" w:themeColor="text1"/>
          <w:kern w:val="0"/>
          <w:lang w:bidi="ar"/>
          <w14:textFill>
            <w14:solidFill>
              <w14:schemeClr w14:val="tx1"/>
            </w14:solidFill>
          </w14:textFill>
        </w:rPr>
        <w:t>500m</w:t>
      </w:r>
      <w:r>
        <w:rPr>
          <w:rFonts w:hint="eastAsia" w:ascii="宋体" w:hAnsi="宋体" w:cs="宋体"/>
          <w:color w:val="000000" w:themeColor="text1"/>
          <w:kern w:val="0"/>
          <w:lang w:bidi="ar"/>
          <w14:textFill>
            <w14:solidFill>
              <w14:schemeClr w14:val="tx1"/>
            </w14:solidFill>
          </w14:textFill>
        </w:rPr>
        <w:t>左右，大大高于本工程输电线路的高度，只有在有雨雾的天气条件下才会降低飞行高度，此时本工程输电线路可能会对它们的飞行有影响。从国内已建成的输电线路的情况来看，线路建成后不会改变鸟类的迁徙通道，不会影响鸟类的生活习性。并且鸟类的视觉非常灵敏，一般不会碰撞输电线路和铁塔。</w:t>
      </w:r>
    </w:p>
    <w:p w14:paraId="0A8A2808">
      <w:pPr>
        <w:pStyle w:val="4"/>
        <w:keepNext/>
        <w:keepLines/>
        <w:tabs>
          <w:tab w:val="clear" w:pos="907"/>
          <w:tab w:val="clear" w:pos="1034"/>
        </w:tabs>
        <w:adjustRightInd/>
        <w:spacing w:before="120" w:beforeLines="50" w:after="120" w:afterLines="50"/>
        <w:ind w:firstLine="0" w:firstLineChars="0"/>
        <w:jc w:val="both"/>
        <w:rPr>
          <w:rFonts w:hint="eastAsia" w:eastAsia="宋体"/>
          <w:bCs/>
          <w:color w:val="000000" w:themeColor="text1"/>
          <w:sz w:val="28"/>
          <w:szCs w:val="32"/>
          <w:lang w:val="en-US" w:eastAsia="zh-CN"/>
          <w14:textFill>
            <w14:solidFill>
              <w14:schemeClr w14:val="tx1"/>
            </w14:solidFill>
          </w14:textFill>
        </w:rPr>
      </w:pPr>
      <w:bookmarkStart w:id="910" w:name="_Toc30020"/>
      <w:bookmarkStart w:id="911" w:name="_Toc882"/>
      <w:bookmarkStart w:id="912" w:name="_Toc32194"/>
      <w:bookmarkStart w:id="913" w:name="_Toc11992"/>
      <w:bookmarkStart w:id="914" w:name="_Toc1906"/>
      <w:bookmarkStart w:id="915" w:name="_Toc28299"/>
      <w:bookmarkStart w:id="916" w:name="_Toc21972"/>
      <w:bookmarkStart w:id="917" w:name="_Toc30323"/>
      <w:bookmarkStart w:id="918" w:name="_Toc111539239"/>
      <w:bookmarkStart w:id="919" w:name="_Toc17512"/>
      <w:r>
        <w:rPr>
          <w:bCs/>
          <w:color w:val="000000" w:themeColor="text1"/>
          <w:sz w:val="28"/>
          <w:szCs w:val="32"/>
          <w14:textFill>
            <w14:solidFill>
              <w14:schemeClr w14:val="tx1"/>
            </w14:solidFill>
          </w14:textFill>
        </w:rPr>
        <w:t>5.1.</w:t>
      </w:r>
      <w:bookmarkEnd w:id="910"/>
      <w:bookmarkEnd w:id="911"/>
      <w:bookmarkEnd w:id="912"/>
      <w:bookmarkEnd w:id="913"/>
      <w:bookmarkEnd w:id="914"/>
      <w:bookmarkEnd w:id="915"/>
      <w:bookmarkEnd w:id="916"/>
      <w:bookmarkEnd w:id="917"/>
      <w:bookmarkEnd w:id="918"/>
      <w:bookmarkEnd w:id="919"/>
      <w:r>
        <w:rPr>
          <w:rFonts w:hint="eastAsia"/>
          <w:bCs/>
          <w:color w:val="000000" w:themeColor="text1"/>
          <w:sz w:val="28"/>
          <w:szCs w:val="32"/>
          <w14:textFill>
            <w14:solidFill>
              <w14:schemeClr w14:val="tx1"/>
            </w14:solidFill>
          </w14:textFill>
        </w:rPr>
        <w:t>4</w:t>
      </w:r>
      <w:r>
        <w:rPr>
          <w:rFonts w:hint="eastAsia"/>
          <w:bCs/>
          <w:color w:val="000000" w:themeColor="text1"/>
          <w:sz w:val="28"/>
          <w:szCs w:val="32"/>
          <w:lang w:val="en-US" w:eastAsia="zh-CN"/>
          <w14:textFill>
            <w14:solidFill>
              <w14:schemeClr w14:val="tx1"/>
            </w14:solidFill>
          </w14:textFill>
        </w:rPr>
        <w:t>土地沙化</w:t>
      </w:r>
      <w:r>
        <w:rPr>
          <w:rFonts w:hint="eastAsia"/>
          <w:bCs/>
          <w:color w:val="000000" w:themeColor="text1"/>
          <w:sz w:val="28"/>
          <w:szCs w:val="32"/>
          <w14:textFill>
            <w14:solidFill>
              <w14:schemeClr w14:val="tx1"/>
            </w14:solidFill>
          </w14:textFill>
        </w:rPr>
        <w:t>影响</w:t>
      </w:r>
      <w:r>
        <w:rPr>
          <w:rFonts w:hint="eastAsia"/>
          <w:bCs/>
          <w:color w:val="000000" w:themeColor="text1"/>
          <w:sz w:val="28"/>
          <w:szCs w:val="32"/>
          <w:lang w:val="en-US" w:eastAsia="zh-CN"/>
          <w14:textFill>
            <w14:solidFill>
              <w14:schemeClr w14:val="tx1"/>
            </w14:solidFill>
          </w14:textFill>
        </w:rPr>
        <w:t>分析</w:t>
      </w:r>
    </w:p>
    <w:p w14:paraId="0FCF5671">
      <w:pPr>
        <w:adjustRightInd w:val="0"/>
        <w:snapToGrid w:val="0"/>
        <w:ind w:firstLine="480"/>
        <w:rPr>
          <w:rFonts w:hint="eastAsia"/>
          <w:bCs/>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根据《新疆第六次沙化监测报告》，</w:t>
      </w:r>
      <w:r>
        <w:rPr>
          <w:bCs/>
          <w:color w:val="000000" w:themeColor="text1"/>
          <w14:textFill>
            <w14:solidFill>
              <w14:schemeClr w14:val="tx1"/>
            </w14:solidFill>
          </w14:textFill>
        </w:rPr>
        <w:t>项目所处区域为</w:t>
      </w:r>
      <w:r>
        <w:rPr>
          <w:rFonts w:hint="eastAsia"/>
          <w:bCs/>
          <w:color w:val="000000" w:themeColor="text1"/>
          <w14:textFill>
            <w14:solidFill>
              <w14:schemeClr w14:val="tx1"/>
            </w14:solidFill>
          </w14:textFill>
        </w:rPr>
        <w:t>巴音郭楞蒙古自治州若羌县，属于沙化土地类型中的戈壁。线路终点距离北侧的塔里木盆地南缘土地沙化防控生态保护红线区最近约790m</w:t>
      </w:r>
      <w:r>
        <w:rPr>
          <w:rFonts w:hint="eastAsia"/>
          <w:bCs/>
          <w:color w:val="000000" w:themeColor="text1"/>
          <w:lang w:eastAsia="zh-CN"/>
          <w14:textFill>
            <w14:solidFill>
              <w14:schemeClr w14:val="tx1"/>
            </w14:solidFill>
          </w14:textFill>
        </w:rPr>
        <w:t>。</w:t>
      </w:r>
    </w:p>
    <w:p w14:paraId="712E82E9">
      <w:pPr>
        <w:adjustRightInd w:val="0"/>
        <w:snapToGrid w:val="0"/>
        <w:ind w:firstLine="480"/>
        <w:rPr>
          <w:rFonts w:hint="eastAsia"/>
          <w:color w:val="000000" w:themeColor="text1"/>
          <w14:textFill>
            <w14:solidFill>
              <w14:schemeClr w14:val="tx1"/>
            </w14:solidFill>
          </w14:textFill>
        </w:rPr>
      </w:pPr>
      <w:r>
        <w:rPr>
          <w:rFonts w:hint="eastAsia"/>
          <w:bCs/>
          <w:color w:val="000000" w:themeColor="text1"/>
          <w:lang w:val="en-US" w:eastAsia="zh-CN"/>
          <w14:textFill>
            <w14:solidFill>
              <w14:schemeClr w14:val="tx1"/>
            </w14:solidFill>
          </w14:textFill>
        </w:rPr>
        <w:t>砾幕层是戈壁的重要组成部分。砾石覆盖在地表，可以减缓风对细颗粒土壤的侵蚀，保护下层土壤结构，有效防止土壤沙化和土壤侵蚀。本次工程建设占地范围内含戈壁区域，施工过程中施工机械及人员扰动会造成一定范围内的戈壁砾幕层</w:t>
      </w:r>
      <w:r>
        <w:rPr>
          <w:rFonts w:hint="default" w:ascii="Times New Roman" w:hAnsi="Times New Roman" w:cs="Times New Roman"/>
          <w:color w:val="000000" w:themeColor="text1"/>
          <w:highlight w:val="none"/>
          <w14:textFill>
            <w14:solidFill>
              <w14:schemeClr w14:val="tx1"/>
            </w14:solidFill>
          </w14:textFill>
        </w:rPr>
        <w:t>遭到</w:t>
      </w:r>
      <w:r>
        <w:rPr>
          <w:rFonts w:hint="eastAsia"/>
          <w:bCs/>
          <w:color w:val="000000" w:themeColor="text1"/>
          <w:lang w:val="en-US" w:eastAsia="zh-CN"/>
          <w14:textFill>
            <w14:solidFill>
              <w14:schemeClr w14:val="tx1"/>
            </w14:solidFill>
          </w14:textFill>
        </w:rPr>
        <w:t>破坏，戈壁砾幕层被破坏带来的后果主要为沙尘天数增加，促使潜在的沙尘源转化为现实的沙尘源</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加剧土地沙漠化</w:t>
      </w:r>
      <w:r>
        <w:rPr>
          <w:rFonts w:hint="eastAsia"/>
          <w:bCs/>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此外，由于项目地处内陆地区，风沙较大，空气干燥，加上地表</w:t>
      </w:r>
      <w:r>
        <w:rPr>
          <w:rFonts w:hint="eastAsia"/>
          <w:color w:val="000000" w:themeColor="text1"/>
          <w:lang w:val="en-US" w:eastAsia="zh-CN"/>
          <w14:textFill>
            <w14:solidFill>
              <w14:schemeClr w14:val="tx1"/>
            </w14:solidFill>
          </w14:textFill>
        </w:rPr>
        <w:t>有部分</w:t>
      </w:r>
      <w:r>
        <w:rPr>
          <w:rFonts w:hint="eastAsia"/>
          <w:color w:val="000000" w:themeColor="text1"/>
          <w14:textFill>
            <w14:solidFill>
              <w14:schemeClr w14:val="tx1"/>
            </w14:solidFill>
          </w14:textFill>
        </w:rPr>
        <w:t>裸地，</w:t>
      </w:r>
      <w:r>
        <w:rPr>
          <w:rFonts w:hint="eastAsia"/>
          <w:color w:val="000000" w:themeColor="text1"/>
          <w:lang w:val="en-US" w:eastAsia="zh-CN"/>
          <w14:textFill>
            <w14:solidFill>
              <w14:schemeClr w14:val="tx1"/>
            </w14:solidFill>
          </w14:textFill>
        </w:rPr>
        <w:t>若</w:t>
      </w:r>
      <w:r>
        <w:rPr>
          <w:rFonts w:hint="eastAsia"/>
          <w:color w:val="000000" w:themeColor="text1"/>
          <w14:textFill>
            <w14:solidFill>
              <w14:schemeClr w14:val="tx1"/>
            </w14:solidFill>
          </w14:textFill>
        </w:rPr>
        <w:t>防治措施不当，如工程土石方堆存过程中未采取防尘网苫盖、洒水抑尘等措施，地表沙化的土壤及临时堆土遇大风天气易产生严重的扬尘，</w:t>
      </w:r>
      <w:r>
        <w:rPr>
          <w:rFonts w:hint="eastAsia"/>
          <w:color w:val="000000" w:themeColor="text1"/>
          <w:lang w:val="en-US" w:eastAsia="zh-CN"/>
          <w14:textFill>
            <w14:solidFill>
              <w14:schemeClr w14:val="tx1"/>
            </w14:solidFill>
          </w14:textFill>
        </w:rPr>
        <w:t>易</w:t>
      </w:r>
      <w:r>
        <w:rPr>
          <w:rFonts w:hint="eastAsia"/>
          <w:color w:val="000000" w:themeColor="text1"/>
          <w14:textFill>
            <w14:solidFill>
              <w14:schemeClr w14:val="tx1"/>
            </w14:solidFill>
          </w14:textFill>
        </w:rPr>
        <w:t>形成沙尘天气。</w:t>
      </w:r>
    </w:p>
    <w:p w14:paraId="5596C722">
      <w:pPr>
        <w:pStyle w:val="4"/>
        <w:keepNext/>
        <w:keepLines/>
        <w:tabs>
          <w:tab w:val="clear" w:pos="907"/>
          <w:tab w:val="clear" w:pos="1034"/>
        </w:tabs>
        <w:adjustRightInd/>
        <w:spacing w:before="120" w:beforeLines="50" w:after="120" w:afterLines="50"/>
        <w:ind w:firstLine="0" w:firstLineChars="0"/>
        <w:jc w:val="both"/>
        <w:rPr>
          <w:rFonts w:hint="default" w:ascii="Times New Roman" w:hAnsi="Times New Roman" w:eastAsia="宋体" w:cs="Times New Roman"/>
          <w:bCs/>
          <w:color w:val="000000" w:themeColor="text1"/>
          <w:sz w:val="28"/>
          <w:szCs w:val="32"/>
          <w:lang w:val="en-US" w:eastAsia="zh-CN"/>
          <w14:textFill>
            <w14:solidFill>
              <w14:schemeClr w14:val="tx1"/>
            </w14:solidFill>
          </w14:textFill>
        </w:rPr>
      </w:pPr>
      <w:r>
        <w:rPr>
          <w:rFonts w:hint="eastAsia" w:ascii="Times New Roman" w:hAnsi="Times New Roman" w:eastAsia="宋体" w:cs="Times New Roman"/>
          <w:bCs/>
          <w:color w:val="000000" w:themeColor="text1"/>
          <w:sz w:val="28"/>
          <w:szCs w:val="32"/>
          <w:lang w:val="en-US" w:eastAsia="zh-CN"/>
          <w14:textFill>
            <w14:solidFill>
              <w14:schemeClr w14:val="tx1"/>
            </w14:solidFill>
          </w14:textFill>
        </w:rPr>
        <w:t>5.1.5水土流失影响分析</w:t>
      </w:r>
    </w:p>
    <w:p w14:paraId="65BC12A4">
      <w:pPr>
        <w:pStyle w:val="9"/>
        <w:keepNext w:val="0"/>
        <w:keepLines w:val="0"/>
        <w:pageBreakBefore w:val="0"/>
        <w:widowControl w:val="0"/>
        <w:kinsoku/>
        <w:wordWrap/>
        <w:overflowPunct/>
        <w:topLinePunct w:val="0"/>
        <w:autoSpaceDE/>
        <w:autoSpaceDN/>
        <w:bidi w:val="0"/>
        <w:adjustRightInd/>
        <w:snapToGrid/>
        <w:spacing w:after="0"/>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本工程的建设将带来土地占用、土方开挖、临时堆土等可能产生的水土流失问题。输电线路工程建设与生产对水土流失的影响因素分析见表4.2-1。</w:t>
      </w:r>
    </w:p>
    <w:p w14:paraId="5A5B9C36">
      <w:pPr>
        <w:pStyle w:val="9"/>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表4.2-1  工程建设对水土流失的影响因素分析</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1296"/>
        <w:gridCol w:w="2400"/>
        <w:gridCol w:w="3550"/>
      </w:tblGrid>
      <w:tr w14:paraId="780F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1" w:type="dxa"/>
            <w:gridSpan w:val="2"/>
            <w:vAlign w:val="center"/>
          </w:tcPr>
          <w:p w14:paraId="292A4FB7">
            <w:pPr>
              <w:pStyle w:val="9"/>
              <w:spacing w:line="240" w:lineRule="auto"/>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项目</w:t>
            </w:r>
          </w:p>
        </w:tc>
        <w:tc>
          <w:tcPr>
            <w:tcW w:w="2400" w:type="dxa"/>
            <w:vAlign w:val="center"/>
          </w:tcPr>
          <w:p w14:paraId="2DC728A8">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主要土建施工工艺</w:t>
            </w:r>
          </w:p>
        </w:tc>
        <w:tc>
          <w:tcPr>
            <w:tcW w:w="3550" w:type="dxa"/>
            <w:vAlign w:val="center"/>
          </w:tcPr>
          <w:p w14:paraId="17883684">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1"/>
                <w:szCs w:val="21"/>
                <w:lang w:val="en-US" w:eastAsia="zh-CN" w:bidi="ar"/>
                <w14:textFill>
                  <w14:solidFill>
                    <w14:schemeClr w14:val="tx1"/>
                  </w14:solidFill>
                </w14:textFill>
              </w:rPr>
              <w:t>对水土流失影响因子（地形、土壤结构、植被等）的影响</w:t>
            </w:r>
          </w:p>
        </w:tc>
      </w:tr>
      <w:tr w14:paraId="1B27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Merge w:val="restart"/>
            <w:vAlign w:val="center"/>
          </w:tcPr>
          <w:p w14:paraId="0B07B62F">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输电线路工程</w:t>
            </w:r>
          </w:p>
        </w:tc>
        <w:tc>
          <w:tcPr>
            <w:tcW w:w="1296" w:type="dxa"/>
            <w:vAlign w:val="center"/>
          </w:tcPr>
          <w:p w14:paraId="5372EF8B">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塔基及施工场地区</w:t>
            </w:r>
          </w:p>
        </w:tc>
        <w:tc>
          <w:tcPr>
            <w:tcW w:w="2400" w:type="dxa"/>
            <w:vAlign w:val="center"/>
          </w:tcPr>
          <w:p w14:paraId="319016BB">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基坑开挖、回填，导地线扰动，临时堆土形成小型堆积体。</w:t>
            </w:r>
          </w:p>
        </w:tc>
        <w:tc>
          <w:tcPr>
            <w:tcW w:w="3550" w:type="dxa"/>
            <w:vAlign w:val="center"/>
          </w:tcPr>
          <w:p w14:paraId="141D1C21">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基坑开挖使得地面裸露，破坏地表植被及地表结皮，破坏土壤结构，临时堆土形成的松散堆积体重塑地形、短时影响地表径流路径，易为风水蚀提供物料来源。</w:t>
            </w:r>
          </w:p>
        </w:tc>
      </w:tr>
      <w:tr w14:paraId="0251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Merge w:val="continue"/>
            <w:vAlign w:val="center"/>
          </w:tcPr>
          <w:p w14:paraId="0F960BC4">
            <w:pPr>
              <w:pStyle w:val="9"/>
              <w:spacing w:line="240" w:lineRule="auto"/>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1296" w:type="dxa"/>
            <w:vAlign w:val="center"/>
          </w:tcPr>
          <w:p w14:paraId="11548F64">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牵张场地区</w:t>
            </w:r>
          </w:p>
        </w:tc>
        <w:tc>
          <w:tcPr>
            <w:tcW w:w="2400" w:type="dxa"/>
            <w:vAlign w:val="center"/>
          </w:tcPr>
          <w:p w14:paraId="25EB732F">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施工车辆、牵张设备碾压扰动，地锚固定扰动。</w:t>
            </w:r>
          </w:p>
        </w:tc>
        <w:tc>
          <w:tcPr>
            <w:tcW w:w="3550" w:type="dxa"/>
            <w:vAlign w:val="center"/>
          </w:tcPr>
          <w:p w14:paraId="51165FF9">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牵张设备、施工车辆等在施工过程中占用土地、破坏地表植被结皮结构。</w:t>
            </w:r>
          </w:p>
        </w:tc>
      </w:tr>
      <w:tr w14:paraId="33BE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Merge w:val="continue"/>
            <w:vAlign w:val="center"/>
          </w:tcPr>
          <w:p w14:paraId="64832C14">
            <w:pPr>
              <w:pStyle w:val="9"/>
              <w:spacing w:line="240" w:lineRule="auto"/>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1296" w:type="dxa"/>
            <w:vAlign w:val="center"/>
          </w:tcPr>
          <w:p w14:paraId="1737C251">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跨越场地区</w:t>
            </w:r>
          </w:p>
        </w:tc>
        <w:tc>
          <w:tcPr>
            <w:tcW w:w="2400" w:type="dxa"/>
            <w:vAlign w:val="center"/>
          </w:tcPr>
          <w:p w14:paraId="0D8C2991">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施工人员扰动、搭设竹木架</w:t>
            </w:r>
          </w:p>
        </w:tc>
        <w:tc>
          <w:tcPr>
            <w:tcW w:w="3550" w:type="dxa"/>
            <w:vAlign w:val="center"/>
          </w:tcPr>
          <w:p w14:paraId="4004DE94">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跨越场地等在施工过程中占用土地、破坏地表植被结皮结构。</w:t>
            </w:r>
          </w:p>
        </w:tc>
      </w:tr>
      <w:tr w14:paraId="04BD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Merge w:val="continue"/>
            <w:vAlign w:val="center"/>
          </w:tcPr>
          <w:p w14:paraId="45362856">
            <w:pPr>
              <w:pStyle w:val="9"/>
              <w:spacing w:line="240" w:lineRule="auto"/>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p>
        </w:tc>
        <w:tc>
          <w:tcPr>
            <w:tcW w:w="1296" w:type="dxa"/>
            <w:vAlign w:val="center"/>
          </w:tcPr>
          <w:p w14:paraId="69BBB70F">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施工道路区</w:t>
            </w:r>
          </w:p>
        </w:tc>
        <w:tc>
          <w:tcPr>
            <w:tcW w:w="2400" w:type="dxa"/>
            <w:vAlign w:val="center"/>
          </w:tcPr>
          <w:p w14:paraId="74603DFC">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施工车辆碾压、扰动</w:t>
            </w:r>
          </w:p>
        </w:tc>
        <w:tc>
          <w:tcPr>
            <w:tcW w:w="3550" w:type="dxa"/>
            <w:vAlign w:val="center"/>
          </w:tcPr>
          <w:p w14:paraId="792793E5">
            <w:pPr>
              <w:keepNext w:val="0"/>
              <w:keepLines w:val="0"/>
              <w:widowControl/>
              <w:suppressLineNumbers w:val="0"/>
              <w:spacing w:line="240" w:lineRule="auto"/>
              <w:ind w:left="0" w:leftChars="0" w:firstLine="0" w:firstLineChars="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0"/>
                <w:sz w:val="21"/>
                <w:szCs w:val="21"/>
                <w:lang w:val="en-US" w:eastAsia="zh-CN" w:bidi="ar"/>
                <w14:textFill>
                  <w14:solidFill>
                    <w14:schemeClr w14:val="tx1"/>
                  </w14:solidFill>
                </w14:textFill>
              </w:rPr>
              <w:t>车辆碾压地表造成结构破损，破坏地表植被结皮，短时影响地表径流路径，易引起风、水蚀。</w:t>
            </w:r>
          </w:p>
        </w:tc>
      </w:tr>
    </w:tbl>
    <w:p w14:paraId="632A7323">
      <w:pPr>
        <w:pStyle w:val="9"/>
        <w:keepNext w:val="0"/>
        <w:keepLines w:val="0"/>
        <w:pageBreakBefore w:val="0"/>
        <w:widowControl w:val="0"/>
        <w:kinsoku/>
        <w:wordWrap/>
        <w:overflowPunct/>
        <w:topLinePunct w:val="0"/>
        <w:autoSpaceDE/>
        <w:autoSpaceDN/>
        <w:bidi w:val="0"/>
        <w:adjustRightInd/>
        <w:snapToGrid/>
        <w:spacing w:after="0"/>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本工程项目建设区的面积即为扰动地表的面积，经过统计分析，本工程扰动地表共计</w:t>
      </w:r>
      <w:r>
        <w:rPr>
          <w:rFonts w:hint="eastAsia"/>
          <w:color w:val="000000" w:themeColor="text1"/>
          <w:lang w:val="en-US" w:eastAsia="zh-CN"/>
          <w14:textFill>
            <w14:solidFill>
              <w14:schemeClr w14:val="tx1"/>
            </w14:solidFill>
          </w14:textFill>
        </w:rPr>
        <w:t>36.1</w:t>
      </w:r>
      <w:r>
        <w:rPr>
          <w:rFonts w:hint="default"/>
          <w:color w:val="000000" w:themeColor="text1"/>
          <w:lang w:val="en-US" w:eastAsia="zh-CN"/>
          <w14:textFill>
            <w14:solidFill>
              <w14:schemeClr w14:val="tx1"/>
            </w14:solidFill>
          </w14:textFill>
        </w:rPr>
        <w:t>hm</w:t>
      </w:r>
      <w:r>
        <w:rPr>
          <w:rFonts w:hint="default"/>
          <w:color w:val="000000" w:themeColor="text1"/>
          <w:vertAlign w:val="super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，占地类型为其他草地和裸地，故本工程损毁植被面积为</w:t>
      </w:r>
      <w:r>
        <w:rPr>
          <w:rFonts w:hint="eastAsia"/>
          <w:color w:val="000000" w:themeColor="text1"/>
          <w:lang w:val="en-US" w:eastAsia="zh-CN"/>
          <w14:textFill>
            <w14:solidFill>
              <w14:schemeClr w14:val="tx1"/>
            </w14:solidFill>
          </w14:textFill>
        </w:rPr>
        <w:t>永久</w:t>
      </w:r>
      <w:r>
        <w:rPr>
          <w:rFonts w:hint="default"/>
          <w:color w:val="000000" w:themeColor="text1"/>
          <w:lang w:val="en-US" w:eastAsia="zh-CN"/>
          <w14:textFill>
            <w14:solidFill>
              <w14:schemeClr w14:val="tx1"/>
            </w14:solidFill>
          </w14:textFill>
        </w:rPr>
        <w:t>占用其他草地区域，共计约</w:t>
      </w:r>
      <w:r>
        <w:rPr>
          <w:rFonts w:hint="eastAsia"/>
          <w:color w:val="000000" w:themeColor="text1"/>
          <w:lang w:val="en-US" w:eastAsia="zh-CN"/>
          <w14:textFill>
            <w14:solidFill>
              <w14:schemeClr w14:val="tx1"/>
            </w14:solidFill>
          </w14:textFill>
        </w:rPr>
        <w:t>1.643</w:t>
      </w:r>
      <w:r>
        <w:rPr>
          <w:rFonts w:hint="default"/>
          <w:color w:val="000000" w:themeColor="text1"/>
          <w:lang w:val="en-US" w:eastAsia="zh-CN"/>
          <w14:textFill>
            <w14:solidFill>
              <w14:schemeClr w14:val="tx1"/>
            </w14:solidFill>
          </w14:textFill>
        </w:rPr>
        <w:t>hm</w:t>
      </w:r>
      <w:r>
        <w:rPr>
          <w:rFonts w:hint="default"/>
          <w:color w:val="000000" w:themeColor="text1"/>
          <w:vertAlign w:val="superscript"/>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。本工程水土流失总量为5</w:t>
      </w:r>
      <w:r>
        <w:rPr>
          <w:rFonts w:hint="eastAsia"/>
          <w:color w:val="000000" w:themeColor="text1"/>
          <w:lang w:val="en-US" w:eastAsia="zh-CN"/>
          <w14:textFill>
            <w14:solidFill>
              <w14:schemeClr w14:val="tx1"/>
            </w14:solidFill>
          </w14:textFill>
        </w:rPr>
        <w:t>592</w:t>
      </w:r>
      <w:r>
        <w:rPr>
          <w:rFonts w:hint="default"/>
          <w:color w:val="000000" w:themeColor="text1"/>
          <w:lang w:val="en-US" w:eastAsia="zh-CN"/>
          <w14:textFill>
            <w14:solidFill>
              <w14:schemeClr w14:val="tx1"/>
            </w14:solidFill>
          </w14:textFill>
        </w:rPr>
        <w:t>t，其中原地貌土壤侵蚀量2</w:t>
      </w:r>
      <w:r>
        <w:rPr>
          <w:rFonts w:hint="eastAsia"/>
          <w:color w:val="000000" w:themeColor="text1"/>
          <w:lang w:val="en-US" w:eastAsia="zh-CN"/>
          <w14:textFill>
            <w14:solidFill>
              <w14:schemeClr w14:val="tx1"/>
            </w14:solidFill>
          </w14:textFill>
        </w:rPr>
        <w:t>775</w:t>
      </w:r>
      <w:r>
        <w:rPr>
          <w:rFonts w:hint="default"/>
          <w:color w:val="000000" w:themeColor="text1"/>
          <w:lang w:val="en-US" w:eastAsia="zh-CN"/>
          <w14:textFill>
            <w14:solidFill>
              <w14:schemeClr w14:val="tx1"/>
            </w14:solidFill>
          </w14:textFill>
        </w:rPr>
        <w:t>t，新增水土流失量2</w:t>
      </w:r>
      <w:r>
        <w:rPr>
          <w:rFonts w:hint="eastAsia"/>
          <w:color w:val="000000" w:themeColor="text1"/>
          <w:lang w:val="en-US" w:eastAsia="zh-CN"/>
          <w14:textFill>
            <w14:solidFill>
              <w14:schemeClr w14:val="tx1"/>
            </w14:solidFill>
          </w14:textFill>
        </w:rPr>
        <w:t>817</w:t>
      </w:r>
      <w:r>
        <w:rPr>
          <w:rFonts w:hint="default"/>
          <w:color w:val="000000" w:themeColor="text1"/>
          <w:lang w:val="en-US" w:eastAsia="zh-CN"/>
          <w14:textFill>
            <w14:solidFill>
              <w14:schemeClr w14:val="tx1"/>
            </w14:solidFill>
          </w14:textFill>
        </w:rPr>
        <w:t>t。</w:t>
      </w:r>
    </w:p>
    <w:p w14:paraId="17CE6E11">
      <w:pPr>
        <w:pStyle w:val="9"/>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本工程建设过程中人为活动造成新增水土流失的原因主要是破坏地表组成、挖方的临时堆放，在风季易产生水土流失。</w:t>
      </w:r>
    </w:p>
    <w:p w14:paraId="206113D7">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5.1.</w:t>
      </w:r>
      <w:r>
        <w:rPr>
          <w:rFonts w:hint="eastAsia"/>
          <w:bCs/>
          <w:color w:val="000000" w:themeColor="text1"/>
          <w:sz w:val="28"/>
          <w:szCs w:val="32"/>
          <w:lang w:val="en-US" w:eastAsia="zh-CN"/>
          <w14:textFill>
            <w14:solidFill>
              <w14:schemeClr w14:val="tx1"/>
            </w14:solidFill>
          </w14:textFill>
        </w:rPr>
        <w:t>6</w:t>
      </w:r>
      <w:r>
        <w:rPr>
          <w:rFonts w:hint="eastAsia"/>
          <w:bCs/>
          <w:color w:val="000000" w:themeColor="text1"/>
          <w:sz w:val="28"/>
          <w:szCs w:val="32"/>
          <w14:textFill>
            <w14:solidFill>
              <w14:schemeClr w14:val="tx1"/>
            </w14:solidFill>
          </w14:textFill>
        </w:rPr>
        <w:t>土壤影响分析</w:t>
      </w:r>
    </w:p>
    <w:p w14:paraId="4742E7DC">
      <w:pPr>
        <w:pStyle w:val="34"/>
        <w:spacing w:line="360" w:lineRule="auto"/>
        <w:ind w:firstLine="480" w:firstLineChars="200"/>
        <w:rPr>
          <w:rFonts w:ascii="Times New Roman" w:hAnsi="Times New Roman" w:cs="Times New Roman"/>
          <w:bCs/>
          <w:color w:val="000000" w:themeColor="text1"/>
          <w:sz w:val="24"/>
          <w:lang w:val="en-US" w:bidi="ar"/>
          <w14:textFill>
            <w14:solidFill>
              <w14:schemeClr w14:val="tx1"/>
            </w14:solidFill>
          </w14:textFill>
        </w:rPr>
      </w:pPr>
      <w:r>
        <w:rPr>
          <w:rFonts w:ascii="Times New Roman" w:hAnsi="Times New Roman" w:cs="Times New Roman"/>
          <w:bCs/>
          <w:color w:val="000000" w:themeColor="text1"/>
          <w:sz w:val="24"/>
          <w:lang w:val="en-US" w:bidi="ar"/>
          <w14:textFill>
            <w14:solidFill>
              <w14:schemeClr w14:val="tx1"/>
            </w14:solidFill>
          </w14:textFill>
        </w:rPr>
        <w:t>施工期对土壤的影响主要表现在土石方开挖和施工机械的碾压，本项目所在区域主要</w:t>
      </w:r>
      <w:r>
        <w:rPr>
          <w:rFonts w:hint="eastAsia" w:ascii="Times New Roman" w:hAnsi="Times New Roman" w:cs="Times New Roman"/>
          <w:bCs/>
          <w:color w:val="000000" w:themeColor="text1"/>
          <w:sz w:val="24"/>
          <w:lang w:val="en-US" w:bidi="ar"/>
          <w14:textFill>
            <w14:solidFill>
              <w14:schemeClr w14:val="tx1"/>
            </w14:solidFill>
          </w14:textFill>
        </w:rPr>
        <w:t>为</w:t>
      </w:r>
      <w:r>
        <w:rPr>
          <w:rFonts w:hint="eastAsia" w:ascii="Times New Roman" w:hAnsi="Times New Roman" w:cs="Times New Roman"/>
          <w:color w:val="000000" w:themeColor="text1"/>
          <w:sz w:val="24"/>
          <w:lang w:val="en-US"/>
          <w14:textFill>
            <w14:solidFill>
              <w14:schemeClr w14:val="tx1"/>
            </w14:solidFill>
          </w14:textFill>
        </w:rPr>
        <w:t>棕漠土、内陆盐土</w:t>
      </w:r>
      <w:r>
        <w:rPr>
          <w:rFonts w:ascii="Times New Roman" w:hAnsi="Times New Roman" w:cs="Times New Roman"/>
          <w:bCs/>
          <w:color w:val="000000" w:themeColor="text1"/>
          <w:sz w:val="24"/>
          <w:lang w:val="en-US" w:bidi="ar"/>
          <w14:textFill>
            <w14:solidFill>
              <w14:schemeClr w14:val="tx1"/>
            </w14:solidFill>
          </w14:textFill>
        </w:rPr>
        <w:t>，地表土较松软，施工过程中机械设备扰动，将改变土壤的坚实度、通透性，对土壤的机械物理性质有所影响。</w:t>
      </w:r>
    </w:p>
    <w:bookmarkEnd w:id="892"/>
    <w:bookmarkEnd w:id="893"/>
    <w:p w14:paraId="6CC5CB12">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920" w:name="_Toc16511"/>
      <w:bookmarkStart w:id="921" w:name="_Toc3161"/>
      <w:bookmarkStart w:id="922" w:name="_Toc5040"/>
      <w:bookmarkStart w:id="923" w:name="_Toc10626"/>
      <w:bookmarkStart w:id="924" w:name="_Toc16135"/>
      <w:bookmarkStart w:id="925" w:name="_Toc21079"/>
      <w:bookmarkStart w:id="926" w:name="_Toc20189"/>
      <w:bookmarkStart w:id="927" w:name="_Toc16240"/>
      <w:bookmarkStart w:id="928" w:name="_Toc20183"/>
      <w:bookmarkStart w:id="929" w:name="_Toc5876"/>
      <w:bookmarkStart w:id="930" w:name="_Toc14606"/>
      <w:r>
        <w:rPr>
          <w:color w:val="000000" w:themeColor="text1"/>
          <w:szCs w:val="32"/>
          <w14:textFill>
            <w14:solidFill>
              <w14:schemeClr w14:val="tx1"/>
            </w14:solidFill>
          </w14:textFill>
        </w:rPr>
        <w:t>5.2</w:t>
      </w:r>
      <w:r>
        <w:rPr>
          <w:rFonts w:hint="eastAsia"/>
          <w:color w:val="000000" w:themeColor="text1"/>
          <w:szCs w:val="32"/>
          <w14:textFill>
            <w14:solidFill>
              <w14:schemeClr w14:val="tx1"/>
            </w14:solidFill>
          </w14:textFill>
        </w:rPr>
        <w:t>声环境影响</w:t>
      </w:r>
      <w:r>
        <w:rPr>
          <w:color w:val="000000" w:themeColor="text1"/>
          <w:szCs w:val="32"/>
          <w14:textFill>
            <w14:solidFill>
              <w14:schemeClr w14:val="tx1"/>
            </w14:solidFill>
          </w14:textFill>
        </w:rPr>
        <w:t>分析</w:t>
      </w:r>
      <w:bookmarkEnd w:id="920"/>
      <w:bookmarkEnd w:id="921"/>
      <w:bookmarkEnd w:id="922"/>
      <w:bookmarkEnd w:id="923"/>
      <w:bookmarkEnd w:id="924"/>
      <w:bookmarkEnd w:id="925"/>
      <w:bookmarkEnd w:id="926"/>
      <w:bookmarkEnd w:id="927"/>
      <w:bookmarkEnd w:id="928"/>
      <w:bookmarkEnd w:id="929"/>
      <w:bookmarkEnd w:id="930"/>
    </w:p>
    <w:p w14:paraId="7B0C5DCF">
      <w:pPr>
        <w:ind w:firstLine="360" w:firstLineChars="150"/>
        <w:rPr>
          <w:color w:val="000000" w:themeColor="text1"/>
          <w14:textFill>
            <w14:solidFill>
              <w14:schemeClr w14:val="tx1"/>
            </w14:solidFill>
          </w14:textFill>
        </w:rPr>
      </w:pPr>
      <w:bookmarkStart w:id="931" w:name="_Toc2949"/>
      <w:bookmarkStart w:id="932" w:name="_Toc30339"/>
      <w:bookmarkStart w:id="933" w:name="_Toc6296"/>
      <w:r>
        <w:rPr>
          <w:color w:val="000000" w:themeColor="text1"/>
          <w14:textFill>
            <w14:solidFill>
              <w14:schemeClr w14:val="tx1"/>
            </w14:solidFill>
          </w14:textFill>
        </w:rPr>
        <w:t>（1）噪声源强</w:t>
      </w:r>
      <w:bookmarkEnd w:id="931"/>
      <w:bookmarkEnd w:id="932"/>
      <w:bookmarkEnd w:id="933"/>
    </w:p>
    <w:p w14:paraId="2477BA2C">
      <w:pPr>
        <w:ind w:firstLine="480"/>
        <w:rPr>
          <w:color w:val="000000" w:themeColor="text1"/>
          <w14:textFill>
            <w14:solidFill>
              <w14:schemeClr w14:val="tx1"/>
            </w14:solidFill>
          </w14:textFill>
        </w:rPr>
      </w:pPr>
      <w:r>
        <w:rPr>
          <w:color w:val="000000" w:themeColor="text1"/>
          <w14:textFill>
            <w14:solidFill>
              <w14:schemeClr w14:val="tx1"/>
            </w14:solidFill>
          </w14:textFill>
        </w:rPr>
        <w:t>施工噪声是施工期对环境的主要声污染源。施工期需动用施工机械工具，其噪声强度较大，声源较多，在一定范围内会对周围声环境产生影响。主要施工机具噪声水平见表3.3-1。</w:t>
      </w:r>
    </w:p>
    <w:p w14:paraId="202DFA16">
      <w:pPr>
        <w:ind w:firstLine="360" w:firstLineChars="150"/>
        <w:rPr>
          <w:color w:val="000000" w:themeColor="text1"/>
          <w14:textFill>
            <w14:solidFill>
              <w14:schemeClr w14:val="tx1"/>
            </w14:solidFill>
          </w14:textFill>
        </w:rPr>
      </w:pPr>
      <w:bookmarkStart w:id="934" w:name="_Toc23145"/>
      <w:bookmarkStart w:id="935" w:name="_Toc344"/>
      <w:bookmarkStart w:id="936" w:name="_Toc18930"/>
      <w:r>
        <w:rPr>
          <w:color w:val="000000" w:themeColor="text1"/>
          <w14:textFill>
            <w14:solidFill>
              <w14:schemeClr w14:val="tx1"/>
            </w14:solidFill>
          </w14:textFill>
        </w:rPr>
        <w:t>（2）施工期噪声影响预测</w:t>
      </w:r>
      <w:bookmarkEnd w:id="934"/>
      <w:bookmarkEnd w:id="935"/>
      <w:bookmarkEnd w:id="936"/>
    </w:p>
    <w:p w14:paraId="1EDFD824">
      <w:pPr>
        <w:ind w:firstLine="480"/>
        <w:rPr>
          <w:color w:val="000000" w:themeColor="text1"/>
          <w14:textFill>
            <w14:solidFill>
              <w14:schemeClr w14:val="tx1"/>
            </w14:solidFill>
          </w14:textFill>
        </w:rPr>
      </w:pPr>
      <w:r>
        <w:rPr>
          <w:color w:val="000000" w:themeColor="text1"/>
          <w14:textFill>
            <w14:solidFill>
              <w14:schemeClr w14:val="tx1"/>
            </w14:solidFill>
          </w14:textFill>
        </w:rPr>
        <w:t>施工期声环境影响预测计算公式如下：</w:t>
      </w:r>
    </w:p>
    <w:p w14:paraId="0C738EC2">
      <w:pPr>
        <w:autoSpaceDE w:val="0"/>
        <w:autoSpaceDN w:val="0"/>
        <w:adjustRightInd w:val="0"/>
        <w:ind w:firstLine="280"/>
        <w:jc w:val="left"/>
        <w:rPr>
          <w:color w:val="000000" w:themeColor="text1"/>
          <w:kern w:val="0"/>
          <w:sz w:val="14"/>
          <w:szCs w:val="14"/>
          <w14:textFill>
            <w14:solidFill>
              <w14:schemeClr w14:val="tx1"/>
            </w14:solidFill>
          </w14:textFill>
        </w:rPr>
      </w:pPr>
      <w:r>
        <w:rPr>
          <w:color w:val="000000" w:themeColor="text1"/>
          <w:kern w:val="0"/>
          <w:sz w:val="14"/>
          <w:szCs w:val="14"/>
          <w14:textFill>
            <w14:solidFill>
              <w14:schemeClr w14:val="tx1"/>
            </w14:solidFill>
          </w14:textFill>
        </w:rPr>
        <w:drawing>
          <wp:inline distT="0" distB="0" distL="114300" distR="114300">
            <wp:extent cx="4866005" cy="561340"/>
            <wp:effectExtent l="0" t="0" r="10795" b="10160"/>
            <wp:docPr id="3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8"/>
                    <pic:cNvPicPr>
                      <a:picLocks noChangeAspect="1"/>
                    </pic:cNvPicPr>
                  </pic:nvPicPr>
                  <pic:blipFill>
                    <a:blip r:embed="rId24"/>
                    <a:stretch>
                      <a:fillRect/>
                    </a:stretch>
                  </pic:blipFill>
                  <pic:spPr>
                    <a:xfrm>
                      <a:off x="0" y="0"/>
                      <a:ext cx="4866005" cy="561340"/>
                    </a:xfrm>
                    <a:prstGeom prst="rect">
                      <a:avLst/>
                    </a:prstGeom>
                    <a:noFill/>
                    <a:ln>
                      <a:noFill/>
                    </a:ln>
                  </pic:spPr>
                </pic:pic>
              </a:graphicData>
            </a:graphic>
          </wp:inline>
        </w:drawing>
      </w:r>
    </w:p>
    <w:p w14:paraId="476ECAB6">
      <w:pPr>
        <w:ind w:firstLine="480"/>
        <w:rPr>
          <w:color w:val="000000" w:themeColor="text1"/>
          <w14:textFill>
            <w14:solidFill>
              <w14:schemeClr w14:val="tx1"/>
            </w14:solidFill>
          </w14:textFill>
        </w:rPr>
      </w:pPr>
      <w:r>
        <w:rPr>
          <w:color w:val="000000" w:themeColor="text1"/>
          <w14:textFill>
            <w14:solidFill>
              <w14:schemeClr w14:val="tx1"/>
            </w14:solidFill>
          </w14:textFill>
        </w:rPr>
        <w:t>式中：L</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、L</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—与声源相距r</w:t>
      </w:r>
      <w:r>
        <w:rPr>
          <w:color w:val="000000" w:themeColor="text1"/>
          <w:vertAlign w:val="subscript"/>
          <w14:textFill>
            <w14:solidFill>
              <w14:schemeClr w14:val="tx1"/>
            </w14:solidFill>
          </w14:textFill>
        </w:rPr>
        <w:t>1</w:t>
      </w:r>
      <w:r>
        <w:rPr>
          <w:color w:val="000000" w:themeColor="text1"/>
          <w14:textFill>
            <w14:solidFill>
              <w14:schemeClr w14:val="tx1"/>
            </w14:solidFill>
          </w14:textFill>
        </w:rPr>
        <w:t>、r</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处的施工噪声级，dB(A)。</w:t>
      </w:r>
    </w:p>
    <w:p w14:paraId="00638269">
      <w:pPr>
        <w:ind w:firstLine="480"/>
        <w:rPr>
          <w:color w:val="000000" w:themeColor="text1"/>
          <w14:textFill>
            <w14:solidFill>
              <w14:schemeClr w14:val="tx1"/>
            </w14:solidFill>
          </w14:textFill>
        </w:rPr>
      </w:pPr>
      <w:r>
        <w:rPr>
          <w:color w:val="000000" w:themeColor="text1"/>
          <w14:textFill>
            <w14:solidFill>
              <w14:schemeClr w14:val="tx1"/>
            </w14:solidFill>
          </w14:textFill>
        </w:rPr>
        <w:t>由此公式计算各类建筑施工机械在不同距离处的噪声预测值见表5.2-</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p>
    <w:p w14:paraId="048EA4E7">
      <w:pPr>
        <w:autoSpaceDE w:val="0"/>
        <w:autoSpaceDN w:val="0"/>
        <w:adjustRightInd w:val="0"/>
        <w:ind w:firstLine="422"/>
        <w:jc w:val="center"/>
        <w:rPr>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表5.2-</w:t>
      </w:r>
      <w:r>
        <w:rPr>
          <w:rFonts w:hint="eastAsia"/>
          <w:b/>
          <w:bCs/>
          <w:color w:val="000000" w:themeColor="text1"/>
          <w:kern w:val="0"/>
          <w:sz w:val="21"/>
          <w:szCs w:val="21"/>
          <w14:textFill>
            <w14:solidFill>
              <w14:schemeClr w14:val="tx1"/>
            </w14:solidFill>
          </w14:textFill>
        </w:rPr>
        <w:t>1</w:t>
      </w:r>
      <w:r>
        <w:rPr>
          <w:b/>
          <w:bCs/>
          <w:color w:val="000000" w:themeColor="text1"/>
          <w:kern w:val="0"/>
          <w:sz w:val="21"/>
          <w:szCs w:val="21"/>
          <w14:textFill>
            <w14:solidFill>
              <w14:schemeClr w14:val="tx1"/>
            </w14:solidFill>
          </w14:textFill>
        </w:rPr>
        <w:t xml:space="preserve">  各类建筑施工机械在不同距离处的噪声预测值表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1061"/>
        <w:gridCol w:w="1064"/>
        <w:gridCol w:w="1064"/>
        <w:gridCol w:w="1064"/>
        <w:gridCol w:w="1064"/>
        <w:gridCol w:w="1064"/>
        <w:gridCol w:w="1079"/>
      </w:tblGrid>
      <w:tr w14:paraId="28FD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Merge w:val="restart"/>
            <w:vAlign w:val="center"/>
          </w:tcPr>
          <w:p w14:paraId="6F58F294">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机械</w:t>
            </w:r>
          </w:p>
          <w:p w14:paraId="425F1CF9">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类型</w:t>
            </w:r>
          </w:p>
        </w:tc>
        <w:tc>
          <w:tcPr>
            <w:tcW w:w="4376" w:type="pct"/>
            <w:gridSpan w:val="7"/>
            <w:vAlign w:val="center"/>
          </w:tcPr>
          <w:p w14:paraId="55E7643B">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噪声预测值（dB（A））</w:t>
            </w:r>
          </w:p>
        </w:tc>
      </w:tr>
      <w:tr w14:paraId="3BDE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Merge w:val="continue"/>
            <w:vAlign w:val="center"/>
          </w:tcPr>
          <w:p w14:paraId="110A5A36">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p>
        </w:tc>
        <w:tc>
          <w:tcPr>
            <w:tcW w:w="623" w:type="pct"/>
            <w:vAlign w:val="center"/>
          </w:tcPr>
          <w:p w14:paraId="553390CC">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10m</w:t>
            </w:r>
          </w:p>
        </w:tc>
        <w:tc>
          <w:tcPr>
            <w:tcW w:w="624" w:type="pct"/>
            <w:vAlign w:val="center"/>
          </w:tcPr>
          <w:p w14:paraId="3646D161">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20m</w:t>
            </w:r>
          </w:p>
        </w:tc>
        <w:tc>
          <w:tcPr>
            <w:tcW w:w="624" w:type="pct"/>
            <w:vAlign w:val="center"/>
          </w:tcPr>
          <w:p w14:paraId="55DB45F6">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40m</w:t>
            </w:r>
          </w:p>
        </w:tc>
        <w:tc>
          <w:tcPr>
            <w:tcW w:w="624" w:type="pct"/>
            <w:vAlign w:val="center"/>
          </w:tcPr>
          <w:p w14:paraId="5817D265">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50m</w:t>
            </w:r>
          </w:p>
        </w:tc>
        <w:tc>
          <w:tcPr>
            <w:tcW w:w="624" w:type="pct"/>
            <w:vAlign w:val="center"/>
          </w:tcPr>
          <w:p w14:paraId="24EF5957">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100m</w:t>
            </w:r>
          </w:p>
        </w:tc>
        <w:tc>
          <w:tcPr>
            <w:tcW w:w="624" w:type="pct"/>
            <w:vAlign w:val="center"/>
          </w:tcPr>
          <w:p w14:paraId="0D43209F">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150m</w:t>
            </w:r>
          </w:p>
        </w:tc>
        <w:tc>
          <w:tcPr>
            <w:tcW w:w="630" w:type="pct"/>
            <w:vAlign w:val="center"/>
          </w:tcPr>
          <w:p w14:paraId="63472836">
            <w:pPr>
              <w:autoSpaceDE w:val="0"/>
              <w:autoSpaceDN w:val="0"/>
              <w:adjustRightInd w:val="0"/>
              <w:spacing w:line="240" w:lineRule="auto"/>
              <w:ind w:firstLine="0" w:firstLineChars="0"/>
              <w:jc w:val="center"/>
              <w:textAlignment w:val="baseline"/>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200m</w:t>
            </w:r>
          </w:p>
        </w:tc>
      </w:tr>
      <w:tr w14:paraId="722B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Align w:val="center"/>
          </w:tcPr>
          <w:p w14:paraId="61C0C558">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搅拌机</w:t>
            </w:r>
          </w:p>
        </w:tc>
        <w:tc>
          <w:tcPr>
            <w:tcW w:w="623" w:type="pct"/>
            <w:vAlign w:val="center"/>
          </w:tcPr>
          <w:p w14:paraId="3B5FBA6E">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80</w:t>
            </w:r>
          </w:p>
        </w:tc>
        <w:tc>
          <w:tcPr>
            <w:tcW w:w="624" w:type="pct"/>
            <w:vAlign w:val="center"/>
          </w:tcPr>
          <w:p w14:paraId="627FD24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74</w:t>
            </w:r>
          </w:p>
        </w:tc>
        <w:tc>
          <w:tcPr>
            <w:tcW w:w="624" w:type="pct"/>
            <w:vAlign w:val="center"/>
          </w:tcPr>
          <w:p w14:paraId="5CB37A4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r>
              <w:rPr>
                <w:rFonts w:hint="eastAsia"/>
                <w:color w:val="000000" w:themeColor="text1"/>
                <w:kern w:val="0"/>
                <w:sz w:val="21"/>
                <w:szCs w:val="21"/>
                <w14:textFill>
                  <w14:solidFill>
                    <w14:schemeClr w14:val="tx1"/>
                  </w14:solidFill>
                </w14:textFill>
              </w:rPr>
              <w:t>8</w:t>
            </w:r>
          </w:p>
        </w:tc>
        <w:tc>
          <w:tcPr>
            <w:tcW w:w="624" w:type="pct"/>
            <w:vAlign w:val="center"/>
          </w:tcPr>
          <w:p w14:paraId="6C662F35">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r>
              <w:rPr>
                <w:rFonts w:hint="eastAsia"/>
                <w:color w:val="000000" w:themeColor="text1"/>
                <w:kern w:val="0"/>
                <w:sz w:val="21"/>
                <w:szCs w:val="21"/>
                <w14:textFill>
                  <w14:solidFill>
                    <w14:schemeClr w14:val="tx1"/>
                  </w14:solidFill>
                </w14:textFill>
              </w:rPr>
              <w:t>6</w:t>
            </w:r>
          </w:p>
        </w:tc>
        <w:tc>
          <w:tcPr>
            <w:tcW w:w="624" w:type="pct"/>
            <w:vAlign w:val="center"/>
          </w:tcPr>
          <w:p w14:paraId="272E006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60</w:t>
            </w:r>
          </w:p>
        </w:tc>
        <w:tc>
          <w:tcPr>
            <w:tcW w:w="624" w:type="pct"/>
            <w:vAlign w:val="center"/>
          </w:tcPr>
          <w:p w14:paraId="2AD2953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56</w:t>
            </w:r>
          </w:p>
        </w:tc>
        <w:tc>
          <w:tcPr>
            <w:tcW w:w="630" w:type="pct"/>
            <w:vAlign w:val="center"/>
          </w:tcPr>
          <w:p w14:paraId="6BB3F78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w:t>
            </w:r>
            <w:r>
              <w:rPr>
                <w:rFonts w:hint="eastAsia"/>
                <w:color w:val="000000" w:themeColor="text1"/>
                <w:kern w:val="0"/>
                <w:sz w:val="21"/>
                <w:szCs w:val="21"/>
                <w14:textFill>
                  <w14:solidFill>
                    <w14:schemeClr w14:val="tx1"/>
                  </w14:solidFill>
                </w14:textFill>
              </w:rPr>
              <w:t>4</w:t>
            </w:r>
          </w:p>
        </w:tc>
      </w:tr>
      <w:tr w14:paraId="5F24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Align w:val="center"/>
          </w:tcPr>
          <w:p w14:paraId="7F2FE79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推土机</w:t>
            </w:r>
          </w:p>
        </w:tc>
        <w:tc>
          <w:tcPr>
            <w:tcW w:w="1061" w:type="dxa"/>
            <w:vAlign w:val="center"/>
          </w:tcPr>
          <w:p w14:paraId="6BD39BA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80</w:t>
            </w:r>
          </w:p>
        </w:tc>
        <w:tc>
          <w:tcPr>
            <w:tcW w:w="1064" w:type="dxa"/>
            <w:vAlign w:val="center"/>
          </w:tcPr>
          <w:p w14:paraId="30088C13">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74</w:t>
            </w:r>
          </w:p>
        </w:tc>
        <w:tc>
          <w:tcPr>
            <w:tcW w:w="1064" w:type="dxa"/>
            <w:vAlign w:val="center"/>
          </w:tcPr>
          <w:p w14:paraId="52F2865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r>
              <w:rPr>
                <w:rFonts w:hint="eastAsia"/>
                <w:color w:val="000000" w:themeColor="text1"/>
                <w:kern w:val="0"/>
                <w:sz w:val="21"/>
                <w:szCs w:val="21"/>
                <w14:textFill>
                  <w14:solidFill>
                    <w14:schemeClr w14:val="tx1"/>
                  </w14:solidFill>
                </w14:textFill>
              </w:rPr>
              <w:t>8</w:t>
            </w:r>
          </w:p>
        </w:tc>
        <w:tc>
          <w:tcPr>
            <w:tcW w:w="1064" w:type="dxa"/>
            <w:vAlign w:val="center"/>
          </w:tcPr>
          <w:p w14:paraId="3D18EF2E">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r>
              <w:rPr>
                <w:rFonts w:hint="eastAsia"/>
                <w:color w:val="000000" w:themeColor="text1"/>
                <w:kern w:val="0"/>
                <w:sz w:val="21"/>
                <w:szCs w:val="21"/>
                <w14:textFill>
                  <w14:solidFill>
                    <w14:schemeClr w14:val="tx1"/>
                  </w14:solidFill>
                </w14:textFill>
              </w:rPr>
              <w:t>6</w:t>
            </w:r>
          </w:p>
        </w:tc>
        <w:tc>
          <w:tcPr>
            <w:tcW w:w="1064" w:type="dxa"/>
            <w:vAlign w:val="center"/>
          </w:tcPr>
          <w:p w14:paraId="009C924E">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60</w:t>
            </w:r>
          </w:p>
        </w:tc>
        <w:tc>
          <w:tcPr>
            <w:tcW w:w="1064" w:type="dxa"/>
            <w:vAlign w:val="center"/>
          </w:tcPr>
          <w:p w14:paraId="11A55E9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56</w:t>
            </w:r>
          </w:p>
        </w:tc>
        <w:tc>
          <w:tcPr>
            <w:tcW w:w="1079" w:type="dxa"/>
            <w:vAlign w:val="center"/>
          </w:tcPr>
          <w:p w14:paraId="102B107E">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w:t>
            </w:r>
            <w:r>
              <w:rPr>
                <w:rFonts w:hint="eastAsia"/>
                <w:color w:val="000000" w:themeColor="text1"/>
                <w:kern w:val="0"/>
                <w:sz w:val="21"/>
                <w:szCs w:val="21"/>
                <w14:textFill>
                  <w14:solidFill>
                    <w14:schemeClr w14:val="tx1"/>
                  </w14:solidFill>
                </w14:textFill>
              </w:rPr>
              <w:t>4</w:t>
            </w:r>
          </w:p>
        </w:tc>
      </w:tr>
      <w:tr w14:paraId="3970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Align w:val="center"/>
          </w:tcPr>
          <w:p w14:paraId="12D883A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挖掘机</w:t>
            </w:r>
          </w:p>
        </w:tc>
        <w:tc>
          <w:tcPr>
            <w:tcW w:w="1061" w:type="dxa"/>
            <w:vAlign w:val="center"/>
          </w:tcPr>
          <w:p w14:paraId="173F5BD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80</w:t>
            </w:r>
          </w:p>
        </w:tc>
        <w:tc>
          <w:tcPr>
            <w:tcW w:w="1064" w:type="dxa"/>
            <w:vAlign w:val="center"/>
          </w:tcPr>
          <w:p w14:paraId="74B3D79E">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74</w:t>
            </w:r>
          </w:p>
        </w:tc>
        <w:tc>
          <w:tcPr>
            <w:tcW w:w="1064" w:type="dxa"/>
            <w:vAlign w:val="center"/>
          </w:tcPr>
          <w:p w14:paraId="3263BA4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r>
              <w:rPr>
                <w:rFonts w:hint="eastAsia"/>
                <w:color w:val="000000" w:themeColor="text1"/>
                <w:kern w:val="0"/>
                <w:sz w:val="21"/>
                <w:szCs w:val="21"/>
                <w14:textFill>
                  <w14:solidFill>
                    <w14:schemeClr w14:val="tx1"/>
                  </w14:solidFill>
                </w14:textFill>
              </w:rPr>
              <w:t>8</w:t>
            </w:r>
          </w:p>
        </w:tc>
        <w:tc>
          <w:tcPr>
            <w:tcW w:w="1064" w:type="dxa"/>
            <w:vAlign w:val="center"/>
          </w:tcPr>
          <w:p w14:paraId="36EE865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r>
              <w:rPr>
                <w:rFonts w:hint="eastAsia"/>
                <w:color w:val="000000" w:themeColor="text1"/>
                <w:kern w:val="0"/>
                <w:sz w:val="21"/>
                <w:szCs w:val="21"/>
                <w14:textFill>
                  <w14:solidFill>
                    <w14:schemeClr w14:val="tx1"/>
                  </w14:solidFill>
                </w14:textFill>
              </w:rPr>
              <w:t>6</w:t>
            </w:r>
          </w:p>
        </w:tc>
        <w:tc>
          <w:tcPr>
            <w:tcW w:w="1064" w:type="dxa"/>
            <w:vAlign w:val="center"/>
          </w:tcPr>
          <w:p w14:paraId="77A3BEA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60</w:t>
            </w:r>
          </w:p>
        </w:tc>
        <w:tc>
          <w:tcPr>
            <w:tcW w:w="1064" w:type="dxa"/>
            <w:vAlign w:val="center"/>
          </w:tcPr>
          <w:p w14:paraId="5FD69FE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56</w:t>
            </w:r>
          </w:p>
        </w:tc>
        <w:tc>
          <w:tcPr>
            <w:tcW w:w="1079" w:type="dxa"/>
            <w:vAlign w:val="center"/>
          </w:tcPr>
          <w:p w14:paraId="47C05B05">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w:t>
            </w:r>
            <w:r>
              <w:rPr>
                <w:rFonts w:hint="eastAsia"/>
                <w:color w:val="000000" w:themeColor="text1"/>
                <w:kern w:val="0"/>
                <w:sz w:val="21"/>
                <w:szCs w:val="21"/>
                <w14:textFill>
                  <w14:solidFill>
                    <w14:schemeClr w14:val="tx1"/>
                  </w14:solidFill>
                </w14:textFill>
              </w:rPr>
              <w:t>4</w:t>
            </w:r>
          </w:p>
        </w:tc>
      </w:tr>
      <w:tr w14:paraId="0D3A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Align w:val="center"/>
          </w:tcPr>
          <w:p w14:paraId="345BCBAD">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起重机</w:t>
            </w:r>
          </w:p>
        </w:tc>
        <w:tc>
          <w:tcPr>
            <w:tcW w:w="1061" w:type="dxa"/>
            <w:vAlign w:val="center"/>
          </w:tcPr>
          <w:p w14:paraId="40A173EE">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80</w:t>
            </w:r>
          </w:p>
        </w:tc>
        <w:tc>
          <w:tcPr>
            <w:tcW w:w="1064" w:type="dxa"/>
            <w:vAlign w:val="center"/>
          </w:tcPr>
          <w:p w14:paraId="0CE94143">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74</w:t>
            </w:r>
          </w:p>
        </w:tc>
        <w:tc>
          <w:tcPr>
            <w:tcW w:w="1064" w:type="dxa"/>
            <w:vAlign w:val="center"/>
          </w:tcPr>
          <w:p w14:paraId="6B796BF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r>
              <w:rPr>
                <w:rFonts w:hint="eastAsia"/>
                <w:color w:val="000000" w:themeColor="text1"/>
                <w:kern w:val="0"/>
                <w:sz w:val="21"/>
                <w:szCs w:val="21"/>
                <w14:textFill>
                  <w14:solidFill>
                    <w14:schemeClr w14:val="tx1"/>
                  </w14:solidFill>
                </w14:textFill>
              </w:rPr>
              <w:t>8</w:t>
            </w:r>
          </w:p>
        </w:tc>
        <w:tc>
          <w:tcPr>
            <w:tcW w:w="1064" w:type="dxa"/>
            <w:vAlign w:val="center"/>
          </w:tcPr>
          <w:p w14:paraId="2C3017F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r>
              <w:rPr>
                <w:rFonts w:hint="eastAsia"/>
                <w:color w:val="000000" w:themeColor="text1"/>
                <w:kern w:val="0"/>
                <w:sz w:val="21"/>
                <w:szCs w:val="21"/>
                <w14:textFill>
                  <w14:solidFill>
                    <w14:schemeClr w14:val="tx1"/>
                  </w14:solidFill>
                </w14:textFill>
              </w:rPr>
              <w:t>6</w:t>
            </w:r>
          </w:p>
        </w:tc>
        <w:tc>
          <w:tcPr>
            <w:tcW w:w="1064" w:type="dxa"/>
            <w:vAlign w:val="center"/>
          </w:tcPr>
          <w:p w14:paraId="4C14E102">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60</w:t>
            </w:r>
          </w:p>
        </w:tc>
        <w:tc>
          <w:tcPr>
            <w:tcW w:w="1064" w:type="dxa"/>
            <w:vAlign w:val="center"/>
          </w:tcPr>
          <w:p w14:paraId="5808E7FC">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56</w:t>
            </w:r>
          </w:p>
        </w:tc>
        <w:tc>
          <w:tcPr>
            <w:tcW w:w="1079" w:type="dxa"/>
            <w:vAlign w:val="center"/>
          </w:tcPr>
          <w:p w14:paraId="68B89BB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w:t>
            </w:r>
            <w:r>
              <w:rPr>
                <w:rFonts w:hint="eastAsia"/>
                <w:color w:val="000000" w:themeColor="text1"/>
                <w:kern w:val="0"/>
                <w:sz w:val="21"/>
                <w:szCs w:val="21"/>
                <w14:textFill>
                  <w14:solidFill>
                    <w14:schemeClr w14:val="tx1"/>
                  </w14:solidFill>
                </w14:textFill>
              </w:rPr>
              <w:t>4</w:t>
            </w:r>
          </w:p>
        </w:tc>
      </w:tr>
      <w:tr w14:paraId="03B7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Align w:val="center"/>
          </w:tcPr>
          <w:p w14:paraId="1F3C7166">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打桩</w:t>
            </w:r>
            <w:r>
              <w:rPr>
                <w:color w:val="000000" w:themeColor="text1"/>
                <w:kern w:val="0"/>
                <w:sz w:val="21"/>
                <w:szCs w:val="21"/>
                <w14:textFill>
                  <w14:solidFill>
                    <w14:schemeClr w14:val="tx1"/>
                  </w14:solidFill>
                </w14:textFill>
              </w:rPr>
              <w:t>机</w:t>
            </w:r>
          </w:p>
        </w:tc>
        <w:tc>
          <w:tcPr>
            <w:tcW w:w="623" w:type="pct"/>
            <w:vAlign w:val="center"/>
          </w:tcPr>
          <w:p w14:paraId="6CD711D8">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95</w:t>
            </w:r>
          </w:p>
        </w:tc>
        <w:tc>
          <w:tcPr>
            <w:tcW w:w="624" w:type="pct"/>
            <w:vAlign w:val="center"/>
          </w:tcPr>
          <w:p w14:paraId="11D489B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89</w:t>
            </w:r>
          </w:p>
        </w:tc>
        <w:tc>
          <w:tcPr>
            <w:tcW w:w="624" w:type="pct"/>
            <w:vAlign w:val="center"/>
          </w:tcPr>
          <w:p w14:paraId="21B45A9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83</w:t>
            </w:r>
          </w:p>
        </w:tc>
        <w:tc>
          <w:tcPr>
            <w:tcW w:w="624" w:type="pct"/>
            <w:vAlign w:val="center"/>
          </w:tcPr>
          <w:p w14:paraId="1F0451A3">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81</w:t>
            </w:r>
          </w:p>
        </w:tc>
        <w:tc>
          <w:tcPr>
            <w:tcW w:w="624" w:type="pct"/>
            <w:vAlign w:val="center"/>
          </w:tcPr>
          <w:p w14:paraId="03BC9A95">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75</w:t>
            </w:r>
          </w:p>
        </w:tc>
        <w:tc>
          <w:tcPr>
            <w:tcW w:w="624" w:type="pct"/>
            <w:vAlign w:val="center"/>
          </w:tcPr>
          <w:p w14:paraId="7582FAB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71</w:t>
            </w:r>
          </w:p>
        </w:tc>
        <w:tc>
          <w:tcPr>
            <w:tcW w:w="630" w:type="pct"/>
            <w:vAlign w:val="center"/>
          </w:tcPr>
          <w:p w14:paraId="3CD99F0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69</w:t>
            </w:r>
          </w:p>
        </w:tc>
      </w:tr>
      <w:tr w14:paraId="68F3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Align w:val="center"/>
          </w:tcPr>
          <w:p w14:paraId="24F9C68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切割机</w:t>
            </w:r>
          </w:p>
        </w:tc>
        <w:tc>
          <w:tcPr>
            <w:tcW w:w="623" w:type="pct"/>
            <w:vAlign w:val="center"/>
          </w:tcPr>
          <w:p w14:paraId="1D427BA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80</w:t>
            </w:r>
          </w:p>
        </w:tc>
        <w:tc>
          <w:tcPr>
            <w:tcW w:w="624" w:type="pct"/>
            <w:vAlign w:val="center"/>
          </w:tcPr>
          <w:p w14:paraId="1A8F194D">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74</w:t>
            </w:r>
          </w:p>
        </w:tc>
        <w:tc>
          <w:tcPr>
            <w:tcW w:w="624" w:type="pct"/>
            <w:vAlign w:val="center"/>
          </w:tcPr>
          <w:p w14:paraId="7ECA7211">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68</w:t>
            </w:r>
          </w:p>
        </w:tc>
        <w:tc>
          <w:tcPr>
            <w:tcW w:w="624" w:type="pct"/>
            <w:vAlign w:val="center"/>
          </w:tcPr>
          <w:p w14:paraId="3786E0E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66</w:t>
            </w:r>
          </w:p>
        </w:tc>
        <w:tc>
          <w:tcPr>
            <w:tcW w:w="624" w:type="pct"/>
            <w:vAlign w:val="center"/>
          </w:tcPr>
          <w:p w14:paraId="4C6DBE07">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60</w:t>
            </w:r>
          </w:p>
        </w:tc>
        <w:tc>
          <w:tcPr>
            <w:tcW w:w="624" w:type="pct"/>
            <w:vAlign w:val="center"/>
          </w:tcPr>
          <w:p w14:paraId="291FE56A">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56</w:t>
            </w:r>
          </w:p>
        </w:tc>
        <w:tc>
          <w:tcPr>
            <w:tcW w:w="630" w:type="pct"/>
            <w:vAlign w:val="center"/>
          </w:tcPr>
          <w:p w14:paraId="47B0E94D">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54</w:t>
            </w:r>
          </w:p>
        </w:tc>
      </w:tr>
      <w:tr w14:paraId="7C86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3" w:type="pct"/>
            <w:vAlign w:val="center"/>
          </w:tcPr>
          <w:p w14:paraId="4E8646A8">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各机械噪声叠加</w:t>
            </w:r>
          </w:p>
        </w:tc>
        <w:tc>
          <w:tcPr>
            <w:tcW w:w="623" w:type="pct"/>
            <w:vAlign w:val="center"/>
          </w:tcPr>
          <w:p w14:paraId="10517B64">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84</w:t>
            </w:r>
          </w:p>
        </w:tc>
        <w:tc>
          <w:tcPr>
            <w:tcW w:w="624" w:type="pct"/>
            <w:vAlign w:val="center"/>
          </w:tcPr>
          <w:p w14:paraId="20F7756F">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78</w:t>
            </w:r>
          </w:p>
        </w:tc>
        <w:tc>
          <w:tcPr>
            <w:tcW w:w="624" w:type="pct"/>
            <w:vAlign w:val="center"/>
          </w:tcPr>
          <w:p w14:paraId="5060EF73">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72</w:t>
            </w:r>
          </w:p>
        </w:tc>
        <w:tc>
          <w:tcPr>
            <w:tcW w:w="624" w:type="pct"/>
            <w:vAlign w:val="center"/>
          </w:tcPr>
          <w:p w14:paraId="31CEFD9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70</w:t>
            </w:r>
          </w:p>
        </w:tc>
        <w:tc>
          <w:tcPr>
            <w:tcW w:w="624" w:type="pct"/>
            <w:vAlign w:val="center"/>
          </w:tcPr>
          <w:p w14:paraId="6CE3A2DB">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64</w:t>
            </w:r>
          </w:p>
        </w:tc>
        <w:tc>
          <w:tcPr>
            <w:tcW w:w="624" w:type="pct"/>
            <w:vAlign w:val="center"/>
          </w:tcPr>
          <w:p w14:paraId="73EBA850">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60</w:t>
            </w:r>
          </w:p>
        </w:tc>
        <w:tc>
          <w:tcPr>
            <w:tcW w:w="630" w:type="pct"/>
            <w:vAlign w:val="center"/>
          </w:tcPr>
          <w:p w14:paraId="32A4EF89">
            <w:pPr>
              <w:autoSpaceDE w:val="0"/>
              <w:autoSpaceDN w:val="0"/>
              <w:adjustRightInd w:val="0"/>
              <w:spacing w:line="240" w:lineRule="auto"/>
              <w:ind w:firstLine="0" w:firstLineChars="0"/>
              <w:jc w:val="center"/>
              <w:textAlignment w:val="baseline"/>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58</w:t>
            </w:r>
          </w:p>
        </w:tc>
      </w:tr>
    </w:tbl>
    <w:p w14:paraId="4443CED8">
      <w:pPr>
        <w:ind w:firstLine="480"/>
        <w:rPr>
          <w:color w:val="000000" w:themeColor="text1"/>
          <w14:textFill>
            <w14:solidFill>
              <w14:schemeClr w14:val="tx1"/>
            </w14:solidFill>
          </w14:textFill>
        </w:rPr>
      </w:pPr>
      <w:r>
        <w:rPr>
          <w:color w:val="000000" w:themeColor="text1"/>
          <w14:textFill>
            <w14:solidFill>
              <w14:schemeClr w14:val="tx1"/>
            </w14:solidFill>
          </w14:textFill>
        </w:rPr>
        <w:t>根据计算，离声源</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00m之外均可衰减至70dB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以下。声环境影响主要由施工机械噪声引起，夜间</w:t>
      </w:r>
      <w:r>
        <w:rPr>
          <w:rFonts w:hint="eastAsia"/>
          <w:color w:val="000000" w:themeColor="text1"/>
          <w14:textFill>
            <w14:solidFill>
              <w14:schemeClr w14:val="tx1"/>
            </w14:solidFill>
          </w14:textFill>
        </w:rPr>
        <w:t>禁止施工，</w:t>
      </w:r>
      <w:r>
        <w:rPr>
          <w:color w:val="000000" w:themeColor="text1"/>
          <w14:textFill>
            <w14:solidFill>
              <w14:schemeClr w14:val="tx1"/>
            </w14:solidFill>
          </w14:textFill>
        </w:rPr>
        <w:t>昼间施工时也应尽量合理安排，缩短高噪声设备的使用时间，在合理进行施工组织后声环境影响可以控制在满足《建筑施工噪声排放标准》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GB12523-20</w:t>
      </w:r>
      <w:r>
        <w:rPr>
          <w:rFonts w:hint="eastAsia"/>
          <w:color w:val="000000" w:themeColor="text1"/>
          <w:lang w:val="en-US" w:eastAsia="zh-CN"/>
          <w14:textFill>
            <w14:solidFill>
              <w14:schemeClr w14:val="tx1"/>
            </w14:solidFill>
          </w14:textFill>
        </w:rPr>
        <w:t>25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限值要求。此外，因</w:t>
      </w:r>
      <w:r>
        <w:rPr>
          <w:rFonts w:hint="eastAsia"/>
          <w:color w:val="000000" w:themeColor="text1"/>
          <w14:textFill>
            <w14:solidFill>
              <w14:schemeClr w14:val="tx1"/>
            </w14:solidFill>
          </w14:textFill>
        </w:rPr>
        <w:t>线路</w:t>
      </w:r>
      <w:r>
        <w:rPr>
          <w:color w:val="000000" w:themeColor="text1"/>
          <w14:textFill>
            <w14:solidFill>
              <w14:schemeClr w14:val="tx1"/>
            </w14:solidFill>
          </w14:textFill>
        </w:rPr>
        <w:t>噪声评价范围内无噪声敏感点分布，故其建设对周围声环境影响很小。</w:t>
      </w:r>
    </w:p>
    <w:p w14:paraId="7863050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本项目施工</w:t>
      </w:r>
      <w:r>
        <w:rPr>
          <w:color w:val="000000" w:themeColor="text1"/>
          <w14:textFill>
            <w14:solidFill>
              <w14:schemeClr w14:val="tx1"/>
            </w14:solidFill>
          </w14:textFill>
        </w:rPr>
        <w:t>阶段的影响相对较小，一般不会构成噪声污染。施工噪声影响具有暂时性特点，一旦施工活动结束，施工噪声影响也就随之消除。</w:t>
      </w:r>
    </w:p>
    <w:p w14:paraId="09C44E69">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937" w:name="_Toc12668"/>
      <w:bookmarkStart w:id="938" w:name="_Toc11618"/>
      <w:bookmarkStart w:id="939" w:name="_Toc31068"/>
      <w:bookmarkStart w:id="940" w:name="_Toc5742"/>
      <w:bookmarkStart w:id="941" w:name="_Toc14729"/>
      <w:bookmarkStart w:id="942" w:name="_Toc15485"/>
      <w:bookmarkStart w:id="943" w:name="_Toc11587"/>
      <w:bookmarkStart w:id="944" w:name="_Toc26797"/>
      <w:bookmarkStart w:id="945" w:name="_Toc24808"/>
      <w:bookmarkStart w:id="946" w:name="_Toc10155"/>
      <w:bookmarkStart w:id="947" w:name="_Toc10485"/>
      <w:r>
        <w:rPr>
          <w:color w:val="000000" w:themeColor="text1"/>
          <w:szCs w:val="32"/>
          <w14:textFill>
            <w14:solidFill>
              <w14:schemeClr w14:val="tx1"/>
            </w14:solidFill>
          </w14:textFill>
        </w:rPr>
        <w:t>5.3施工扬尘环境影响分析</w:t>
      </w:r>
      <w:bookmarkEnd w:id="937"/>
      <w:bookmarkEnd w:id="938"/>
      <w:bookmarkEnd w:id="939"/>
      <w:bookmarkEnd w:id="940"/>
      <w:bookmarkEnd w:id="941"/>
      <w:bookmarkEnd w:id="942"/>
      <w:bookmarkEnd w:id="943"/>
      <w:bookmarkEnd w:id="944"/>
      <w:bookmarkEnd w:id="945"/>
      <w:bookmarkEnd w:id="946"/>
      <w:bookmarkEnd w:id="947"/>
    </w:p>
    <w:p w14:paraId="4B00D19C">
      <w:pPr>
        <w:pStyle w:val="42"/>
        <w:ind w:firstLine="480"/>
        <w:rPr>
          <w:color w:val="000000" w:themeColor="text1"/>
          <w:kern w:val="2"/>
          <w:lang w:val="en-US"/>
          <w14:textFill>
            <w14:solidFill>
              <w14:schemeClr w14:val="tx1"/>
            </w14:solidFill>
          </w14:textFill>
        </w:rPr>
      </w:pPr>
      <w:r>
        <w:rPr>
          <w:rFonts w:hint="eastAsia"/>
          <w:color w:val="000000" w:themeColor="text1"/>
          <w:kern w:val="2"/>
          <w:lang w:val="en-US"/>
          <w14:textFill>
            <w14:solidFill>
              <w14:schemeClr w14:val="tx1"/>
            </w14:solidFill>
          </w14:textFill>
        </w:rPr>
        <w:t>在输电线路施工阶段，尤其是施工初期，土石方的开挖、车辆运输、临时施工道路修建等产生的粉尘短期内将使局部区域空气中的</w:t>
      </w:r>
      <w:r>
        <w:rPr>
          <w:color w:val="000000" w:themeColor="text1"/>
          <w:kern w:val="2"/>
          <w:lang w:val="en-US"/>
          <w14:textFill>
            <w14:solidFill>
              <w14:schemeClr w14:val="tx1"/>
            </w14:solidFill>
          </w14:textFill>
        </w:rPr>
        <w:t>TSP</w:t>
      </w:r>
      <w:r>
        <w:rPr>
          <w:rFonts w:hint="eastAsia"/>
          <w:color w:val="000000" w:themeColor="text1"/>
          <w:kern w:val="2"/>
          <w:lang w:val="en-US"/>
          <w14:textFill>
            <w14:solidFill>
              <w14:schemeClr w14:val="tx1"/>
            </w14:solidFill>
          </w14:textFill>
        </w:rPr>
        <w:t>明显增加。由于输电线路工程开挖量小，作业点分散，施工时间较短，单塔施工周期一般在2个月内，影响区域较小，故对周围环境空气的影响只是短期的、小范围的，并且能够很快恢复。</w:t>
      </w:r>
    </w:p>
    <w:p w14:paraId="797621BD">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948" w:name="_Toc27728"/>
      <w:bookmarkStart w:id="949" w:name="_Toc27798"/>
      <w:bookmarkStart w:id="950" w:name="_Toc22279"/>
      <w:bookmarkStart w:id="951" w:name="_Toc21932"/>
      <w:bookmarkStart w:id="952" w:name="_Toc1551"/>
      <w:bookmarkStart w:id="953" w:name="_Toc10530"/>
      <w:bookmarkStart w:id="954" w:name="_Toc25871"/>
      <w:bookmarkStart w:id="955" w:name="_Toc23797"/>
      <w:bookmarkStart w:id="956" w:name="_Toc7603"/>
      <w:bookmarkStart w:id="957" w:name="_Toc2331"/>
      <w:bookmarkStart w:id="958" w:name="_Toc15892"/>
      <w:r>
        <w:rPr>
          <w:color w:val="000000" w:themeColor="text1"/>
          <w:szCs w:val="32"/>
          <w14:textFill>
            <w14:solidFill>
              <w14:schemeClr w14:val="tx1"/>
            </w14:solidFill>
          </w14:textFill>
        </w:rPr>
        <w:t>5.4固体废物环境影响分析</w:t>
      </w:r>
      <w:bookmarkEnd w:id="948"/>
      <w:bookmarkEnd w:id="949"/>
      <w:bookmarkEnd w:id="950"/>
      <w:bookmarkEnd w:id="951"/>
      <w:bookmarkEnd w:id="952"/>
      <w:bookmarkEnd w:id="953"/>
      <w:bookmarkEnd w:id="954"/>
      <w:bookmarkEnd w:id="955"/>
      <w:bookmarkEnd w:id="956"/>
      <w:bookmarkEnd w:id="957"/>
      <w:bookmarkEnd w:id="958"/>
    </w:p>
    <w:p w14:paraId="43F94838">
      <w:pPr>
        <w:ind w:firstLine="480"/>
        <w:rPr>
          <w:color w:val="000000" w:themeColor="text1"/>
          <w14:textFill>
            <w14:solidFill>
              <w14:schemeClr w14:val="tx1"/>
            </w14:solidFill>
          </w14:textFill>
        </w:rPr>
      </w:pPr>
      <w:r>
        <w:rPr>
          <w:color w:val="000000" w:themeColor="text1"/>
          <w14:textFill>
            <w14:solidFill>
              <w14:schemeClr w14:val="tx1"/>
            </w14:solidFill>
          </w14:textFill>
        </w:rPr>
        <w:t>施工垃圾主要来自施工场地产生的建筑垃圾（主要指场地平整、开挖、道路修筑、材料运输、基础工程等，工程施工期间产生的废弃建筑材料，如砂石、石灰、混凝土、木材等）以及由于施工人员活动产生的生活垃圾等。</w:t>
      </w:r>
    </w:p>
    <w:p w14:paraId="4D547039">
      <w:pPr>
        <w:ind w:firstLine="480"/>
        <w:rPr>
          <w:color w:val="000000" w:themeColor="text1"/>
          <w14:textFill>
            <w14:solidFill>
              <w14:schemeClr w14:val="tx1"/>
            </w14:solidFill>
          </w14:textFill>
        </w:rPr>
      </w:pPr>
      <w:r>
        <w:rPr>
          <w:color w:val="000000" w:themeColor="text1"/>
          <w14:textFill>
            <w14:solidFill>
              <w14:schemeClr w14:val="tx1"/>
            </w14:solidFill>
          </w14:textFill>
        </w:rPr>
        <w:t>施工期间产生的建筑垃圾如不及时处理不仅有碍观瞻，影响景观，而且在遇大风干燥天气时，将产生扬尘。生活垃圾如不及时处理，在气温适宜的条件下则会滋生蚊虫、产生恶臭并传播疾病，对周围环境产生不利影响。因此，本项目在施工期要坚持对施工垃圾的及时清理、清运至指定的垃圾堆场堆放，使施工垃圾对环境的影响减至最低。</w:t>
      </w:r>
    </w:p>
    <w:p w14:paraId="3B62196B">
      <w:pPr>
        <w:ind w:firstLine="480"/>
        <w:rPr>
          <w:color w:val="000000" w:themeColor="text1"/>
          <w14:textFill>
            <w14:solidFill>
              <w14:schemeClr w14:val="tx1"/>
            </w14:solidFill>
          </w14:textFill>
        </w:rPr>
      </w:pPr>
      <w:r>
        <w:rPr>
          <w:color w:val="000000" w:themeColor="text1"/>
          <w14:textFill>
            <w14:solidFill>
              <w14:schemeClr w14:val="tx1"/>
            </w14:solidFill>
          </w14:textFill>
        </w:rPr>
        <w:t>输电线路施工中固体废物主要有施工中剩余的少量建筑材料等。本项目输电线路位于平地或坡度很小地区的塔位，</w:t>
      </w:r>
      <w:r>
        <w:rPr>
          <w:rFonts w:hint="eastAsia"/>
          <w:color w:val="000000" w:themeColor="text1"/>
          <w14:textFill>
            <w14:solidFill>
              <w14:schemeClr w14:val="tx1"/>
            </w14:solidFill>
          </w14:textFill>
        </w:rPr>
        <w:t>本项目无弃方。</w:t>
      </w:r>
    </w:p>
    <w:p w14:paraId="3D75E820">
      <w:pPr>
        <w:autoSpaceDE w:val="0"/>
        <w:autoSpaceDN w:val="0"/>
        <w:ind w:firstLine="480"/>
        <w:rPr>
          <w:color w:val="000000" w:themeColor="text1"/>
          <w:kern w:val="0"/>
          <w14:textFill>
            <w14:solidFill>
              <w14:schemeClr w14:val="tx1"/>
            </w14:solidFill>
          </w14:textFill>
        </w:rPr>
      </w:pPr>
      <w:r>
        <w:rPr>
          <w:color w:val="000000" w:themeColor="text1"/>
          <w14:textFill>
            <w14:solidFill>
              <w14:schemeClr w14:val="tx1"/>
            </w14:solidFill>
          </w14:textFill>
        </w:rPr>
        <w:t>有表土的地段，施工过程中的土方临时保护，表土分离单独存放，并进行苫盖。该防护措施可有效地防止施工过程中因刮风而引起的扬尘，同时可有效地保护剥离的表土。</w:t>
      </w:r>
    </w:p>
    <w:p w14:paraId="6F56EDB0">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959" w:name="_Toc30882"/>
      <w:bookmarkStart w:id="960" w:name="_Toc2564"/>
      <w:bookmarkStart w:id="961" w:name="_Toc15238"/>
      <w:bookmarkStart w:id="962" w:name="_Toc7528"/>
      <w:bookmarkStart w:id="963" w:name="_Toc17614"/>
      <w:bookmarkStart w:id="964" w:name="_Toc13301"/>
      <w:bookmarkStart w:id="965" w:name="_Toc16518"/>
      <w:bookmarkStart w:id="966" w:name="_Toc26357"/>
      <w:bookmarkStart w:id="967" w:name="_Toc15550"/>
      <w:bookmarkStart w:id="968" w:name="_Toc9174"/>
      <w:bookmarkStart w:id="969" w:name="_Toc5540"/>
      <w:r>
        <w:rPr>
          <w:color w:val="000000" w:themeColor="text1"/>
          <w:szCs w:val="32"/>
          <w14:textFill>
            <w14:solidFill>
              <w14:schemeClr w14:val="tx1"/>
            </w14:solidFill>
          </w14:textFill>
        </w:rPr>
        <w:t>5.5施工</w:t>
      </w:r>
      <w:r>
        <w:rPr>
          <w:rFonts w:hint="eastAsia"/>
          <w:color w:val="000000" w:themeColor="text1"/>
          <w:szCs w:val="32"/>
          <w14:textFill>
            <w14:solidFill>
              <w14:schemeClr w14:val="tx1"/>
            </w14:solidFill>
          </w14:textFill>
        </w:rPr>
        <w:t>期地表水</w:t>
      </w:r>
      <w:r>
        <w:rPr>
          <w:color w:val="000000" w:themeColor="text1"/>
          <w:szCs w:val="32"/>
          <w14:textFill>
            <w14:solidFill>
              <w14:schemeClr w14:val="tx1"/>
            </w14:solidFill>
          </w14:textFill>
        </w:rPr>
        <w:t>环境影响分析</w:t>
      </w:r>
      <w:bookmarkEnd w:id="959"/>
      <w:bookmarkEnd w:id="960"/>
      <w:bookmarkEnd w:id="961"/>
      <w:bookmarkEnd w:id="962"/>
      <w:bookmarkEnd w:id="963"/>
      <w:bookmarkEnd w:id="964"/>
      <w:bookmarkEnd w:id="965"/>
      <w:bookmarkEnd w:id="966"/>
      <w:bookmarkEnd w:id="967"/>
      <w:bookmarkEnd w:id="968"/>
      <w:bookmarkEnd w:id="969"/>
    </w:p>
    <w:p w14:paraId="74E95F83">
      <w:pPr>
        <w:autoSpaceDE w:val="0"/>
        <w:autoSpaceDN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由于输电线路单塔开挖工程量小，施工时间较短，单塔施工周期一般在两个月内，影响区域较小；输电线路的施工具有局地占地面积小、点分散等特点，每个施工点上的施工人员很少，产生的生活污水量较小。项目区周围无地表水体，不涉及涉水工程，故施工废污水对当地水环境影响很小。</w:t>
      </w:r>
    </w:p>
    <w:p w14:paraId="3802180E">
      <w:pPr>
        <w:autoSpaceDE w:val="0"/>
        <w:autoSpaceDN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综上，工程大部分施工污水会被自然蒸发，因此施工期排水不会对地表水、地下水造成不良影响，通过严格实施各项污染防治措施后，本工程施工对当地水环境影响较小。</w:t>
      </w:r>
    </w:p>
    <w:p w14:paraId="4361A77A">
      <w:pPr>
        <w:autoSpaceDE w:val="0"/>
        <w:autoSpaceDN w:val="0"/>
        <w:ind w:firstLine="480"/>
        <w:rPr>
          <w:color w:val="000000" w:themeColor="text1"/>
          <w14:textFill>
            <w14:solidFill>
              <w14:schemeClr w14:val="tx1"/>
            </w14:solidFill>
          </w14:textFill>
        </w:rPr>
      </w:pPr>
    </w:p>
    <w:p w14:paraId="1462DDB9">
      <w:pPr>
        <w:widowControl/>
        <w:ind w:firstLine="480"/>
        <w:jc w:val="left"/>
        <w:rPr>
          <w:color w:val="000000" w:themeColor="text1"/>
          <w14:textFill>
            <w14:solidFill>
              <w14:schemeClr w14:val="tx1"/>
            </w14:solidFill>
          </w14:textFill>
        </w:rPr>
        <w:sectPr>
          <w:pgSz w:w="11905" w:h="16838"/>
          <w:pgMar w:top="1440" w:right="1800" w:bottom="1440" w:left="1800" w:header="850" w:footer="992" w:gutter="0"/>
          <w:cols w:space="720" w:num="1"/>
          <w:docGrid w:linePitch="286" w:charSpace="0"/>
        </w:sectPr>
      </w:pPr>
    </w:p>
    <w:p w14:paraId="2FE0B2FD">
      <w:pPr>
        <w:pStyle w:val="2"/>
        <w:spacing w:before="120" w:beforeLines="50" w:after="120" w:afterLines="50"/>
        <w:rPr>
          <w:color w:val="000000" w:themeColor="text1"/>
          <w14:textFill>
            <w14:solidFill>
              <w14:schemeClr w14:val="tx1"/>
            </w14:solidFill>
          </w14:textFill>
        </w:rPr>
      </w:pPr>
      <w:bookmarkStart w:id="970" w:name="_Toc894"/>
      <w:bookmarkStart w:id="971" w:name="_Toc31904"/>
      <w:bookmarkStart w:id="972" w:name="_Toc26600"/>
      <w:bookmarkStart w:id="973" w:name="_Toc31198"/>
      <w:bookmarkStart w:id="974" w:name="_Toc13908"/>
      <w:bookmarkStart w:id="975" w:name="_Toc21293"/>
      <w:bookmarkStart w:id="976" w:name="_Toc12409"/>
      <w:bookmarkStart w:id="977" w:name="_Toc20465"/>
      <w:bookmarkStart w:id="978" w:name="_Toc23538"/>
      <w:bookmarkStart w:id="979" w:name="_Toc27343"/>
      <w:bookmarkStart w:id="980" w:name="_Toc22806"/>
      <w:r>
        <w:rPr>
          <w:color w:val="000000" w:themeColor="text1"/>
          <w14:textFill>
            <w14:solidFill>
              <w14:schemeClr w14:val="tx1"/>
            </w14:solidFill>
          </w14:textFill>
        </w:rPr>
        <w:t>6运行期环境影响评价</w:t>
      </w:r>
      <w:bookmarkEnd w:id="970"/>
      <w:bookmarkEnd w:id="971"/>
      <w:bookmarkEnd w:id="972"/>
      <w:bookmarkEnd w:id="973"/>
      <w:bookmarkEnd w:id="974"/>
      <w:bookmarkEnd w:id="975"/>
      <w:bookmarkEnd w:id="976"/>
      <w:bookmarkEnd w:id="977"/>
      <w:bookmarkEnd w:id="978"/>
      <w:bookmarkEnd w:id="979"/>
      <w:bookmarkEnd w:id="980"/>
    </w:p>
    <w:p w14:paraId="5A3F50E7">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981" w:name="_Toc18585"/>
      <w:bookmarkStart w:id="982" w:name="_Toc30774"/>
      <w:bookmarkStart w:id="983" w:name="_Toc26870"/>
      <w:bookmarkStart w:id="984" w:name="_Toc7449"/>
      <w:bookmarkStart w:id="985" w:name="_Toc1562"/>
      <w:bookmarkStart w:id="986" w:name="_Toc9672"/>
      <w:bookmarkStart w:id="987" w:name="_Toc3801"/>
      <w:bookmarkStart w:id="988" w:name="_Toc14532"/>
      <w:bookmarkStart w:id="989" w:name="_Toc20777"/>
      <w:bookmarkStart w:id="990" w:name="_Toc13055"/>
      <w:bookmarkStart w:id="991" w:name="_Toc38"/>
      <w:r>
        <w:rPr>
          <w:color w:val="000000" w:themeColor="text1"/>
          <w:szCs w:val="32"/>
          <w14:textFill>
            <w14:solidFill>
              <w14:schemeClr w14:val="tx1"/>
            </w14:solidFill>
          </w14:textFill>
        </w:rPr>
        <w:t>6.1电磁环境影响预测与评价</w:t>
      </w:r>
      <w:bookmarkEnd w:id="981"/>
      <w:bookmarkEnd w:id="982"/>
      <w:bookmarkEnd w:id="983"/>
      <w:bookmarkEnd w:id="984"/>
      <w:bookmarkEnd w:id="985"/>
      <w:bookmarkEnd w:id="986"/>
      <w:bookmarkEnd w:id="987"/>
      <w:bookmarkEnd w:id="988"/>
      <w:bookmarkEnd w:id="989"/>
      <w:bookmarkEnd w:id="990"/>
      <w:bookmarkEnd w:id="991"/>
    </w:p>
    <w:p w14:paraId="4A0F8236">
      <w:pPr>
        <w:snapToGrid w:val="0"/>
        <w:ind w:firstLine="480"/>
        <w:rPr>
          <w:color w:val="000000" w:themeColor="text1"/>
          <w14:textFill>
            <w14:solidFill>
              <w14:schemeClr w14:val="tx1"/>
            </w14:solidFill>
          </w14:textFill>
        </w:rPr>
      </w:pPr>
      <w:bookmarkStart w:id="992" w:name="_Toc28365"/>
      <w:bookmarkStart w:id="993" w:name="_Toc13454"/>
      <w:bookmarkStart w:id="994" w:name="_Toc6156"/>
      <w:bookmarkStart w:id="995" w:name="_Toc5254"/>
      <w:bookmarkStart w:id="996" w:name="_Toc27347"/>
      <w:bookmarkStart w:id="997" w:name="_Toc27337"/>
      <w:bookmarkStart w:id="998" w:name="_Toc9166"/>
      <w:bookmarkStart w:id="999" w:name="_Toc18673"/>
      <w:bookmarkStart w:id="1000" w:name="_Toc4167"/>
      <w:bookmarkStart w:id="1001" w:name="_Toc13938"/>
      <w:bookmarkStart w:id="1002" w:name="_Toc2870"/>
      <w:r>
        <w:rPr>
          <w:color w:val="000000" w:themeColor="text1"/>
          <w14:textFill>
            <w14:solidFill>
              <w14:schemeClr w14:val="tx1"/>
            </w14:solidFill>
          </w14:textFill>
        </w:rPr>
        <w:t>对线路运行产生的工频电场强度、工频磁感应强度采用</w:t>
      </w:r>
      <w:r>
        <w:rPr>
          <w:rFonts w:hint="eastAsia"/>
          <w:color w:val="000000" w:themeColor="text1"/>
          <w14:textFill>
            <w14:solidFill>
              <w14:schemeClr w14:val="tx1"/>
            </w14:solidFill>
          </w14:textFill>
        </w:rPr>
        <w:t>模式预测的方式</w:t>
      </w:r>
      <w:r>
        <w:rPr>
          <w:color w:val="000000" w:themeColor="text1"/>
          <w14:textFill>
            <w14:solidFill>
              <w14:schemeClr w14:val="tx1"/>
            </w14:solidFill>
          </w14:textFill>
        </w:rPr>
        <w:t>。</w:t>
      </w:r>
    </w:p>
    <w:bookmarkEnd w:id="992"/>
    <w:bookmarkEnd w:id="993"/>
    <w:bookmarkEnd w:id="994"/>
    <w:bookmarkEnd w:id="995"/>
    <w:bookmarkEnd w:id="996"/>
    <w:bookmarkEnd w:id="997"/>
    <w:bookmarkEnd w:id="998"/>
    <w:bookmarkEnd w:id="999"/>
    <w:bookmarkEnd w:id="1000"/>
    <w:bookmarkEnd w:id="1001"/>
    <w:bookmarkEnd w:id="1002"/>
    <w:p w14:paraId="500338B8">
      <w:pPr>
        <w:pStyle w:val="4"/>
        <w:spacing w:before="159"/>
        <w:ind w:firstLine="0" w:firstLineChars="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6.1.1</w:t>
      </w:r>
      <w:r>
        <w:rPr>
          <w:color w:val="000000" w:themeColor="text1"/>
          <w:sz w:val="28"/>
          <w:szCs w:val="28"/>
          <w14:textFill>
            <w14:solidFill>
              <w14:schemeClr w14:val="tx1"/>
            </w14:solidFill>
          </w14:textFill>
        </w:rPr>
        <w:t>预测因子</w:t>
      </w:r>
    </w:p>
    <w:p w14:paraId="26A3C249">
      <w:pPr>
        <w:ind w:firstLine="480"/>
        <w:rPr>
          <w:color w:val="000000" w:themeColor="text1"/>
          <w14:textFill>
            <w14:solidFill>
              <w14:schemeClr w14:val="tx1"/>
            </w14:solidFill>
          </w14:textFill>
        </w:rPr>
      </w:pPr>
      <w:r>
        <w:rPr>
          <w:color w:val="000000" w:themeColor="text1"/>
          <w14:textFill>
            <w14:solidFill>
              <w14:schemeClr w14:val="tx1"/>
            </w14:solidFill>
          </w14:textFill>
        </w:rPr>
        <w:t>工频电场、工频磁场。</w:t>
      </w:r>
    </w:p>
    <w:p w14:paraId="73614362">
      <w:pPr>
        <w:pStyle w:val="4"/>
        <w:spacing w:before="159"/>
        <w:ind w:firstLine="0" w:firstLineChars="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6.1.2预测模式</w:t>
      </w:r>
    </w:p>
    <w:p w14:paraId="7562F0C6">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本项目输电线路的工频电场、工频磁感应的理论计算参照《环境影响评价技术导则</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输变电》（HJ24-2020）的附录C、D的计算模式进行。本次评价结合线路架设方式，对线路进行计算。</w:t>
      </w:r>
    </w:p>
    <w:p w14:paraId="6FBBC49A">
      <w:pPr>
        <w:ind w:firstLine="480"/>
        <w:rPr>
          <w:color w:val="000000" w:themeColor="text1"/>
          <w14:textFill>
            <w14:solidFill>
              <w14:schemeClr w14:val="tx1"/>
            </w14:solidFill>
          </w14:textFill>
        </w:rPr>
      </w:pPr>
      <w:r>
        <w:rPr>
          <w:color w:val="000000" w:themeColor="text1"/>
          <w14:textFill>
            <w14:solidFill>
              <w14:schemeClr w14:val="tx1"/>
            </w14:solidFill>
          </w14:textFill>
        </w:rPr>
        <w:t>（1）高压交流架空输电线路下空间工频电场强度的计算（附录C）</w:t>
      </w:r>
    </w:p>
    <w:p w14:paraId="11723EB6">
      <w:pPr>
        <w:ind w:firstLine="480"/>
        <w:rPr>
          <w:color w:val="000000" w:themeColor="text1"/>
          <w14:textFill>
            <w14:solidFill>
              <w14:schemeClr w14:val="tx1"/>
            </w14:solidFill>
          </w14:textFill>
        </w:rPr>
      </w:pPr>
      <w:r>
        <w:rPr>
          <w:color w:val="000000" w:themeColor="text1"/>
          <w14:textFill>
            <w14:solidFill>
              <w14:schemeClr w14:val="tx1"/>
            </w14:solidFill>
          </w14:textFill>
        </w:rPr>
        <w:t>①单位长度导线下等效电荷的计算：</w:t>
      </w:r>
    </w:p>
    <w:p w14:paraId="66DC7BD8">
      <w:pPr>
        <w:ind w:firstLine="480"/>
        <w:rPr>
          <w:color w:val="000000" w:themeColor="text1"/>
          <w14:textFill>
            <w14:solidFill>
              <w14:schemeClr w14:val="tx1"/>
            </w14:solidFill>
          </w14:textFill>
        </w:rPr>
      </w:pPr>
      <w:r>
        <w:rPr>
          <w:color w:val="000000" w:themeColor="text1"/>
          <w14:textFill>
            <w14:solidFill>
              <w14:schemeClr w14:val="tx1"/>
            </w14:solidFill>
          </w14:textFill>
        </w:rPr>
        <w:t>高压输电线上的等效电荷是线电荷，由于高压输电线半径</w:t>
      </w:r>
      <w:r>
        <w:rPr>
          <w:i/>
          <w:iCs/>
          <w:color w:val="000000" w:themeColor="text1"/>
          <w14:textFill>
            <w14:solidFill>
              <w14:schemeClr w14:val="tx1"/>
            </w14:solidFill>
          </w14:textFill>
        </w:rPr>
        <w:t>r</w:t>
      </w:r>
      <w:r>
        <w:rPr>
          <w:color w:val="000000" w:themeColor="text1"/>
          <w14:textFill>
            <w14:solidFill>
              <w14:schemeClr w14:val="tx1"/>
            </w14:solidFill>
          </w14:textFill>
        </w:rPr>
        <w:t>远远小于架设高度</w:t>
      </w:r>
      <w:r>
        <w:rPr>
          <w:i/>
          <w:iCs/>
          <w:color w:val="000000" w:themeColor="text1"/>
          <w14:textFill>
            <w14:solidFill>
              <w14:schemeClr w14:val="tx1"/>
            </w14:solidFill>
          </w14:textFill>
        </w:rPr>
        <w:t>h</w:t>
      </w:r>
      <w:r>
        <w:rPr>
          <w:color w:val="000000" w:themeColor="text1"/>
          <w14:textFill>
            <w14:solidFill>
              <w14:schemeClr w14:val="tx1"/>
            </w14:solidFill>
          </w14:textFill>
        </w:rPr>
        <w:t>，所以等效电荷的位置可以认为是在输电导线的几何中心。</w:t>
      </w:r>
    </w:p>
    <w:p w14:paraId="3388025C">
      <w:pPr>
        <w:ind w:firstLine="480"/>
        <w:rPr>
          <w:color w:val="000000" w:themeColor="text1"/>
          <w14:textFill>
            <w14:solidFill>
              <w14:schemeClr w14:val="tx1"/>
            </w14:solidFill>
          </w14:textFill>
        </w:rPr>
      </w:pPr>
      <w:r>
        <w:rPr>
          <w:color w:val="000000" w:themeColor="text1"/>
          <w14:textFill>
            <w14:solidFill>
              <w14:schemeClr w14:val="tx1"/>
            </w14:solidFill>
          </w14:textFill>
        </w:rPr>
        <w:t>设输电线路为无限长并且平行于地面，地面可视为良导体，利用镜像法计算输电线上的等效电荷。</w:t>
      </w:r>
    </w:p>
    <w:p w14:paraId="03CF44B0">
      <w:pPr>
        <w:ind w:firstLine="480"/>
        <w:rPr>
          <w:color w:val="000000" w:themeColor="text1"/>
          <w14:textFill>
            <w14:solidFill>
              <w14:schemeClr w14:val="tx1"/>
            </w14:solidFill>
          </w14:textFill>
        </w:rPr>
      </w:pPr>
      <w:r>
        <w:rPr>
          <w:color w:val="000000" w:themeColor="text1"/>
          <w14:textFill>
            <w14:solidFill>
              <w14:schemeClr w14:val="tx1"/>
            </w14:solidFill>
          </w14:textFill>
        </w:rPr>
        <w:t>为了计算多导线线路中导线上的等效电荷，可写出下列矩阵方程：</w:t>
      </w:r>
    </w:p>
    <w:p w14:paraId="418ACF6E">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110105" cy="941705"/>
            <wp:effectExtent l="0" t="0" r="4445" b="10795"/>
            <wp:docPr id="408" name="IM 408"/>
            <wp:cNvGraphicFramePr/>
            <a:graphic xmlns:a="http://schemas.openxmlformats.org/drawingml/2006/main">
              <a:graphicData uri="http://schemas.openxmlformats.org/drawingml/2006/picture">
                <pic:pic xmlns:pic="http://schemas.openxmlformats.org/drawingml/2006/picture">
                  <pic:nvPicPr>
                    <pic:cNvPr id="408" name="IM 408"/>
                    <pic:cNvPicPr/>
                  </pic:nvPicPr>
                  <pic:blipFill>
                    <a:blip r:embed="rId25"/>
                    <a:stretch>
                      <a:fillRect/>
                    </a:stretch>
                  </pic:blipFill>
                  <pic:spPr>
                    <a:xfrm>
                      <a:off x="0" y="0"/>
                      <a:ext cx="2110718" cy="942321"/>
                    </a:xfrm>
                    <a:prstGeom prst="rect">
                      <a:avLst/>
                    </a:prstGeom>
                  </pic:spPr>
                </pic:pic>
              </a:graphicData>
            </a:graphic>
          </wp:inline>
        </w:drawing>
      </w:r>
    </w:p>
    <w:p w14:paraId="05449158">
      <w:pPr>
        <w:ind w:firstLine="480"/>
        <w:rPr>
          <w:color w:val="000000" w:themeColor="text1"/>
          <w14:textFill>
            <w14:solidFill>
              <w14:schemeClr w14:val="tx1"/>
            </w14:solidFill>
          </w14:textFill>
        </w:rPr>
      </w:pPr>
      <w:r>
        <w:rPr>
          <w:color w:val="000000" w:themeColor="text1"/>
          <w14:textFill>
            <w14:solidFill>
              <w14:schemeClr w14:val="tx1"/>
            </w14:solidFill>
          </w14:textFill>
        </w:rPr>
        <w:t>式中：</w:t>
      </w:r>
      <w:r>
        <w:rPr>
          <w:i/>
          <w:iCs/>
          <w:color w:val="000000" w:themeColor="text1"/>
          <w14:textFill>
            <w14:solidFill>
              <w14:schemeClr w14:val="tx1"/>
            </w14:solidFill>
          </w14:textFill>
        </w:rPr>
        <w:t>U</w:t>
      </w:r>
      <w:r>
        <w:rPr>
          <w:color w:val="000000" w:themeColor="text1"/>
          <w14:textFill>
            <w14:solidFill>
              <w14:schemeClr w14:val="tx1"/>
            </w14:solidFill>
          </w14:textFill>
        </w:rPr>
        <w:t>——各导线对地电压的单列矩阵；</w:t>
      </w:r>
    </w:p>
    <w:p w14:paraId="3288A367">
      <w:pPr>
        <w:ind w:firstLine="1200" w:firstLineChars="500"/>
        <w:rPr>
          <w:color w:val="000000" w:themeColor="text1"/>
          <w14:textFill>
            <w14:solidFill>
              <w14:schemeClr w14:val="tx1"/>
            </w14:solidFill>
          </w14:textFill>
        </w:rPr>
      </w:pPr>
      <w:r>
        <w:rPr>
          <w:i/>
          <w:iCs/>
          <w:color w:val="000000" w:themeColor="text1"/>
          <w14:textFill>
            <w14:solidFill>
              <w14:schemeClr w14:val="tx1"/>
            </w14:solidFill>
          </w14:textFill>
        </w:rPr>
        <w:t>Q</w:t>
      </w:r>
      <w:r>
        <w:rPr>
          <w:color w:val="000000" w:themeColor="text1"/>
          <w14:textFill>
            <w14:solidFill>
              <w14:schemeClr w14:val="tx1"/>
            </w14:solidFill>
          </w14:textFill>
        </w:rPr>
        <w:t>——各导线上等效电荷的单列矩阵；</w:t>
      </w:r>
    </w:p>
    <w:p w14:paraId="3EF1765E">
      <w:pPr>
        <w:ind w:firstLine="1200" w:firstLineChars="500"/>
        <w:rPr>
          <w:color w:val="000000" w:themeColor="text1"/>
          <w14:textFill>
            <w14:solidFill>
              <w14:schemeClr w14:val="tx1"/>
            </w14:solidFill>
          </w14:textFill>
        </w:rPr>
      </w:pPr>
      <w:r>
        <w:rPr>
          <w:i/>
          <w:iCs/>
          <w:color w:val="000000" w:themeColor="text1"/>
          <w14:textFill>
            <w14:solidFill>
              <w14:schemeClr w14:val="tx1"/>
            </w14:solidFill>
          </w14:textFill>
        </w:rPr>
        <w:t>λ</w:t>
      </w:r>
      <w:r>
        <w:rPr>
          <w:color w:val="000000" w:themeColor="text1"/>
          <w14:textFill>
            <w14:solidFill>
              <w14:schemeClr w14:val="tx1"/>
            </w14:solidFill>
          </w14:textFill>
        </w:rPr>
        <w:t>——各导线的电位系数组成的</w:t>
      </w:r>
      <w:r>
        <w:rPr>
          <w:i/>
          <w:iCs/>
          <w:color w:val="000000" w:themeColor="text1"/>
          <w14:textFill>
            <w14:solidFill>
              <w14:schemeClr w14:val="tx1"/>
            </w14:solidFill>
          </w14:textFill>
        </w:rPr>
        <w:t>m</w:t>
      </w:r>
      <w:r>
        <w:rPr>
          <w:color w:val="000000" w:themeColor="text1"/>
          <w14:textFill>
            <w14:solidFill>
              <w14:schemeClr w14:val="tx1"/>
            </w14:solidFill>
          </w14:textFill>
        </w:rPr>
        <w:t>阶方阵（</w:t>
      </w:r>
      <w:r>
        <w:rPr>
          <w:i/>
          <w:iCs/>
          <w:color w:val="000000" w:themeColor="text1"/>
          <w14:textFill>
            <w14:solidFill>
              <w14:schemeClr w14:val="tx1"/>
            </w14:solidFill>
          </w14:textFill>
        </w:rPr>
        <w:t>m</w:t>
      </w:r>
      <w:r>
        <w:rPr>
          <w:color w:val="000000" w:themeColor="text1"/>
          <w14:textFill>
            <w14:solidFill>
              <w14:schemeClr w14:val="tx1"/>
            </w14:solidFill>
          </w14:textFill>
        </w:rPr>
        <w:t>为导线数目）。</w:t>
      </w:r>
    </w:p>
    <w:p w14:paraId="5056C6B8">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i/>
          <w:iCs/>
          <w:color w:val="000000" w:themeColor="text1"/>
          <w14:textFill>
            <w14:solidFill>
              <w14:schemeClr w14:val="tx1"/>
            </w14:solidFill>
          </w14:textFill>
        </w:rPr>
        <w:t>U</w:t>
      </w:r>
      <w:r>
        <w:rPr>
          <w:color w:val="000000" w:themeColor="text1"/>
          <w14:textFill>
            <w14:solidFill>
              <w14:schemeClr w14:val="tx1"/>
            </w14:solidFill>
          </w14:textFill>
        </w:rPr>
        <w:t>]矩阵可由输电线的电压和相位确定，从环境保护考虑以额定电压的1.05倍作为计算电压。对于750kV三相导线，各相导线对地电压为：</w:t>
      </w:r>
    </w:p>
    <w:p w14:paraId="2C126121">
      <w:pPr>
        <w:ind w:firstLine="0" w:firstLineChars="0"/>
        <w:jc w:val="center"/>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drawing>
          <wp:inline distT="0" distB="0" distL="0" distR="0">
            <wp:extent cx="5715" cy="179070"/>
            <wp:effectExtent l="0" t="0" r="13335" b="11430"/>
            <wp:docPr id="410" name="IM 410"/>
            <wp:cNvGraphicFramePr/>
            <a:graphic xmlns:a="http://schemas.openxmlformats.org/drawingml/2006/main">
              <a:graphicData uri="http://schemas.openxmlformats.org/drawingml/2006/picture">
                <pic:pic xmlns:pic="http://schemas.openxmlformats.org/drawingml/2006/picture">
                  <pic:nvPicPr>
                    <pic:cNvPr id="410" name="IM 410"/>
                    <pic:cNvPicPr/>
                  </pic:nvPicPr>
                  <pic:blipFill>
                    <a:blip r:embed="rId26"/>
                    <a:stretch>
                      <a:fillRect/>
                    </a:stretch>
                  </pic:blipFill>
                  <pic:spPr>
                    <a:xfrm>
                      <a:off x="0" y="0"/>
                      <a:ext cx="6025" cy="179603"/>
                    </a:xfrm>
                    <a:prstGeom prst="rect">
                      <a:avLst/>
                    </a:prstGeom>
                  </pic:spPr>
                </pic:pic>
              </a:graphicData>
            </a:graphic>
          </wp:inline>
        </w:drawing>
      </w:r>
      <w:r>
        <w:rPr>
          <w:i/>
          <w:iCs/>
          <w:color w:val="000000" w:themeColor="text1"/>
          <w:sz w:val="32"/>
          <w:szCs w:val="32"/>
          <w14:textFill>
            <w14:solidFill>
              <w14:schemeClr w14:val="tx1"/>
            </w14:solidFill>
          </w14:textFill>
        </w:rPr>
        <w:t>U</w:t>
      </w:r>
      <w:r>
        <w:rPr>
          <w:color w:val="000000" w:themeColor="text1"/>
          <w:sz w:val="32"/>
          <w:szCs w:val="32"/>
          <w:vertAlign w:val="subscript"/>
          <w14:textFill>
            <w14:solidFill>
              <w14:schemeClr w14:val="tx1"/>
            </w14:solidFill>
          </w14:textFill>
        </w:rPr>
        <w:t>A</w:t>
      </w:r>
      <w:r>
        <w:rPr>
          <w:color w:val="000000" w:themeColor="text1"/>
          <w:sz w:val="32"/>
          <w:szCs w:val="32"/>
          <w14:textFill>
            <w14:solidFill>
              <w14:schemeClr w14:val="tx1"/>
            </w14:solidFill>
          </w14:textFill>
        </w:rPr>
        <w:drawing>
          <wp:inline distT="0" distB="0" distL="0" distR="0">
            <wp:extent cx="5715" cy="179070"/>
            <wp:effectExtent l="0" t="0" r="13335" b="11430"/>
            <wp:docPr id="412" name="IM 412"/>
            <wp:cNvGraphicFramePr/>
            <a:graphic xmlns:a="http://schemas.openxmlformats.org/drawingml/2006/main">
              <a:graphicData uri="http://schemas.openxmlformats.org/drawingml/2006/picture">
                <pic:pic xmlns:pic="http://schemas.openxmlformats.org/drawingml/2006/picture">
                  <pic:nvPicPr>
                    <pic:cNvPr id="412" name="IM 412"/>
                    <pic:cNvPicPr/>
                  </pic:nvPicPr>
                  <pic:blipFill>
                    <a:blip r:embed="rId27"/>
                    <a:stretch>
                      <a:fillRect/>
                    </a:stretch>
                  </pic:blipFill>
                  <pic:spPr>
                    <a:xfrm>
                      <a:off x="0" y="0"/>
                      <a:ext cx="6025" cy="179603"/>
                    </a:xfrm>
                    <a:prstGeom prst="rect">
                      <a:avLst/>
                    </a:prstGeom>
                  </pic:spPr>
                </pic:pic>
              </a:graphicData>
            </a:graphic>
          </wp:inline>
        </w:drawing>
      </w:r>
      <w:r>
        <w:rPr>
          <w:color w:val="000000" w:themeColor="text1"/>
          <w:sz w:val="32"/>
          <w:szCs w:val="32"/>
          <w14:textFill>
            <w14:solidFill>
              <w14:schemeClr w14:val="tx1"/>
            </w14:solidFill>
          </w14:textFill>
        </w:rPr>
        <w:t>=</w:t>
      </w:r>
      <w:r>
        <w:rPr>
          <w:color w:val="000000" w:themeColor="text1"/>
          <w:sz w:val="32"/>
          <w:szCs w:val="32"/>
          <w14:textFill>
            <w14:solidFill>
              <w14:schemeClr w14:val="tx1"/>
            </w14:solidFill>
          </w14:textFill>
        </w:rPr>
        <w:drawing>
          <wp:inline distT="0" distB="0" distL="0" distR="0">
            <wp:extent cx="5715" cy="179070"/>
            <wp:effectExtent l="0" t="0" r="13335" b="11430"/>
            <wp:docPr id="414" name="IM 414"/>
            <wp:cNvGraphicFramePr/>
            <a:graphic xmlns:a="http://schemas.openxmlformats.org/drawingml/2006/main">
              <a:graphicData uri="http://schemas.openxmlformats.org/drawingml/2006/picture">
                <pic:pic xmlns:pic="http://schemas.openxmlformats.org/drawingml/2006/picture">
                  <pic:nvPicPr>
                    <pic:cNvPr id="414" name="IM 414"/>
                    <pic:cNvPicPr/>
                  </pic:nvPicPr>
                  <pic:blipFill>
                    <a:blip r:embed="rId28"/>
                    <a:stretch>
                      <a:fillRect/>
                    </a:stretch>
                  </pic:blipFill>
                  <pic:spPr>
                    <a:xfrm>
                      <a:off x="0" y="0"/>
                      <a:ext cx="6025" cy="179603"/>
                    </a:xfrm>
                    <a:prstGeom prst="rect">
                      <a:avLst/>
                    </a:prstGeom>
                  </pic:spPr>
                </pic:pic>
              </a:graphicData>
            </a:graphic>
          </wp:inline>
        </w:drawing>
      </w:r>
      <w:r>
        <w:rPr>
          <w:i/>
          <w:iCs/>
          <w:color w:val="000000" w:themeColor="text1"/>
          <w:sz w:val="32"/>
          <w:szCs w:val="32"/>
          <w14:textFill>
            <w14:solidFill>
              <w14:schemeClr w14:val="tx1"/>
            </w14:solidFill>
          </w14:textFill>
        </w:rPr>
        <w:t>U</w:t>
      </w:r>
      <w:r>
        <w:rPr>
          <w:color w:val="000000" w:themeColor="text1"/>
          <w:sz w:val="32"/>
          <w:szCs w:val="32"/>
          <w:vertAlign w:val="subscript"/>
          <w14:textFill>
            <w14:solidFill>
              <w14:schemeClr w14:val="tx1"/>
            </w14:solidFill>
          </w14:textFill>
        </w:rPr>
        <w:t>B</w:t>
      </w:r>
      <w:r>
        <w:rPr>
          <w:color w:val="000000" w:themeColor="text1"/>
          <w:sz w:val="32"/>
          <w:szCs w:val="32"/>
          <w14:textFill>
            <w14:solidFill>
              <w14:schemeClr w14:val="tx1"/>
            </w14:solidFill>
          </w14:textFill>
        </w:rPr>
        <w:drawing>
          <wp:inline distT="0" distB="0" distL="0" distR="0">
            <wp:extent cx="5715" cy="179070"/>
            <wp:effectExtent l="0" t="0" r="13335" b="11430"/>
            <wp:docPr id="416" name="IM 416"/>
            <wp:cNvGraphicFramePr/>
            <a:graphic xmlns:a="http://schemas.openxmlformats.org/drawingml/2006/main">
              <a:graphicData uri="http://schemas.openxmlformats.org/drawingml/2006/picture">
                <pic:pic xmlns:pic="http://schemas.openxmlformats.org/drawingml/2006/picture">
                  <pic:nvPicPr>
                    <pic:cNvPr id="416" name="IM 416"/>
                    <pic:cNvPicPr/>
                  </pic:nvPicPr>
                  <pic:blipFill>
                    <a:blip r:embed="rId29"/>
                    <a:stretch>
                      <a:fillRect/>
                    </a:stretch>
                  </pic:blipFill>
                  <pic:spPr>
                    <a:xfrm>
                      <a:off x="0" y="0"/>
                      <a:ext cx="6025" cy="179603"/>
                    </a:xfrm>
                    <a:prstGeom prst="rect">
                      <a:avLst/>
                    </a:prstGeom>
                  </pic:spPr>
                </pic:pic>
              </a:graphicData>
            </a:graphic>
          </wp:inline>
        </w:drawing>
      </w:r>
      <w:r>
        <w:rPr>
          <w:color w:val="000000" w:themeColor="text1"/>
          <w:sz w:val="32"/>
          <w:szCs w:val="32"/>
          <w14:textFill>
            <w14:solidFill>
              <w14:schemeClr w14:val="tx1"/>
            </w14:solidFill>
          </w14:textFill>
        </w:rPr>
        <w:t>=</w:t>
      </w:r>
      <w:r>
        <w:rPr>
          <w:color w:val="000000" w:themeColor="text1"/>
          <w:sz w:val="32"/>
          <w:szCs w:val="32"/>
          <w14:textFill>
            <w14:solidFill>
              <w14:schemeClr w14:val="tx1"/>
            </w14:solidFill>
          </w14:textFill>
        </w:rPr>
        <w:drawing>
          <wp:inline distT="0" distB="0" distL="0" distR="0">
            <wp:extent cx="5715" cy="179070"/>
            <wp:effectExtent l="0" t="0" r="13335" b="11430"/>
            <wp:docPr id="418" name="IM 418"/>
            <wp:cNvGraphicFramePr/>
            <a:graphic xmlns:a="http://schemas.openxmlformats.org/drawingml/2006/main">
              <a:graphicData uri="http://schemas.openxmlformats.org/drawingml/2006/picture">
                <pic:pic xmlns:pic="http://schemas.openxmlformats.org/drawingml/2006/picture">
                  <pic:nvPicPr>
                    <pic:cNvPr id="418" name="IM 418"/>
                    <pic:cNvPicPr/>
                  </pic:nvPicPr>
                  <pic:blipFill>
                    <a:blip r:embed="rId30"/>
                    <a:stretch>
                      <a:fillRect/>
                    </a:stretch>
                  </pic:blipFill>
                  <pic:spPr>
                    <a:xfrm>
                      <a:off x="0" y="0"/>
                      <a:ext cx="6025" cy="179603"/>
                    </a:xfrm>
                    <a:prstGeom prst="rect">
                      <a:avLst/>
                    </a:prstGeom>
                  </pic:spPr>
                </pic:pic>
              </a:graphicData>
            </a:graphic>
          </wp:inline>
        </w:drawing>
      </w:r>
      <w:r>
        <w:rPr>
          <w:i/>
          <w:iCs/>
          <w:color w:val="000000" w:themeColor="text1"/>
          <w:sz w:val="32"/>
          <w:szCs w:val="32"/>
          <w14:textFill>
            <w14:solidFill>
              <w14:schemeClr w14:val="tx1"/>
            </w14:solidFill>
          </w14:textFill>
        </w:rPr>
        <w:t>U</w:t>
      </w:r>
      <w:r>
        <w:rPr>
          <w:color w:val="000000" w:themeColor="text1"/>
          <w:sz w:val="32"/>
          <w:szCs w:val="32"/>
          <w:vertAlign w:val="subscript"/>
          <w14:textFill>
            <w14:solidFill>
              <w14:schemeClr w14:val="tx1"/>
            </w14:solidFill>
          </w14:textFill>
        </w:rPr>
        <w:t>C</w:t>
      </w:r>
      <w:r>
        <w:rPr>
          <w:color w:val="000000" w:themeColor="text1"/>
          <w:sz w:val="32"/>
          <w:szCs w:val="32"/>
          <w14:textFill>
            <w14:solidFill>
              <w14:schemeClr w14:val="tx1"/>
            </w14:solidFill>
          </w14:textFill>
        </w:rPr>
        <w:drawing>
          <wp:inline distT="0" distB="0" distL="0" distR="0">
            <wp:extent cx="5715" cy="179070"/>
            <wp:effectExtent l="0" t="0" r="13335" b="11430"/>
            <wp:docPr id="420" name="IM 420"/>
            <wp:cNvGraphicFramePr/>
            <a:graphic xmlns:a="http://schemas.openxmlformats.org/drawingml/2006/main">
              <a:graphicData uri="http://schemas.openxmlformats.org/drawingml/2006/picture">
                <pic:pic xmlns:pic="http://schemas.openxmlformats.org/drawingml/2006/picture">
                  <pic:nvPicPr>
                    <pic:cNvPr id="420" name="IM 420"/>
                    <pic:cNvPicPr/>
                  </pic:nvPicPr>
                  <pic:blipFill>
                    <a:blip r:embed="rId31"/>
                    <a:stretch>
                      <a:fillRect/>
                    </a:stretch>
                  </pic:blipFill>
                  <pic:spPr>
                    <a:xfrm>
                      <a:off x="0" y="0"/>
                      <a:ext cx="6025" cy="179603"/>
                    </a:xfrm>
                    <a:prstGeom prst="rect">
                      <a:avLst/>
                    </a:prstGeom>
                  </pic:spPr>
                </pic:pic>
              </a:graphicData>
            </a:graphic>
          </wp:inline>
        </w:drawing>
      </w:r>
    </w:p>
    <w:p w14:paraId="5824F21F">
      <w:pPr>
        <w:ind w:firstLine="0" w:firstLineChars="0"/>
        <w:jc w:val="center"/>
        <w:rPr>
          <w:color w:val="000000" w:themeColor="text1"/>
          <w14:textFill>
            <w14:solidFill>
              <w14:schemeClr w14:val="tx1"/>
            </w14:solidFill>
          </w14:textFill>
        </w:rPr>
      </w:pPr>
      <w:r>
        <w:rPr>
          <w:color w:val="000000" w:themeColor="text1"/>
          <w:sz w:val="28"/>
          <w:szCs w:val="28"/>
          <w14:textFill>
            <w14:solidFill>
              <w14:schemeClr w14:val="tx1"/>
            </w14:solidFill>
          </w14:textFill>
        </w:rPr>
        <w:t>=</w:t>
      </w:r>
      <m:oMath>
        <m:f>
          <m:fPr>
            <m:ctrlPr>
              <w:rPr>
                <w:rFonts w:ascii="Cambria Math" w:hAnsi="Cambria Math"/>
                <w:i/>
                <w:color w:val="000000" w:themeColor="text1"/>
                <w:sz w:val="28"/>
                <w:szCs w:val="28"/>
                <w14:textFill>
                  <w14:solidFill>
                    <w14:schemeClr w14:val="tx1"/>
                  </w14:solidFill>
                </w14:textFill>
              </w:rPr>
            </m:ctrlPr>
          </m:fPr>
          <m:num>
            <m:r>
              <m:rPr/>
              <w:rPr>
                <w:rFonts w:ascii="Cambria Math" w:hAnsi="Cambria Math"/>
                <w:color w:val="000000" w:themeColor="text1"/>
                <w:sz w:val="28"/>
                <w:szCs w:val="28"/>
                <w14:textFill>
                  <w14:solidFill>
                    <w14:schemeClr w14:val="tx1"/>
                  </w14:solidFill>
                </w14:textFill>
              </w:rPr>
              <m:t>750×1.05</m:t>
            </m:r>
            <m:ctrlPr>
              <w:rPr>
                <w:rFonts w:ascii="Cambria Math" w:hAnsi="Cambria Math"/>
                <w:i/>
                <w:color w:val="000000" w:themeColor="text1"/>
                <w:sz w:val="28"/>
                <w:szCs w:val="28"/>
                <w14:textFill>
                  <w14:solidFill>
                    <w14:schemeClr w14:val="tx1"/>
                  </w14:solidFill>
                </w14:textFill>
              </w:rPr>
            </m:ctrlPr>
          </m:num>
          <m:den>
            <m:rad>
              <m:radPr>
                <m:degHide m:val="1"/>
                <m:ctrlPr>
                  <w:rPr>
                    <w:rFonts w:ascii="Cambria Math" w:hAnsi="Cambria Math"/>
                    <w:i/>
                    <w:color w:val="000000" w:themeColor="text1"/>
                    <w:sz w:val="28"/>
                    <w:szCs w:val="28"/>
                    <w14:textFill>
                      <w14:solidFill>
                        <w14:schemeClr w14:val="tx1"/>
                      </w14:solidFill>
                    </w14:textFill>
                  </w:rPr>
                </m:ctrlPr>
              </m:radPr>
              <m:deg>
                <m:ctrlPr>
                  <w:rPr>
                    <w:rFonts w:ascii="Cambria Math" w:hAnsi="Cambria Math"/>
                    <w:i/>
                    <w:color w:val="000000" w:themeColor="text1"/>
                    <w:sz w:val="28"/>
                    <w:szCs w:val="28"/>
                    <w14:textFill>
                      <w14:solidFill>
                        <w14:schemeClr w14:val="tx1"/>
                      </w14:solidFill>
                    </w14:textFill>
                  </w:rPr>
                </m:ctrlPr>
              </m:deg>
              <m:e>
                <m:r>
                  <m:rPr/>
                  <w:rPr>
                    <w:rFonts w:ascii="Cambria Math" w:hAnsi="Cambria Math"/>
                    <w:color w:val="000000" w:themeColor="text1"/>
                    <w:sz w:val="28"/>
                    <w:szCs w:val="28"/>
                    <w14:textFill>
                      <w14:solidFill>
                        <w14:schemeClr w14:val="tx1"/>
                      </w14:solidFill>
                    </w14:textFill>
                  </w:rPr>
                  <m:t>3</m:t>
                </m:r>
                <m:ctrlPr>
                  <w:rPr>
                    <w:rFonts w:ascii="Cambria Math" w:hAnsi="Cambria Math"/>
                    <w:i/>
                    <w:color w:val="000000" w:themeColor="text1"/>
                    <w:sz w:val="28"/>
                    <w:szCs w:val="28"/>
                    <w14:textFill>
                      <w14:solidFill>
                        <w14:schemeClr w14:val="tx1"/>
                      </w14:solidFill>
                    </w14:textFill>
                  </w:rPr>
                </m:ctrlPr>
              </m:e>
            </m:rad>
            <m:ctrlPr>
              <w:rPr>
                <w:rFonts w:ascii="Cambria Math" w:hAnsi="Cambria Math"/>
                <w:i/>
                <w:color w:val="000000" w:themeColor="text1"/>
                <w:sz w:val="28"/>
                <w:szCs w:val="28"/>
                <w14:textFill>
                  <w14:solidFill>
                    <w14:schemeClr w14:val="tx1"/>
                  </w14:solidFill>
                </w14:textFill>
              </w:rPr>
            </m:ctrlPr>
          </m:den>
        </m:f>
      </m:oMath>
    </w:p>
    <w:p w14:paraId="1C6985E0">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=454.7kV</w:t>
      </w:r>
    </w:p>
    <w:p w14:paraId="1741AA75">
      <w:pPr>
        <w:ind w:firstLine="480"/>
        <w:rPr>
          <w:color w:val="000000" w:themeColor="text1"/>
          <w14:textFill>
            <w14:solidFill>
              <w14:schemeClr w14:val="tx1"/>
            </w14:solidFill>
          </w14:textFill>
        </w:rPr>
      </w:pPr>
      <w:r>
        <w:rPr>
          <w:color w:val="000000" w:themeColor="text1"/>
          <w14:textFill>
            <w14:solidFill>
              <w14:schemeClr w14:val="tx1"/>
            </w14:solidFill>
          </w14:textFill>
        </w:rPr>
        <w:t>各相导线对地电压分量为：</w:t>
      </w:r>
    </w:p>
    <w:p w14:paraId="4D351A4D">
      <w:pPr>
        <w:ind w:firstLine="3360" w:firstLineChars="1400"/>
        <w:rPr>
          <w:color w:val="000000" w:themeColor="text1"/>
          <w14:textFill>
            <w14:solidFill>
              <w14:schemeClr w14:val="tx1"/>
            </w14:solidFill>
          </w14:textFill>
        </w:rPr>
      </w:pPr>
      <w:r>
        <w:rPr>
          <w:i/>
          <w:iCs/>
          <w:color w:val="000000" w:themeColor="text1"/>
          <w14:textFill>
            <w14:solidFill>
              <w14:schemeClr w14:val="tx1"/>
            </w14:solidFill>
          </w14:textFill>
        </w:rPr>
        <w:t>U</w:t>
      </w:r>
      <w:r>
        <w:rPr>
          <w:color w:val="000000" w:themeColor="text1"/>
          <w:vertAlign w:val="subscript"/>
          <w14:textFill>
            <w14:solidFill>
              <w14:schemeClr w14:val="tx1"/>
            </w14:solidFill>
          </w14:textFill>
        </w:rPr>
        <w:t>A</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454.7+j0</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kV</w:t>
      </w:r>
    </w:p>
    <w:p w14:paraId="093EE6F9">
      <w:pPr>
        <w:ind w:firstLine="3360" w:firstLineChars="1400"/>
        <w:rPr>
          <w:color w:val="000000" w:themeColor="text1"/>
          <w14:textFill>
            <w14:solidFill>
              <w14:schemeClr w14:val="tx1"/>
            </w14:solidFill>
          </w14:textFill>
        </w:rPr>
      </w:pPr>
      <w:r>
        <w:rPr>
          <w:i/>
          <w:iCs/>
          <w:color w:val="000000" w:themeColor="text1"/>
          <w14:textFill>
            <w14:solidFill>
              <w14:schemeClr w14:val="tx1"/>
            </w14:solidFill>
          </w14:textFill>
        </w:rPr>
        <w:t>U</w:t>
      </w:r>
      <w:r>
        <w:rPr>
          <w:color w:val="000000" w:themeColor="text1"/>
          <w:vertAlign w:val="subscript"/>
          <w14:textFill>
            <w14:solidFill>
              <w14:schemeClr w14:val="tx1"/>
            </w14:solidFill>
          </w14:textFill>
        </w:rPr>
        <w:t>B</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-227.4+j393.8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kV</w:t>
      </w:r>
    </w:p>
    <w:p w14:paraId="4D2FA09E">
      <w:pPr>
        <w:ind w:firstLine="3360" w:firstLineChars="1400"/>
        <w:rPr>
          <w:color w:val="000000" w:themeColor="text1"/>
          <w14:textFill>
            <w14:solidFill>
              <w14:schemeClr w14:val="tx1"/>
            </w14:solidFill>
          </w14:textFill>
        </w:rPr>
      </w:pPr>
      <w:r>
        <w:rPr>
          <w:i/>
          <w:iCs/>
          <w:color w:val="000000" w:themeColor="text1"/>
          <w14:textFill>
            <w14:solidFill>
              <w14:schemeClr w14:val="tx1"/>
            </w14:solidFill>
          </w14:textFill>
        </w:rPr>
        <w:t>U</w:t>
      </w:r>
      <w:r>
        <w:rPr>
          <w:color w:val="000000" w:themeColor="text1"/>
          <w:vertAlign w:val="subscript"/>
          <w14:textFill>
            <w14:solidFill>
              <w14:schemeClr w14:val="tx1"/>
            </w14:solidFill>
          </w14:textFill>
        </w:rPr>
        <w:t>C</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-227.4-j393.8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kV</w:t>
      </w:r>
    </w:p>
    <w:p w14:paraId="3731B626">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619375" cy="2275205"/>
            <wp:effectExtent l="0" t="0" r="9525" b="10795"/>
            <wp:docPr id="426" name="IM 426"/>
            <wp:cNvGraphicFramePr/>
            <a:graphic xmlns:a="http://schemas.openxmlformats.org/drawingml/2006/main">
              <a:graphicData uri="http://schemas.openxmlformats.org/drawingml/2006/picture">
                <pic:pic xmlns:pic="http://schemas.openxmlformats.org/drawingml/2006/picture">
                  <pic:nvPicPr>
                    <pic:cNvPr id="426" name="IM 426"/>
                    <pic:cNvPicPr/>
                  </pic:nvPicPr>
                  <pic:blipFill>
                    <a:blip r:embed="rId32"/>
                    <a:stretch>
                      <a:fillRect/>
                    </a:stretch>
                  </pic:blipFill>
                  <pic:spPr>
                    <a:xfrm>
                      <a:off x="0" y="0"/>
                      <a:ext cx="2619755" cy="2275332"/>
                    </a:xfrm>
                    <a:prstGeom prst="rect">
                      <a:avLst/>
                    </a:prstGeom>
                  </pic:spPr>
                </pic:pic>
              </a:graphicData>
            </a:graphic>
          </wp:inline>
        </w:drawing>
      </w:r>
    </w:p>
    <w:p w14:paraId="0925A71A">
      <w:pPr>
        <w:pStyle w:val="58"/>
        <w:spacing w:after="120"/>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图6.</w:t>
      </w:r>
      <w:r>
        <w:rPr>
          <w:color w:val="000000" w:themeColor="text1"/>
          <w:sz w:val="21"/>
          <w:szCs w:val="21"/>
          <w14:textFill>
            <w14:solidFill>
              <w14:schemeClr w14:val="tx1"/>
            </w14:solidFill>
          </w14:textFill>
        </w:rPr>
        <w:t>1</w:t>
      </w:r>
      <w:r>
        <w:rPr>
          <w:rFonts w:hint="default"/>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1</w:t>
      </w:r>
      <w:r>
        <w:rPr>
          <w:rFonts w:hint="default"/>
          <w:color w:val="000000" w:themeColor="text1"/>
          <w:sz w:val="21"/>
          <w:szCs w:val="21"/>
          <w14:textFill>
            <w14:solidFill>
              <w14:schemeClr w14:val="tx1"/>
            </w14:solidFill>
          </w14:textFill>
        </w:rPr>
        <w:t xml:space="preserve">  对地电压计算图</w:t>
      </w:r>
    </w:p>
    <w:p w14:paraId="04883504">
      <w:pPr>
        <w:ind w:firstLine="480"/>
        <w:rPr>
          <w:color w:val="000000" w:themeColor="text1"/>
          <w14:textFill>
            <w14:solidFill>
              <w14:schemeClr w14:val="tx1"/>
            </w14:solidFill>
          </w14:textFill>
        </w:rPr>
      </w:pPr>
      <w:r>
        <w:rPr>
          <w:color w:val="000000" w:themeColor="text1"/>
          <w14:textFill>
            <w14:solidFill>
              <w14:schemeClr w14:val="tx1"/>
            </w14:solidFill>
          </w14:textFill>
        </w:rPr>
        <w:t>[λ]矩阵由镜像原理求得。地面为电位等于零的平面，地面的感应电荷可由对应地面导线的镜像电荷代替，用</w:t>
      </w:r>
      <w:r>
        <w:rPr>
          <w:i/>
          <w:iCs/>
          <w:color w:val="000000" w:themeColor="text1"/>
          <w14:textFill>
            <w14:solidFill>
              <w14:schemeClr w14:val="tx1"/>
            </w14:solidFill>
          </w14:textFill>
        </w:rPr>
        <w:t>i</w:t>
      </w:r>
      <w:r>
        <w:rPr>
          <w:color w:val="000000" w:themeColor="text1"/>
          <w14:textFill>
            <w14:solidFill>
              <w14:schemeClr w14:val="tx1"/>
            </w14:solidFill>
          </w14:textFill>
        </w:rPr>
        <w:t>，</w:t>
      </w:r>
      <w:r>
        <w:rPr>
          <w:i/>
          <w:iCs/>
          <w:color w:val="000000" w:themeColor="text1"/>
          <w14:textFill>
            <w14:solidFill>
              <w14:schemeClr w14:val="tx1"/>
            </w14:solidFill>
          </w14:textFill>
        </w:rPr>
        <w:t>j</w:t>
      </w:r>
      <w:r>
        <w:rPr>
          <w:color w:val="000000" w:themeColor="text1"/>
          <w14:textFill>
            <w14:solidFill>
              <w14:schemeClr w14:val="tx1"/>
            </w14:solidFill>
          </w14:textFill>
        </w:rPr>
        <w:t>表示相互平行的实际导线，用</w:t>
      </w:r>
      <w:r>
        <w:rPr>
          <w:i/>
          <w:iCs/>
          <w:color w:val="000000" w:themeColor="text1"/>
          <w14:textFill>
            <w14:solidFill>
              <w14:schemeClr w14:val="tx1"/>
            </w14:solidFill>
          </w14:textFill>
        </w:rPr>
        <w:t>i</w:t>
      </w:r>
      <w:r>
        <w:rPr>
          <w:color w:val="000000" w:themeColor="text1"/>
          <w14:textFill>
            <w14:solidFill>
              <w14:schemeClr w14:val="tx1"/>
            </w14:solidFill>
          </w14:textFill>
        </w:rPr>
        <w:t>′，</w:t>
      </w:r>
      <w:r>
        <w:rPr>
          <w:i/>
          <w:iCs/>
          <w:color w:val="000000" w:themeColor="text1"/>
          <w14:textFill>
            <w14:solidFill>
              <w14:schemeClr w14:val="tx1"/>
            </w14:solidFill>
          </w14:textFill>
        </w:rPr>
        <w:t>j</w:t>
      </w:r>
      <w:r>
        <w:rPr>
          <w:color w:val="000000" w:themeColor="text1"/>
          <w14:textFill>
            <w14:solidFill>
              <w14:schemeClr w14:val="tx1"/>
            </w14:solidFill>
          </w14:textFill>
        </w:rPr>
        <w:t>′表示它们的镜像，电位系数可写为：</w:t>
      </w:r>
    </w:p>
    <w:p w14:paraId="78668024">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007745" cy="409575"/>
            <wp:effectExtent l="0" t="0" r="1905" b="8890"/>
            <wp:docPr id="428" name="IM 428"/>
            <wp:cNvGraphicFramePr/>
            <a:graphic xmlns:a="http://schemas.openxmlformats.org/drawingml/2006/main">
              <a:graphicData uri="http://schemas.openxmlformats.org/drawingml/2006/picture">
                <pic:pic xmlns:pic="http://schemas.openxmlformats.org/drawingml/2006/picture">
                  <pic:nvPicPr>
                    <pic:cNvPr id="428" name="IM 428"/>
                    <pic:cNvPicPr/>
                  </pic:nvPicPr>
                  <pic:blipFill>
                    <a:blip r:embed="rId33"/>
                    <a:stretch>
                      <a:fillRect/>
                    </a:stretch>
                  </pic:blipFill>
                  <pic:spPr>
                    <a:xfrm>
                      <a:off x="0" y="0"/>
                      <a:ext cx="1008313" cy="409932"/>
                    </a:xfrm>
                    <a:prstGeom prst="rect">
                      <a:avLst/>
                    </a:prstGeom>
                  </pic:spPr>
                </pic:pic>
              </a:graphicData>
            </a:graphic>
          </wp:inline>
        </w:drawing>
      </w:r>
    </w:p>
    <w:p w14:paraId="0F4ECCEF">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971550" cy="408940"/>
            <wp:effectExtent l="0" t="0" r="0" b="10160"/>
            <wp:docPr id="432" name="IM 432"/>
            <wp:cNvGraphicFramePr/>
            <a:graphic xmlns:a="http://schemas.openxmlformats.org/drawingml/2006/main">
              <a:graphicData uri="http://schemas.openxmlformats.org/drawingml/2006/picture">
                <pic:pic xmlns:pic="http://schemas.openxmlformats.org/drawingml/2006/picture">
                  <pic:nvPicPr>
                    <pic:cNvPr id="432" name="IM 432"/>
                    <pic:cNvPicPr/>
                  </pic:nvPicPr>
                  <pic:blipFill>
                    <a:blip r:embed="rId34"/>
                    <a:stretch>
                      <a:fillRect/>
                    </a:stretch>
                  </pic:blipFill>
                  <pic:spPr>
                    <a:xfrm>
                      <a:off x="0" y="0"/>
                      <a:ext cx="971899" cy="409478"/>
                    </a:xfrm>
                    <a:prstGeom prst="rect">
                      <a:avLst/>
                    </a:prstGeom>
                  </pic:spPr>
                </pic:pic>
              </a:graphicData>
            </a:graphic>
          </wp:inline>
        </w:drawing>
      </w:r>
    </w:p>
    <w:p w14:paraId="5D189702">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λ</w:t>
      </w:r>
      <w:r>
        <w:rPr>
          <w:i/>
          <w:iCs/>
          <w:color w:val="000000" w:themeColor="text1"/>
          <w14:textFill>
            <w14:solidFill>
              <w14:schemeClr w14:val="tx1"/>
            </w14:solidFill>
          </w14:textFill>
        </w:rPr>
        <w:t>ij</w:t>
      </w:r>
      <w:r>
        <w:rPr>
          <w:color w:val="000000" w:themeColor="text1"/>
          <w14:textFill>
            <w14:solidFill>
              <w14:schemeClr w14:val="tx1"/>
            </w14:solidFill>
          </w14:textFill>
        </w:rPr>
        <w:t>=λ</w:t>
      </w:r>
      <w:r>
        <w:rPr>
          <w:i/>
          <w:iCs/>
          <w:color w:val="000000" w:themeColor="text1"/>
          <w14:textFill>
            <w14:solidFill>
              <w14:schemeClr w14:val="tx1"/>
            </w14:solidFill>
          </w14:textFill>
        </w:rPr>
        <w:t>ji</w:t>
      </w:r>
    </w:p>
    <w:p w14:paraId="13660BAF">
      <w:pPr>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式中：ε</w:t>
      </w:r>
      <w:r>
        <w:rPr>
          <w:color w:val="000000" w:themeColor="text1"/>
          <w:vertAlign w:val="subscript"/>
          <w14:textFill>
            <w14:solidFill>
              <w14:schemeClr w14:val="tx1"/>
            </w14:solidFill>
          </w14:textFill>
        </w:rPr>
        <w:t>0</w:t>
      </w:r>
      <w:r>
        <w:rPr>
          <w:color w:val="000000" w:themeColor="text1"/>
          <w14:textFill>
            <w14:solidFill>
              <w14:schemeClr w14:val="tx1"/>
            </w14:solidFill>
          </w14:textFill>
        </w:rPr>
        <w:t>——真空介电常数，ε</w:t>
      </w:r>
      <w:r>
        <w:rPr>
          <w:color w:val="000000" w:themeColor="text1"/>
          <w:vertAlign w:val="subscript"/>
          <w14:textFill>
            <w14:solidFill>
              <w14:schemeClr w14:val="tx1"/>
            </w14:solidFill>
          </w14:textFill>
        </w:rPr>
        <w:t>0</w:t>
      </w:r>
      <w:r>
        <w:rPr>
          <w:color w:val="000000" w:themeColor="text1"/>
          <w14:textFill>
            <w14:solidFill>
              <w14:schemeClr w14:val="tx1"/>
            </w14:solidFill>
          </w14:textFill>
        </w:rPr>
        <w:t>=</w:t>
      </w:r>
      <w:r>
        <w:rPr>
          <w:color w:val="000000" w:themeColor="text1"/>
          <w14:textFill>
            <w14:solidFill>
              <w14:schemeClr w14:val="tx1"/>
            </w14:solidFill>
          </w14:textFill>
        </w:rPr>
        <w:drawing>
          <wp:inline distT="0" distB="0" distL="0" distR="0">
            <wp:extent cx="229870" cy="277495"/>
            <wp:effectExtent l="0" t="0" r="17780" b="8255"/>
            <wp:docPr id="434" name="IM 434"/>
            <wp:cNvGraphicFramePr/>
            <a:graphic xmlns:a="http://schemas.openxmlformats.org/drawingml/2006/main">
              <a:graphicData uri="http://schemas.openxmlformats.org/drawingml/2006/picture">
                <pic:pic xmlns:pic="http://schemas.openxmlformats.org/drawingml/2006/picture">
                  <pic:nvPicPr>
                    <pic:cNvPr id="434" name="IM 434"/>
                    <pic:cNvPicPr/>
                  </pic:nvPicPr>
                  <pic:blipFill>
                    <a:blip r:embed="rId35"/>
                    <a:stretch>
                      <a:fillRect/>
                    </a:stretch>
                  </pic:blipFill>
                  <pic:spPr>
                    <a:xfrm>
                      <a:off x="0" y="0"/>
                      <a:ext cx="230441" cy="277794"/>
                    </a:xfrm>
                    <a:prstGeom prst="rect">
                      <a:avLst/>
                    </a:prstGeom>
                  </pic:spPr>
                </pic:pic>
              </a:graphicData>
            </a:graphic>
          </wp:inline>
        </w:drawing>
      </w:r>
      <w:r>
        <w:rPr>
          <w:color w:val="000000" w:themeColor="text1"/>
          <w14:textFill>
            <w14:solidFill>
              <w14:schemeClr w14:val="tx1"/>
            </w14:solidFill>
          </w14:textFill>
        </w:rPr>
        <w:t>×10</w:t>
      </w:r>
      <w:r>
        <w:rPr>
          <w:color w:val="000000" w:themeColor="text1"/>
          <w:vertAlign w:val="superscript"/>
          <w14:textFill>
            <w14:solidFill>
              <w14:schemeClr w14:val="tx1"/>
            </w14:solidFill>
          </w14:textFill>
        </w:rPr>
        <w:t>-9</w:t>
      </w:r>
      <w:r>
        <w:rPr>
          <w:color w:val="000000" w:themeColor="text1"/>
          <w14:textFill>
            <w14:solidFill>
              <w14:schemeClr w14:val="tx1"/>
            </w14:solidFill>
          </w14:textFill>
        </w:rPr>
        <w:t>F/m；</w:t>
      </w:r>
    </w:p>
    <w:p w14:paraId="4CDAF7E3">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R</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——输电导线半径，对于分裂导线可用等效单根导线半径代入，</w:t>
      </w:r>
      <w:r>
        <w:rPr>
          <w:i/>
          <w:iCs/>
          <w:color w:val="000000" w:themeColor="text1"/>
          <w14:textFill>
            <w14:solidFill>
              <w14:schemeClr w14:val="tx1"/>
            </w14:solidFill>
          </w14:textFill>
        </w:rPr>
        <w:t>R</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的计算式为：</w:t>
      </w:r>
    </w:p>
    <w:p w14:paraId="0764ABF7">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733425" cy="370840"/>
            <wp:effectExtent l="0" t="0" r="9525" b="10160"/>
            <wp:docPr id="436" name="IM 436"/>
            <wp:cNvGraphicFramePr/>
            <a:graphic xmlns:a="http://schemas.openxmlformats.org/drawingml/2006/main">
              <a:graphicData uri="http://schemas.openxmlformats.org/drawingml/2006/picture">
                <pic:pic xmlns:pic="http://schemas.openxmlformats.org/drawingml/2006/picture">
                  <pic:nvPicPr>
                    <pic:cNvPr id="436" name="IM 436"/>
                    <pic:cNvPicPr/>
                  </pic:nvPicPr>
                  <pic:blipFill>
                    <a:blip r:embed="rId36"/>
                    <a:stretch>
                      <a:fillRect/>
                    </a:stretch>
                  </pic:blipFill>
                  <pic:spPr>
                    <a:xfrm>
                      <a:off x="0" y="0"/>
                      <a:ext cx="733963" cy="371290"/>
                    </a:xfrm>
                    <a:prstGeom prst="rect">
                      <a:avLst/>
                    </a:prstGeom>
                  </pic:spPr>
                </pic:pic>
              </a:graphicData>
            </a:graphic>
          </wp:inline>
        </w:drawing>
      </w:r>
    </w:p>
    <w:p w14:paraId="3C25D6CE">
      <w:pPr>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式中：</w:t>
      </w:r>
      <w:r>
        <w:rPr>
          <w:i/>
          <w:iCs/>
          <w:color w:val="000000" w:themeColor="text1"/>
          <w14:textFill>
            <w14:solidFill>
              <w14:schemeClr w14:val="tx1"/>
            </w14:solidFill>
          </w14:textFill>
        </w:rPr>
        <w:t>R</w:t>
      </w:r>
      <w:r>
        <w:rPr>
          <w:color w:val="000000" w:themeColor="text1"/>
          <w14:textFill>
            <w14:solidFill>
              <w14:schemeClr w14:val="tx1"/>
            </w14:solidFill>
          </w14:textFill>
        </w:rPr>
        <w:t>——分裂导线半径，m；</w:t>
      </w:r>
    </w:p>
    <w:p w14:paraId="12AE7FE5">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n</w:t>
      </w:r>
      <w:r>
        <w:rPr>
          <w:color w:val="000000" w:themeColor="text1"/>
          <w14:textFill>
            <w14:solidFill>
              <w14:schemeClr w14:val="tx1"/>
            </w14:solidFill>
          </w14:textFill>
        </w:rPr>
        <w:t>——次导线根数；</w:t>
      </w:r>
    </w:p>
    <w:p w14:paraId="4B6D2C9D">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r</w:t>
      </w:r>
      <w:r>
        <w:rPr>
          <w:color w:val="000000" w:themeColor="text1"/>
          <w14:textFill>
            <w14:solidFill>
              <w14:schemeClr w14:val="tx1"/>
            </w14:solidFill>
          </w14:textFill>
        </w:rPr>
        <w:t>——次导线半径，m。</w:t>
      </w:r>
    </w:p>
    <w:p w14:paraId="36555442">
      <w:pPr>
        <w:ind w:firstLine="480"/>
        <w:rPr>
          <w:color w:val="000000" w:themeColor="text1"/>
          <w14:textFill>
            <w14:solidFill>
              <w14:schemeClr w14:val="tx1"/>
            </w14:solidFill>
          </w14:textFill>
        </w:rPr>
      </w:pPr>
      <w:r>
        <w:rPr>
          <w:color w:val="000000" w:themeColor="text1"/>
          <w14:textFill>
            <w14:solidFill>
              <w14:schemeClr w14:val="tx1"/>
            </w14:solidFill>
          </w14:textFill>
        </w:rPr>
        <w:t>由[</w:t>
      </w:r>
      <w:r>
        <w:rPr>
          <w:i/>
          <w:iCs/>
          <w:color w:val="000000" w:themeColor="text1"/>
          <w14:textFill>
            <w14:solidFill>
              <w14:schemeClr w14:val="tx1"/>
            </w14:solidFill>
          </w14:textFill>
        </w:rPr>
        <w:t>U</w:t>
      </w:r>
      <w:r>
        <w:rPr>
          <w:color w:val="000000" w:themeColor="text1"/>
          <w14:textFill>
            <w14:solidFill>
              <w14:schemeClr w14:val="tx1"/>
            </w14:solidFill>
          </w14:textFill>
        </w:rPr>
        <w:t>]矩阵和[</w:t>
      </w:r>
      <w:r>
        <w:rPr>
          <w:i/>
          <w:iCs/>
          <w:color w:val="000000" w:themeColor="text1"/>
          <w14:textFill>
            <w14:solidFill>
              <w14:schemeClr w14:val="tx1"/>
            </w14:solidFill>
          </w14:textFill>
        </w:rPr>
        <w:t>λ</w:t>
      </w:r>
      <w:r>
        <w:rPr>
          <w:color w:val="000000" w:themeColor="text1"/>
          <w14:textFill>
            <w14:solidFill>
              <w14:schemeClr w14:val="tx1"/>
            </w14:solidFill>
          </w14:textFill>
        </w:rPr>
        <w:t>]矩阵，利用等效电荷矩阵方程即可解出[Q]矩阵。</w:t>
      </w:r>
    </w:p>
    <w:p w14:paraId="028E3DEC">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136140" cy="1934845"/>
            <wp:effectExtent l="0" t="0" r="16510" b="8255"/>
            <wp:docPr id="440" name="IM 440"/>
            <wp:cNvGraphicFramePr/>
            <a:graphic xmlns:a="http://schemas.openxmlformats.org/drawingml/2006/main">
              <a:graphicData uri="http://schemas.openxmlformats.org/drawingml/2006/picture">
                <pic:pic xmlns:pic="http://schemas.openxmlformats.org/drawingml/2006/picture">
                  <pic:nvPicPr>
                    <pic:cNvPr id="440" name="IM 440"/>
                    <pic:cNvPicPr/>
                  </pic:nvPicPr>
                  <pic:blipFill>
                    <a:blip r:embed="rId37"/>
                    <a:stretch>
                      <a:fillRect/>
                    </a:stretch>
                  </pic:blipFill>
                  <pic:spPr>
                    <a:xfrm>
                      <a:off x="0" y="0"/>
                      <a:ext cx="2136647" cy="1935479"/>
                    </a:xfrm>
                    <a:prstGeom prst="rect">
                      <a:avLst/>
                    </a:prstGeom>
                  </pic:spPr>
                </pic:pic>
              </a:graphicData>
            </a:graphic>
          </wp:inline>
        </w:drawing>
      </w:r>
      <w:r>
        <w:rPr>
          <w:color w:val="000000" w:themeColor="text1"/>
          <w14:textFill>
            <w14:solidFill>
              <w14:schemeClr w14:val="tx1"/>
            </w14:solidFill>
          </w14:textFill>
        </w:rPr>
        <w:t xml:space="preserve">    </w:t>
      </w:r>
      <w:r>
        <w:rPr>
          <w:color w:val="000000" w:themeColor="text1"/>
          <w14:textFill>
            <w14:solidFill>
              <w14:schemeClr w14:val="tx1"/>
            </w14:solidFill>
          </w14:textFill>
        </w:rPr>
        <w:drawing>
          <wp:inline distT="0" distB="0" distL="0" distR="0">
            <wp:extent cx="2073910" cy="1882140"/>
            <wp:effectExtent l="0" t="0" r="2540" b="3810"/>
            <wp:docPr id="438" name="IM 438"/>
            <wp:cNvGraphicFramePr/>
            <a:graphic xmlns:a="http://schemas.openxmlformats.org/drawingml/2006/main">
              <a:graphicData uri="http://schemas.openxmlformats.org/drawingml/2006/picture">
                <pic:pic xmlns:pic="http://schemas.openxmlformats.org/drawingml/2006/picture">
                  <pic:nvPicPr>
                    <pic:cNvPr id="438" name="IM 438"/>
                    <pic:cNvPicPr/>
                  </pic:nvPicPr>
                  <pic:blipFill>
                    <a:blip r:embed="rId38"/>
                    <a:stretch>
                      <a:fillRect/>
                    </a:stretch>
                  </pic:blipFill>
                  <pic:spPr>
                    <a:xfrm>
                      <a:off x="0" y="0"/>
                      <a:ext cx="2074164" cy="1882140"/>
                    </a:xfrm>
                    <a:prstGeom prst="rect">
                      <a:avLst/>
                    </a:prstGeom>
                  </pic:spPr>
                </pic:pic>
              </a:graphicData>
            </a:graphic>
          </wp:inline>
        </w:drawing>
      </w:r>
    </w:p>
    <w:p w14:paraId="25EA4753">
      <w:pPr>
        <w:pStyle w:val="38"/>
        <w:spacing w:before="159"/>
        <w:ind w:firstLine="422"/>
        <w:rPr>
          <w:bCs/>
          <w:color w:val="000000" w:themeColor="text1"/>
          <w14:textFill>
            <w14:solidFill>
              <w14:schemeClr w14:val="tx1"/>
            </w14:solidFill>
          </w14:textFill>
        </w:rPr>
      </w:pPr>
      <w:r>
        <w:rPr>
          <w:bCs/>
          <w:color w:val="000000" w:themeColor="text1"/>
          <w14:textFill>
            <w14:solidFill>
              <w14:schemeClr w14:val="tx1"/>
            </w14:solidFill>
          </w14:textFill>
        </w:rPr>
        <w:t>图6.1-</w:t>
      </w:r>
      <w:r>
        <w:rPr>
          <w:rFonts w:hint="eastAsia"/>
          <w:bCs/>
          <w:color w:val="000000" w:themeColor="text1"/>
          <w14:textFill>
            <w14:solidFill>
              <w14:schemeClr w14:val="tx1"/>
            </w14:solidFill>
          </w14:textFill>
        </w:rPr>
        <w:t>2</w:t>
      </w:r>
      <w:r>
        <w:rPr>
          <w:bCs/>
          <w:color w:val="000000" w:themeColor="text1"/>
          <w14:textFill>
            <w14:solidFill>
              <w14:schemeClr w14:val="tx1"/>
            </w14:solidFill>
          </w14:textFill>
        </w:rPr>
        <w:t xml:space="preserve">  电位系数计算图            图6.1-</w:t>
      </w:r>
      <w:r>
        <w:rPr>
          <w:rFonts w:hint="eastAsia"/>
          <w:bCs/>
          <w:color w:val="000000" w:themeColor="text1"/>
          <w14:textFill>
            <w14:solidFill>
              <w14:schemeClr w14:val="tx1"/>
            </w14:solidFill>
          </w14:textFill>
        </w:rPr>
        <w:t>3</w:t>
      </w:r>
      <w:r>
        <w:rPr>
          <w:bCs/>
          <w:color w:val="000000" w:themeColor="text1"/>
          <w14:textFill>
            <w14:solidFill>
              <w14:schemeClr w14:val="tx1"/>
            </w14:solidFill>
          </w14:textFill>
        </w:rPr>
        <w:t xml:space="preserve">  等效半径计算图</w:t>
      </w:r>
    </w:p>
    <w:p w14:paraId="27BF04A9">
      <w:pPr>
        <w:ind w:firstLine="480"/>
        <w:rPr>
          <w:color w:val="000000" w:themeColor="text1"/>
          <w14:textFill>
            <w14:solidFill>
              <w14:schemeClr w14:val="tx1"/>
            </w14:solidFill>
          </w14:textFill>
        </w:rPr>
      </w:pPr>
      <w:r>
        <w:rPr>
          <w:color w:val="000000" w:themeColor="text1"/>
          <w14:textFill>
            <w14:solidFill>
              <w14:schemeClr w14:val="tx1"/>
            </w14:solidFill>
          </w14:textFill>
        </w:rPr>
        <w:t>②计算由等效电荷产生的电场：</w:t>
      </w:r>
    </w:p>
    <w:p w14:paraId="66229924">
      <w:pPr>
        <w:ind w:firstLine="480"/>
        <w:rPr>
          <w:color w:val="000000" w:themeColor="text1"/>
          <w14:textFill>
            <w14:solidFill>
              <w14:schemeClr w14:val="tx1"/>
            </w14:solidFill>
          </w14:textFill>
        </w:rPr>
      </w:pPr>
      <w:r>
        <w:rPr>
          <w:color w:val="000000" w:themeColor="text1"/>
          <w14:textFill>
            <w14:solidFill>
              <w14:schemeClr w14:val="tx1"/>
            </w14:solidFill>
          </w14:textFill>
        </w:rPr>
        <w:t>为计算地面电场强度的最大值，通常取夏天满负荷有最大弧垂时导线的最小对地高度。因此，所计算的地面场强仅对档距中央一段（该处场强最大）是符合的。</w:t>
      </w:r>
    </w:p>
    <w:p w14:paraId="5859DA6F">
      <w:pPr>
        <w:ind w:firstLine="480"/>
        <w:rPr>
          <w:color w:val="000000" w:themeColor="text1"/>
          <w14:textFill>
            <w14:solidFill>
              <w14:schemeClr w14:val="tx1"/>
            </w14:solidFill>
          </w14:textFill>
        </w:rPr>
      </w:pPr>
      <w:r>
        <w:rPr>
          <w:color w:val="000000" w:themeColor="text1"/>
          <w14:textFill>
            <w14:solidFill>
              <w14:schemeClr w14:val="tx1"/>
            </w14:solidFill>
          </w14:textFill>
        </w:rPr>
        <w:t>当各导线单位长度的等效电荷量求出后，空间任意一点的电场强度可根据叠加原理计算得出，在（</w:t>
      </w:r>
      <w:r>
        <w:rPr>
          <w:i/>
          <w:iCs/>
          <w:color w:val="000000" w:themeColor="text1"/>
          <w14:textFill>
            <w14:solidFill>
              <w14:schemeClr w14:val="tx1"/>
            </w14:solidFill>
          </w14:textFill>
        </w:rPr>
        <w:t>x</w:t>
      </w:r>
      <w:r>
        <w:rPr>
          <w:color w:val="000000" w:themeColor="text1"/>
          <w14:textFill>
            <w14:solidFill>
              <w14:schemeClr w14:val="tx1"/>
            </w14:solidFill>
          </w14:textFill>
        </w:rPr>
        <w:t>，</w:t>
      </w:r>
      <w:r>
        <w:rPr>
          <w:i/>
          <w:iCs/>
          <w:color w:val="000000" w:themeColor="text1"/>
          <w14:textFill>
            <w14:solidFill>
              <w14:schemeClr w14:val="tx1"/>
            </w14:solidFill>
          </w14:textFill>
        </w:rPr>
        <w:t>y</w:t>
      </w:r>
      <w:r>
        <w:rPr>
          <w:color w:val="000000" w:themeColor="text1"/>
          <w14:textFill>
            <w14:solidFill>
              <w14:schemeClr w14:val="tx1"/>
            </w14:solidFill>
          </w14:textFill>
        </w:rPr>
        <w:t>）点的电场强度分量</w:t>
      </w:r>
      <w:r>
        <w:rPr>
          <w:i/>
          <w:iCs/>
          <w:color w:val="000000" w:themeColor="text1"/>
          <w14:textFill>
            <w14:solidFill>
              <w14:schemeClr w14:val="tx1"/>
            </w14:solidFill>
          </w14:textFill>
        </w:rPr>
        <w:t>Ex</w:t>
      </w:r>
      <w:r>
        <w:rPr>
          <w:color w:val="000000" w:themeColor="text1"/>
          <w14:textFill>
            <w14:solidFill>
              <w14:schemeClr w14:val="tx1"/>
            </w14:solidFill>
          </w14:textFill>
        </w:rPr>
        <w:t>和</w:t>
      </w:r>
      <w:r>
        <w:rPr>
          <w:i/>
          <w:iCs/>
          <w:color w:val="000000" w:themeColor="text1"/>
          <w14:textFill>
            <w14:solidFill>
              <w14:schemeClr w14:val="tx1"/>
            </w14:solidFill>
          </w14:textFill>
        </w:rPr>
        <w:t>Ey</w:t>
      </w:r>
      <w:r>
        <w:rPr>
          <w:color w:val="000000" w:themeColor="text1"/>
          <w14:textFill>
            <w14:solidFill>
              <w14:schemeClr w14:val="tx1"/>
            </w14:solidFill>
          </w14:textFill>
        </w:rPr>
        <w:t>可表示为：</w:t>
      </w:r>
    </w:p>
    <w:p w14:paraId="0A1DC4CC">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019300" cy="485775"/>
            <wp:effectExtent l="0" t="0" r="0" b="9525"/>
            <wp:docPr id="442" name="IM 442"/>
            <wp:cNvGraphicFramePr/>
            <a:graphic xmlns:a="http://schemas.openxmlformats.org/drawingml/2006/main">
              <a:graphicData uri="http://schemas.openxmlformats.org/drawingml/2006/picture">
                <pic:pic xmlns:pic="http://schemas.openxmlformats.org/drawingml/2006/picture">
                  <pic:nvPicPr>
                    <pic:cNvPr id="442" name="IM 442"/>
                    <pic:cNvPicPr/>
                  </pic:nvPicPr>
                  <pic:blipFill>
                    <a:blip r:embed="rId39"/>
                    <a:stretch>
                      <a:fillRect/>
                    </a:stretch>
                  </pic:blipFill>
                  <pic:spPr>
                    <a:xfrm>
                      <a:off x="0" y="0"/>
                      <a:ext cx="2019464" cy="486035"/>
                    </a:xfrm>
                    <a:prstGeom prst="rect">
                      <a:avLst/>
                    </a:prstGeom>
                  </pic:spPr>
                </pic:pic>
              </a:graphicData>
            </a:graphic>
          </wp:inline>
        </w:drawing>
      </w:r>
    </w:p>
    <w:p w14:paraId="33136BE0">
      <w:pPr>
        <w:ind w:firstLine="0" w:firstLineChars="0"/>
        <w:jc w:val="center"/>
        <w:rPr>
          <w:color w:val="000000" w:themeColor="text1"/>
          <w14:textFill>
            <w14:solidFill>
              <w14:schemeClr w14:val="tx1"/>
            </w14:solidFill>
          </w14:textFill>
        </w:rPr>
      </w:pPr>
    </w:p>
    <w:p w14:paraId="0B1E38D6">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113280" cy="389255"/>
            <wp:effectExtent l="0" t="0" r="1270" b="10795"/>
            <wp:docPr id="444" name="IM 444"/>
            <wp:cNvGraphicFramePr/>
            <a:graphic xmlns:a="http://schemas.openxmlformats.org/drawingml/2006/main">
              <a:graphicData uri="http://schemas.openxmlformats.org/drawingml/2006/picture">
                <pic:pic xmlns:pic="http://schemas.openxmlformats.org/drawingml/2006/picture">
                  <pic:nvPicPr>
                    <pic:cNvPr id="444" name="IM 444"/>
                    <pic:cNvPicPr/>
                  </pic:nvPicPr>
                  <pic:blipFill>
                    <a:blip r:embed="rId40"/>
                    <a:stretch>
                      <a:fillRect/>
                    </a:stretch>
                  </pic:blipFill>
                  <pic:spPr>
                    <a:xfrm>
                      <a:off x="0" y="0"/>
                      <a:ext cx="2113787" cy="389447"/>
                    </a:xfrm>
                    <a:prstGeom prst="rect">
                      <a:avLst/>
                    </a:prstGeom>
                  </pic:spPr>
                </pic:pic>
              </a:graphicData>
            </a:graphic>
          </wp:inline>
        </w:drawing>
      </w:r>
    </w:p>
    <w:p w14:paraId="21770FA8">
      <w:pPr>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式中：</w:t>
      </w:r>
      <w:r>
        <w:rPr>
          <w:i/>
          <w:iCs/>
          <w:color w:val="000000" w:themeColor="text1"/>
          <w14:textFill>
            <w14:solidFill>
              <w14:schemeClr w14:val="tx1"/>
            </w14:solidFill>
          </w14:textFill>
        </w:rPr>
        <w:t>x</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w:t>
      </w:r>
      <w:r>
        <w:rPr>
          <w:i/>
          <w:iCs/>
          <w:color w:val="000000" w:themeColor="text1"/>
          <w14:textFill>
            <w14:solidFill>
              <w14:schemeClr w14:val="tx1"/>
            </w14:solidFill>
          </w14:textFill>
        </w:rPr>
        <w:t>y</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——导线i的坐标（i=1、2、…m）；</w:t>
      </w:r>
    </w:p>
    <w:p w14:paraId="6FA0766C">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m</w:t>
      </w:r>
      <w:r>
        <w:rPr>
          <w:color w:val="000000" w:themeColor="text1"/>
          <w14:textFill>
            <w14:solidFill>
              <w14:schemeClr w14:val="tx1"/>
            </w14:solidFill>
          </w14:textFill>
        </w:rPr>
        <w:t>——导线数目；</w:t>
      </w:r>
    </w:p>
    <w:p w14:paraId="79EBF7A1">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L</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w:t>
      </w:r>
      <w:r>
        <w:rPr>
          <w:i/>
          <w:iCs/>
          <w:color w:val="000000" w:themeColor="text1"/>
          <w14:textFill>
            <w14:solidFill>
              <w14:schemeClr w14:val="tx1"/>
            </w14:solidFill>
          </w14:textFill>
        </w:rPr>
        <w:t>L</w:t>
      </w:r>
      <w:r>
        <w:rPr>
          <w:color w:val="000000" w:themeColor="text1"/>
          <w14:textFill>
            <w14:solidFill>
              <w14:schemeClr w14:val="tx1"/>
            </w14:solidFill>
          </w14:textFill>
        </w:rPr>
        <w:t>'</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——分别为导线i及其镜像至计算点的距离，m。</w:t>
      </w:r>
    </w:p>
    <w:p w14:paraId="6C87D8FE">
      <w:pPr>
        <w:ind w:firstLine="480"/>
        <w:rPr>
          <w:color w:val="000000" w:themeColor="text1"/>
          <w14:textFill>
            <w14:solidFill>
              <w14:schemeClr w14:val="tx1"/>
            </w14:solidFill>
          </w14:textFill>
        </w:rPr>
      </w:pPr>
      <w:r>
        <w:rPr>
          <w:color w:val="000000" w:themeColor="text1"/>
          <w14:textFill>
            <w14:solidFill>
              <w14:schemeClr w14:val="tx1"/>
            </w14:solidFill>
          </w14:textFill>
        </w:rPr>
        <w:t>对于三相交流电线路，可根据求得的电荷计算空间任一点电场强度的水平和垂直分量为：</w:t>
      </w:r>
    </w:p>
    <w:p w14:paraId="329C6BB4">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367155" cy="346075"/>
            <wp:effectExtent l="0" t="0" r="4445" b="15875"/>
            <wp:docPr id="448" name="IM 448"/>
            <wp:cNvGraphicFramePr/>
            <a:graphic xmlns:a="http://schemas.openxmlformats.org/drawingml/2006/main">
              <a:graphicData uri="http://schemas.openxmlformats.org/drawingml/2006/picture">
                <pic:pic xmlns:pic="http://schemas.openxmlformats.org/drawingml/2006/picture">
                  <pic:nvPicPr>
                    <pic:cNvPr id="448" name="IM 448"/>
                    <pic:cNvPicPr/>
                  </pic:nvPicPr>
                  <pic:blipFill>
                    <a:blip r:embed="rId41"/>
                    <a:stretch>
                      <a:fillRect/>
                    </a:stretch>
                  </pic:blipFill>
                  <pic:spPr>
                    <a:xfrm>
                      <a:off x="0" y="0"/>
                      <a:ext cx="1367788" cy="346190"/>
                    </a:xfrm>
                    <a:prstGeom prst="rect">
                      <a:avLst/>
                    </a:prstGeom>
                  </pic:spPr>
                </pic:pic>
              </a:graphicData>
            </a:graphic>
          </wp:inline>
        </w:drawing>
      </w:r>
    </w:p>
    <w:p w14:paraId="35DCB3BB">
      <w:pPr>
        <w:ind w:firstLine="0" w:firstLineChars="0"/>
        <w:jc w:val="center"/>
        <w:rPr>
          <w:color w:val="000000" w:themeColor="text1"/>
          <w14:textFill>
            <w14:solidFill>
              <w14:schemeClr w14:val="tx1"/>
            </w14:solidFill>
          </w14:textFill>
        </w:rPr>
      </w:pPr>
    </w:p>
    <w:p w14:paraId="6EE7D084">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765810" cy="139700"/>
            <wp:effectExtent l="0" t="0" r="15240" b="12700"/>
            <wp:docPr id="450" name="IM 450"/>
            <wp:cNvGraphicFramePr/>
            <a:graphic xmlns:a="http://schemas.openxmlformats.org/drawingml/2006/main">
              <a:graphicData uri="http://schemas.openxmlformats.org/drawingml/2006/picture">
                <pic:pic xmlns:pic="http://schemas.openxmlformats.org/drawingml/2006/picture">
                  <pic:nvPicPr>
                    <pic:cNvPr id="450" name="IM 450"/>
                    <pic:cNvPicPr/>
                  </pic:nvPicPr>
                  <pic:blipFill>
                    <a:blip r:embed="rId42"/>
                    <a:stretch>
                      <a:fillRect/>
                    </a:stretch>
                  </pic:blipFill>
                  <pic:spPr>
                    <a:xfrm>
                      <a:off x="0" y="0"/>
                      <a:ext cx="766140" cy="139927"/>
                    </a:xfrm>
                    <a:prstGeom prst="rect">
                      <a:avLst/>
                    </a:prstGeom>
                  </pic:spPr>
                </pic:pic>
              </a:graphicData>
            </a:graphic>
          </wp:inline>
        </w:drawing>
      </w:r>
    </w:p>
    <w:p w14:paraId="4E375203">
      <w:pPr>
        <w:ind w:firstLine="0" w:firstLineChars="0"/>
        <w:jc w:val="center"/>
        <w:rPr>
          <w:color w:val="000000" w:themeColor="text1"/>
          <w14:textFill>
            <w14:solidFill>
              <w14:schemeClr w14:val="tx1"/>
            </w14:solidFill>
          </w14:textFill>
        </w:rPr>
      </w:pPr>
    </w:p>
    <w:p w14:paraId="3B5212E2">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1372235" cy="346075"/>
            <wp:effectExtent l="0" t="0" r="18415" b="15875"/>
            <wp:docPr id="452" name="IM 452"/>
            <wp:cNvGraphicFramePr/>
            <a:graphic xmlns:a="http://schemas.openxmlformats.org/drawingml/2006/main">
              <a:graphicData uri="http://schemas.openxmlformats.org/drawingml/2006/picture">
                <pic:pic xmlns:pic="http://schemas.openxmlformats.org/drawingml/2006/picture">
                  <pic:nvPicPr>
                    <pic:cNvPr id="452" name="IM 452"/>
                    <pic:cNvPicPr/>
                  </pic:nvPicPr>
                  <pic:blipFill>
                    <a:blip r:embed="rId43"/>
                    <a:stretch>
                      <a:fillRect/>
                    </a:stretch>
                  </pic:blipFill>
                  <pic:spPr>
                    <a:xfrm>
                      <a:off x="0" y="0"/>
                      <a:ext cx="1372525" cy="346190"/>
                    </a:xfrm>
                    <a:prstGeom prst="rect">
                      <a:avLst/>
                    </a:prstGeom>
                  </pic:spPr>
                </pic:pic>
              </a:graphicData>
            </a:graphic>
          </wp:inline>
        </w:drawing>
      </w:r>
    </w:p>
    <w:p w14:paraId="56AB411E">
      <w:pPr>
        <w:ind w:firstLine="0" w:firstLineChars="0"/>
        <w:jc w:val="center"/>
        <w:rPr>
          <w:color w:val="000000" w:themeColor="text1"/>
          <w14:textFill>
            <w14:solidFill>
              <w14:schemeClr w14:val="tx1"/>
            </w14:solidFill>
          </w14:textFill>
        </w:rPr>
      </w:pPr>
    </w:p>
    <w:p w14:paraId="02EDEDA6">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708025" cy="167640"/>
            <wp:effectExtent l="0" t="0" r="15875" b="3810"/>
            <wp:docPr id="454" name="IM 454"/>
            <wp:cNvGraphicFramePr/>
            <a:graphic xmlns:a="http://schemas.openxmlformats.org/drawingml/2006/main">
              <a:graphicData uri="http://schemas.openxmlformats.org/drawingml/2006/picture">
                <pic:pic xmlns:pic="http://schemas.openxmlformats.org/drawingml/2006/picture">
                  <pic:nvPicPr>
                    <pic:cNvPr id="454" name="IM 454"/>
                    <pic:cNvPicPr/>
                  </pic:nvPicPr>
                  <pic:blipFill>
                    <a:blip r:embed="rId44"/>
                    <a:stretch>
                      <a:fillRect/>
                    </a:stretch>
                  </pic:blipFill>
                  <pic:spPr>
                    <a:xfrm>
                      <a:off x="0" y="0"/>
                      <a:ext cx="708199" cy="168234"/>
                    </a:xfrm>
                    <a:prstGeom prst="rect">
                      <a:avLst/>
                    </a:prstGeom>
                  </pic:spPr>
                </pic:pic>
              </a:graphicData>
            </a:graphic>
          </wp:inline>
        </w:drawing>
      </w:r>
    </w:p>
    <w:p w14:paraId="7CC2B34C">
      <w:pPr>
        <w:ind w:firstLine="0" w:firstLineChars="0"/>
        <w:jc w:val="center"/>
        <w:rPr>
          <w:color w:val="000000" w:themeColor="text1"/>
          <w14:textFill>
            <w14:solidFill>
              <w14:schemeClr w14:val="tx1"/>
            </w14:solidFill>
          </w14:textFill>
        </w:rPr>
      </w:pPr>
    </w:p>
    <w:p w14:paraId="54655B14">
      <w:pPr>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式中：</w:t>
      </w:r>
      <w:r>
        <w:rPr>
          <w:i/>
          <w:iCs/>
          <w:color w:val="000000" w:themeColor="text1"/>
          <w14:textFill>
            <w14:solidFill>
              <w14:schemeClr w14:val="tx1"/>
            </w14:solidFill>
          </w14:textFill>
        </w:rPr>
        <w:t>E</w:t>
      </w:r>
      <w:r>
        <w:rPr>
          <w:color w:val="000000" w:themeColor="text1"/>
          <w:vertAlign w:val="subscript"/>
          <w14:textFill>
            <w14:solidFill>
              <w14:schemeClr w14:val="tx1"/>
            </w14:solidFill>
          </w14:textFill>
        </w:rPr>
        <w:t>xR</w:t>
      </w:r>
      <w:r>
        <w:rPr>
          <w:color w:val="000000" w:themeColor="text1"/>
          <w14:textFill>
            <w14:solidFill>
              <w14:schemeClr w14:val="tx1"/>
            </w14:solidFill>
          </w14:textFill>
        </w:rPr>
        <w:t>——由各导线的实部电荷在该点产生场强的水平分量；</w:t>
      </w:r>
    </w:p>
    <w:p w14:paraId="4F63F165">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E</w:t>
      </w:r>
      <w:r>
        <w:rPr>
          <w:color w:val="000000" w:themeColor="text1"/>
          <w:vertAlign w:val="subscript"/>
          <w14:textFill>
            <w14:solidFill>
              <w14:schemeClr w14:val="tx1"/>
            </w14:solidFill>
          </w14:textFill>
        </w:rPr>
        <w:t>xI</w:t>
      </w:r>
      <w:r>
        <w:rPr>
          <w:color w:val="000000" w:themeColor="text1"/>
          <w14:textFill>
            <w14:solidFill>
              <w14:schemeClr w14:val="tx1"/>
            </w14:solidFill>
          </w14:textFill>
        </w:rPr>
        <w:t>——由各导线的虚部电荷在该点产生场强的水平分量；</w:t>
      </w:r>
    </w:p>
    <w:p w14:paraId="48309572">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E</w:t>
      </w:r>
      <w:r>
        <w:rPr>
          <w:color w:val="000000" w:themeColor="text1"/>
          <w:vertAlign w:val="subscript"/>
          <w14:textFill>
            <w14:solidFill>
              <w14:schemeClr w14:val="tx1"/>
            </w14:solidFill>
          </w14:textFill>
        </w:rPr>
        <w:t>yR</w:t>
      </w:r>
      <w:r>
        <w:rPr>
          <w:color w:val="000000" w:themeColor="text1"/>
          <w14:textFill>
            <w14:solidFill>
              <w14:schemeClr w14:val="tx1"/>
            </w14:solidFill>
          </w14:textFill>
        </w:rPr>
        <w:t>——由各导线的实部电荷在该点产生场强的垂直分量；</w:t>
      </w:r>
    </w:p>
    <w:p w14:paraId="0AE20385">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E</w:t>
      </w:r>
      <w:r>
        <w:rPr>
          <w:color w:val="000000" w:themeColor="text1"/>
          <w:vertAlign w:val="subscript"/>
          <w14:textFill>
            <w14:solidFill>
              <w14:schemeClr w14:val="tx1"/>
            </w14:solidFill>
          </w14:textFill>
        </w:rPr>
        <w:t>yI</w:t>
      </w:r>
      <w:r>
        <w:rPr>
          <w:color w:val="000000" w:themeColor="text1"/>
          <w14:textFill>
            <w14:solidFill>
              <w14:schemeClr w14:val="tx1"/>
            </w14:solidFill>
          </w14:textFill>
        </w:rPr>
        <w:t>——由各导线的虚部电荷在该点产生场强的垂直分量。</w:t>
      </w:r>
    </w:p>
    <w:p w14:paraId="1BADB546">
      <w:pPr>
        <w:ind w:firstLine="480"/>
        <w:rPr>
          <w:color w:val="000000" w:themeColor="text1"/>
          <w14:textFill>
            <w14:solidFill>
              <w14:schemeClr w14:val="tx1"/>
            </w14:solidFill>
          </w14:textFill>
        </w:rPr>
      </w:pPr>
      <w:r>
        <w:rPr>
          <w:color w:val="000000" w:themeColor="text1"/>
          <w14:textFill>
            <w14:solidFill>
              <w14:schemeClr w14:val="tx1"/>
            </w14:solidFill>
          </w14:textFill>
        </w:rPr>
        <w:t>该点的合成的电场强度则为：</w:t>
      </w:r>
    </w:p>
    <w:p w14:paraId="720FFB7E">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205990" cy="269240"/>
            <wp:effectExtent l="0" t="0" r="3810" b="16510"/>
            <wp:docPr id="456" name="IM 456"/>
            <wp:cNvGraphicFramePr/>
            <a:graphic xmlns:a="http://schemas.openxmlformats.org/drawingml/2006/main">
              <a:graphicData uri="http://schemas.openxmlformats.org/drawingml/2006/picture">
                <pic:pic xmlns:pic="http://schemas.openxmlformats.org/drawingml/2006/picture">
                  <pic:nvPicPr>
                    <pic:cNvPr id="456" name="IM 456"/>
                    <pic:cNvPicPr/>
                  </pic:nvPicPr>
                  <pic:blipFill>
                    <a:blip r:embed="rId45"/>
                    <a:stretch>
                      <a:fillRect/>
                    </a:stretch>
                  </pic:blipFill>
                  <pic:spPr>
                    <a:xfrm>
                      <a:off x="0" y="0"/>
                      <a:ext cx="2206582" cy="269583"/>
                    </a:xfrm>
                    <a:prstGeom prst="rect">
                      <a:avLst/>
                    </a:prstGeom>
                  </pic:spPr>
                </pic:pic>
              </a:graphicData>
            </a:graphic>
          </wp:inline>
        </w:drawing>
      </w:r>
    </w:p>
    <w:p w14:paraId="6A301266">
      <w:pPr>
        <w:ind w:firstLine="0" w:firstLineChars="0"/>
        <w:jc w:val="center"/>
        <w:rPr>
          <w:color w:val="000000" w:themeColor="text1"/>
          <w14:textFill>
            <w14:solidFill>
              <w14:schemeClr w14:val="tx1"/>
            </w14:solidFill>
          </w14:textFill>
        </w:rPr>
      </w:pPr>
    </w:p>
    <w:p w14:paraId="513EB62F">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86105" cy="213995"/>
            <wp:effectExtent l="0" t="0" r="4445" b="14605"/>
            <wp:docPr id="458" name="IM 458"/>
            <wp:cNvGraphicFramePr/>
            <a:graphic xmlns:a="http://schemas.openxmlformats.org/drawingml/2006/main">
              <a:graphicData uri="http://schemas.openxmlformats.org/drawingml/2006/picture">
                <pic:pic xmlns:pic="http://schemas.openxmlformats.org/drawingml/2006/picture">
                  <pic:nvPicPr>
                    <pic:cNvPr id="458" name="IM 458"/>
                    <pic:cNvPicPr/>
                  </pic:nvPicPr>
                  <pic:blipFill>
                    <a:blip r:embed="rId46"/>
                    <a:stretch>
                      <a:fillRect/>
                    </a:stretch>
                  </pic:blipFill>
                  <pic:spPr>
                    <a:xfrm>
                      <a:off x="0" y="0"/>
                      <a:ext cx="586396" cy="214279"/>
                    </a:xfrm>
                    <a:prstGeom prst="rect">
                      <a:avLst/>
                    </a:prstGeom>
                  </pic:spPr>
                </pic:pic>
              </a:graphicData>
            </a:graphic>
          </wp:inline>
        </w:drawing>
      </w:r>
    </w:p>
    <w:p w14:paraId="6DE00ED3">
      <w:pPr>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式中：</w:t>
      </w:r>
    </w:p>
    <w:p w14:paraId="47A5A81E">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998220" cy="212090"/>
            <wp:effectExtent l="0" t="0" r="11430" b="16510"/>
            <wp:docPr id="460" name="IM 460"/>
            <wp:cNvGraphicFramePr/>
            <a:graphic xmlns:a="http://schemas.openxmlformats.org/drawingml/2006/main">
              <a:graphicData uri="http://schemas.openxmlformats.org/drawingml/2006/picture">
                <pic:pic xmlns:pic="http://schemas.openxmlformats.org/drawingml/2006/picture">
                  <pic:nvPicPr>
                    <pic:cNvPr id="460" name="IM 460"/>
                    <pic:cNvPicPr/>
                  </pic:nvPicPr>
                  <pic:blipFill>
                    <a:blip r:embed="rId47"/>
                    <a:stretch>
                      <a:fillRect/>
                    </a:stretch>
                  </pic:blipFill>
                  <pic:spPr>
                    <a:xfrm>
                      <a:off x="0" y="0"/>
                      <a:ext cx="998529" cy="212255"/>
                    </a:xfrm>
                    <a:prstGeom prst="rect">
                      <a:avLst/>
                    </a:prstGeom>
                  </pic:spPr>
                </pic:pic>
              </a:graphicData>
            </a:graphic>
          </wp:inline>
        </w:drawing>
      </w:r>
    </w:p>
    <w:p w14:paraId="392F5D4B">
      <w:pPr>
        <w:ind w:firstLine="0" w:firstLineChars="0"/>
        <w:jc w:val="center"/>
        <w:rPr>
          <w:color w:val="000000" w:themeColor="text1"/>
          <w14:textFill>
            <w14:solidFill>
              <w14:schemeClr w14:val="tx1"/>
            </w14:solidFill>
          </w14:textFill>
        </w:rPr>
      </w:pPr>
    </w:p>
    <w:p w14:paraId="691ACA47">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998855" cy="220345"/>
            <wp:effectExtent l="0" t="0" r="10795" b="8255"/>
            <wp:docPr id="462" name="IM 462"/>
            <wp:cNvGraphicFramePr/>
            <a:graphic xmlns:a="http://schemas.openxmlformats.org/drawingml/2006/main">
              <a:graphicData uri="http://schemas.openxmlformats.org/drawingml/2006/picture">
                <pic:pic xmlns:pic="http://schemas.openxmlformats.org/drawingml/2006/picture">
                  <pic:nvPicPr>
                    <pic:cNvPr id="462" name="IM 462"/>
                    <pic:cNvPicPr/>
                  </pic:nvPicPr>
                  <pic:blipFill>
                    <a:blip r:embed="rId48"/>
                    <a:stretch>
                      <a:fillRect/>
                    </a:stretch>
                  </pic:blipFill>
                  <pic:spPr>
                    <a:xfrm>
                      <a:off x="0" y="0"/>
                      <a:ext cx="999005" cy="220440"/>
                    </a:xfrm>
                    <a:prstGeom prst="rect">
                      <a:avLst/>
                    </a:prstGeom>
                  </pic:spPr>
                </pic:pic>
              </a:graphicData>
            </a:graphic>
          </wp:inline>
        </w:drawing>
      </w:r>
    </w:p>
    <w:p w14:paraId="43CF034C">
      <w:pPr>
        <w:ind w:firstLine="480"/>
        <w:rPr>
          <w:color w:val="000000" w:themeColor="text1"/>
          <w14:textFill>
            <w14:solidFill>
              <w14:schemeClr w14:val="tx1"/>
            </w14:solidFill>
          </w14:textFill>
        </w:rPr>
      </w:pPr>
      <w:r>
        <w:rPr>
          <w:color w:val="000000" w:themeColor="text1"/>
          <w14:textFill>
            <w14:solidFill>
              <w14:schemeClr w14:val="tx1"/>
            </w14:solidFill>
          </w14:textFill>
        </w:rPr>
        <w:t>在地面处（</w:t>
      </w:r>
      <w:r>
        <w:rPr>
          <w:i/>
          <w:iCs/>
          <w:color w:val="000000" w:themeColor="text1"/>
          <w14:textFill>
            <w14:solidFill>
              <w14:schemeClr w14:val="tx1"/>
            </w14:solidFill>
          </w14:textFill>
        </w:rPr>
        <w:t>y</w:t>
      </w:r>
      <w:r>
        <w:rPr>
          <w:color w:val="000000" w:themeColor="text1"/>
          <w14:textFill>
            <w14:solidFill>
              <w14:schemeClr w14:val="tx1"/>
            </w14:solidFill>
          </w14:textFill>
        </w:rPr>
        <w:t>=0）电场强度的水平分量：</w:t>
      </w:r>
    </w:p>
    <w:p w14:paraId="77BE5DF6">
      <w:pPr>
        <w:ind w:firstLine="0" w:firstLineChars="0"/>
        <w:jc w:val="center"/>
        <w:rPr>
          <w:color w:val="000000" w:themeColor="text1"/>
          <w14:textFill>
            <w14:solidFill>
              <w14:schemeClr w14:val="tx1"/>
            </w14:solidFill>
          </w14:textFill>
        </w:rPr>
      </w:pPr>
      <w:r>
        <w:rPr>
          <w:i/>
          <w:iCs/>
          <w:color w:val="000000" w:themeColor="text1"/>
          <w14:textFill>
            <w14:solidFill>
              <w14:schemeClr w14:val="tx1"/>
            </w14:solidFill>
          </w14:textFill>
        </w:rPr>
        <w:t>E</w:t>
      </w:r>
      <w:r>
        <w:rPr>
          <w:color w:val="000000" w:themeColor="text1"/>
          <w:vertAlign w:val="subscript"/>
          <w14:textFill>
            <w14:solidFill>
              <w14:schemeClr w14:val="tx1"/>
            </w14:solidFill>
          </w14:textFill>
        </w:rPr>
        <w:t>x</w:t>
      </w:r>
      <w:r>
        <w:rPr>
          <w:color w:val="000000" w:themeColor="text1"/>
          <w14:textFill>
            <w14:solidFill>
              <w14:schemeClr w14:val="tx1"/>
            </w14:solidFill>
          </w14:textFill>
        </w:rPr>
        <w:t>=0</w:t>
      </w:r>
    </w:p>
    <w:p w14:paraId="5D27A106">
      <w:pPr>
        <w:ind w:firstLine="480"/>
        <w:rPr>
          <w:color w:val="000000" w:themeColor="text1"/>
          <w14:textFill>
            <w14:solidFill>
              <w14:schemeClr w14:val="tx1"/>
            </w14:solidFill>
          </w14:textFill>
        </w:rPr>
      </w:pPr>
      <w:r>
        <w:rPr>
          <w:color w:val="000000" w:themeColor="text1"/>
          <w14:textFill>
            <w14:solidFill>
              <w14:schemeClr w14:val="tx1"/>
            </w14:solidFill>
          </w14:textFill>
        </w:rPr>
        <w:t>（2）高压交流架空输电线路下空间工频磁场强度的计算（附录D）</w:t>
      </w:r>
    </w:p>
    <w:p w14:paraId="54594A5B">
      <w:pPr>
        <w:ind w:firstLine="480"/>
        <w:rPr>
          <w:color w:val="000000" w:themeColor="text1"/>
          <w14:textFill>
            <w14:solidFill>
              <w14:schemeClr w14:val="tx1"/>
            </w14:solidFill>
          </w14:textFill>
        </w:rPr>
      </w:pPr>
      <w:r>
        <w:rPr>
          <w:color w:val="000000" w:themeColor="text1"/>
          <w14:textFill>
            <w14:solidFill>
              <w14:schemeClr w14:val="tx1"/>
            </w14:solidFill>
          </w14:textFill>
        </w:rPr>
        <w:t>由于工频情况下电磁性能具有准静态特性，线路的磁场仅由电流产生。应用安培定律，将计算结果按矢量叠加，可得出导线周围的磁场强度。</w:t>
      </w:r>
    </w:p>
    <w:p w14:paraId="00866379">
      <w:pPr>
        <w:ind w:firstLine="480"/>
        <w:rPr>
          <w:color w:val="000000" w:themeColor="text1"/>
          <w14:textFill>
            <w14:solidFill>
              <w14:schemeClr w14:val="tx1"/>
            </w14:solidFill>
          </w14:textFill>
        </w:rPr>
      </w:pPr>
      <w:r>
        <w:rPr>
          <w:color w:val="000000" w:themeColor="text1"/>
          <w14:textFill>
            <w14:solidFill>
              <w14:schemeClr w14:val="tx1"/>
            </w14:solidFill>
          </w14:textFill>
        </w:rPr>
        <w:t>和电场强度计算不同的是关于镜像导线的考虑，与导线所处高度相比这些镜像导线位于地下很深的距离</w:t>
      </w:r>
      <w:r>
        <w:rPr>
          <w:i/>
          <w:iCs/>
          <w:color w:val="000000" w:themeColor="text1"/>
          <w14:textFill>
            <w14:solidFill>
              <w14:schemeClr w14:val="tx1"/>
            </w14:solidFill>
          </w14:textFill>
        </w:rPr>
        <w:t>d</w:t>
      </w:r>
      <w:r>
        <w:rPr>
          <w:color w:val="000000" w:themeColor="text1"/>
          <w14:textFill>
            <w14:solidFill>
              <w14:schemeClr w14:val="tx1"/>
            </w14:solidFill>
          </w14:textFill>
        </w:rPr>
        <w:t>：</w:t>
      </w:r>
    </w:p>
    <w:p w14:paraId="3EA2C757">
      <w:pPr>
        <w:ind w:firstLine="0" w:firstLineChars="0"/>
        <w:jc w:val="center"/>
        <w:rPr>
          <w:color w:val="000000" w:themeColor="text1"/>
          <w14:textFill>
            <w14:solidFill>
              <w14:schemeClr w14:val="tx1"/>
            </w14:solidFill>
          </w14:textFill>
        </w:rPr>
      </w:pPr>
      <w:r>
        <w:rPr>
          <w:i/>
          <w:iCs/>
          <w:color w:val="000000" w:themeColor="text1"/>
          <w14:textFill>
            <w14:solidFill>
              <w14:schemeClr w14:val="tx1"/>
            </w14:solidFill>
          </w14:textFill>
        </w:rPr>
        <w:t>d</w:t>
      </w:r>
      <w:r>
        <w:rPr>
          <w:color w:val="000000" w:themeColor="text1"/>
          <w14:textFill>
            <w14:solidFill>
              <w14:schemeClr w14:val="tx1"/>
            </w14:solidFill>
          </w14:textFill>
        </w:rPr>
        <w:t>=660</w:t>
      </w:r>
      <w:r>
        <w:rPr>
          <w:color w:val="000000" w:themeColor="text1"/>
          <w14:textFill>
            <w14:solidFill>
              <w14:schemeClr w14:val="tx1"/>
            </w14:solidFill>
          </w14:textFill>
        </w:rPr>
        <w:drawing>
          <wp:inline distT="0" distB="0" distL="0" distR="0">
            <wp:extent cx="227330" cy="417195"/>
            <wp:effectExtent l="0" t="0" r="1270" b="1905"/>
            <wp:docPr id="466" name="IM 466"/>
            <wp:cNvGraphicFramePr/>
            <a:graphic xmlns:a="http://schemas.openxmlformats.org/drawingml/2006/main">
              <a:graphicData uri="http://schemas.openxmlformats.org/drawingml/2006/picture">
                <pic:pic xmlns:pic="http://schemas.openxmlformats.org/drawingml/2006/picture">
                  <pic:nvPicPr>
                    <pic:cNvPr id="466" name="IM 466"/>
                    <pic:cNvPicPr/>
                  </pic:nvPicPr>
                  <pic:blipFill>
                    <a:blip r:embed="rId49"/>
                    <a:stretch>
                      <a:fillRect/>
                    </a:stretch>
                  </pic:blipFill>
                  <pic:spPr>
                    <a:xfrm>
                      <a:off x="0" y="0"/>
                      <a:ext cx="227862" cy="417514"/>
                    </a:xfrm>
                    <a:prstGeom prst="rect">
                      <a:avLst/>
                    </a:prstGeom>
                  </pic:spPr>
                </pic:pic>
              </a:graphicData>
            </a:graphic>
          </wp:inline>
        </w:drawing>
      </w:r>
      <w:r>
        <w:rPr>
          <w:rFonts w:hint="eastAsia"/>
          <w:color w:val="000000" w:themeColor="text1"/>
          <w14:textFill>
            <w14:solidFill>
              <w14:schemeClr w14:val="tx1"/>
            </w14:solidFill>
          </w14:textFill>
        </w:rPr>
        <w:t>（</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p w14:paraId="05C618CC">
      <w:pPr>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式中：</w:t>
      </w:r>
      <w:r>
        <w:rPr>
          <w:i/>
          <w:iCs/>
          <w:color w:val="000000" w:themeColor="text1"/>
          <w14:textFill>
            <w14:solidFill>
              <w14:schemeClr w14:val="tx1"/>
            </w14:solidFill>
          </w14:textFill>
        </w:rPr>
        <w:t>ρ</w:t>
      </w:r>
      <w:r>
        <w:rPr>
          <w:color w:val="000000" w:themeColor="text1"/>
          <w14:textFill>
            <w14:solidFill>
              <w14:schemeClr w14:val="tx1"/>
            </w14:solidFill>
          </w14:textFill>
        </w:rPr>
        <w:t>——大地电阻率，Ω.m；</w:t>
      </w:r>
    </w:p>
    <w:p w14:paraId="1BB1EDED">
      <w:pPr>
        <w:ind w:firstLine="720" w:firstLineChars="300"/>
        <w:rPr>
          <w:color w:val="000000" w:themeColor="text1"/>
          <w14:textFill>
            <w14:solidFill>
              <w14:schemeClr w14:val="tx1"/>
            </w14:solidFill>
          </w14:textFill>
        </w:rPr>
      </w:pPr>
      <w:r>
        <w:rPr>
          <w:i/>
          <w:iCs/>
          <w:color w:val="000000" w:themeColor="text1"/>
          <w14:textFill>
            <w14:solidFill>
              <w14:schemeClr w14:val="tx1"/>
            </w14:solidFill>
          </w14:textFill>
        </w:rPr>
        <w:t>f</w:t>
      </w:r>
      <w:r>
        <w:rPr>
          <w:color w:val="000000" w:themeColor="text1"/>
          <w14:textFill>
            <w14:solidFill>
              <w14:schemeClr w14:val="tx1"/>
            </w14:solidFill>
          </w14:textFill>
        </w:rPr>
        <w:t>——频率，Hz。</w:t>
      </w:r>
    </w:p>
    <w:p w14:paraId="14017032">
      <w:pPr>
        <w:ind w:firstLine="480"/>
        <w:rPr>
          <w:color w:val="000000" w:themeColor="text1"/>
          <w14:textFill>
            <w14:solidFill>
              <w14:schemeClr w14:val="tx1"/>
            </w14:solidFill>
          </w14:textFill>
        </w:rPr>
      </w:pPr>
      <w:r>
        <w:rPr>
          <w:color w:val="000000" w:themeColor="text1"/>
          <w14:textFill>
            <w14:solidFill>
              <w14:schemeClr w14:val="tx1"/>
            </w14:solidFill>
          </w14:textFill>
        </w:rPr>
        <w:t>在一般情况下，可只考虑处于空间的实际导线，忽略它的镜像进行计算，其结果已足够符合实际。不考虑导线i的镜像时，可计算其在A点其产生的磁场强度：</w:t>
      </w:r>
    </w:p>
    <w:p w14:paraId="1639F280">
      <w:pPr>
        <w:ind w:firstLine="0" w:firstLineChars="0"/>
        <w:jc w:val="center"/>
        <w:rPr>
          <w:color w:val="000000" w:themeColor="text1"/>
          <w14:textFill>
            <w14:solidFill>
              <w14:schemeClr w14:val="tx1"/>
            </w14:solidFill>
          </w14:textFill>
        </w:rPr>
      </w:pPr>
      <m:oMath>
        <m:r>
          <m:rPr/>
          <w:rPr>
            <w:rFonts w:ascii="Cambria Math" w:hAnsi="Cambria Math"/>
            <w:color w:val="000000" w:themeColor="text1"/>
            <w:sz w:val="32"/>
            <w:szCs w:val="32"/>
            <w14:textFill>
              <w14:solidFill>
                <w14:schemeClr w14:val="tx1"/>
              </w14:solidFill>
            </w14:textFill>
          </w:rPr>
          <m:t>H</m:t>
        </m:r>
        <m:r>
          <m:rPr>
            <m:sty m:val="p"/>
          </m:rPr>
          <w:rPr>
            <w:rFonts w:ascii="Cambria Math" w:hAnsi="Cambria Math"/>
            <w:color w:val="000000" w:themeColor="text1"/>
            <w:sz w:val="32"/>
            <w:szCs w:val="32"/>
            <w14:textFill>
              <w14:solidFill>
                <w14:schemeClr w14:val="tx1"/>
              </w14:solidFill>
            </w14:textFill>
          </w:rPr>
          <m:t>=</m:t>
        </m:r>
        <m:f>
          <m:fPr>
            <m:ctrlPr>
              <w:rPr>
                <w:rFonts w:ascii="Cambria Math" w:hAnsi="Cambria Math"/>
                <w:color w:val="000000" w:themeColor="text1"/>
                <w:sz w:val="32"/>
                <w:szCs w:val="32"/>
                <w14:textFill>
                  <w14:solidFill>
                    <w14:schemeClr w14:val="tx1"/>
                  </w14:solidFill>
                </w14:textFill>
              </w:rPr>
            </m:ctrlPr>
          </m:fPr>
          <m:num>
            <m:r>
              <m:rPr>
                <m:sty m:val="p"/>
              </m:rPr>
              <w:rPr>
                <w:rFonts w:ascii="Cambria Math" w:hAnsi="Cambria Math"/>
                <w:color w:val="000000" w:themeColor="text1"/>
                <w:sz w:val="32"/>
                <w:szCs w:val="32"/>
                <w14:textFill>
                  <w14:solidFill>
                    <w14:schemeClr w14:val="tx1"/>
                  </w14:solidFill>
                </w14:textFill>
              </w:rPr>
              <m:t>I</m:t>
            </m:r>
            <m:ctrlPr>
              <w:rPr>
                <w:rFonts w:ascii="Cambria Math" w:hAnsi="Cambria Math"/>
                <w:color w:val="000000" w:themeColor="text1"/>
                <w:sz w:val="32"/>
                <w:szCs w:val="32"/>
                <w14:textFill>
                  <w14:solidFill>
                    <w14:schemeClr w14:val="tx1"/>
                  </w14:solidFill>
                </w14:textFill>
              </w:rPr>
            </m:ctrlPr>
          </m:num>
          <m:den>
            <m:r>
              <m:rPr>
                <m:sty m:val="p"/>
              </m:rPr>
              <w:rPr>
                <w:rFonts w:ascii="Cambria Math" w:hAnsi="Cambria Math"/>
                <w:color w:val="000000" w:themeColor="text1"/>
                <w:sz w:val="32"/>
                <w:szCs w:val="32"/>
                <w14:textFill>
                  <w14:solidFill>
                    <w14:schemeClr w14:val="tx1"/>
                  </w14:solidFill>
                </w14:textFill>
              </w:rPr>
              <m:t>2π</m:t>
            </m:r>
            <m:rad>
              <m:radPr>
                <m:degHide m:val="1"/>
                <m:ctrlPr>
                  <w:rPr>
                    <w:rFonts w:ascii="Cambria Math" w:hAnsi="Cambria Math"/>
                    <w:color w:val="000000" w:themeColor="text1"/>
                    <w:sz w:val="32"/>
                    <w:szCs w:val="32"/>
                    <w14:textFill>
                      <w14:solidFill>
                        <w14:schemeClr w14:val="tx1"/>
                      </w14:solidFill>
                    </w14:textFill>
                  </w:rPr>
                </m:ctrlPr>
              </m:radPr>
              <m:deg>
                <m:ctrlPr>
                  <w:rPr>
                    <w:rFonts w:ascii="Cambria Math" w:hAnsi="Cambria Math"/>
                    <w:color w:val="000000" w:themeColor="text1"/>
                    <w:sz w:val="32"/>
                    <w:szCs w:val="32"/>
                    <w14:textFill>
                      <w14:solidFill>
                        <w14:schemeClr w14:val="tx1"/>
                      </w14:solidFill>
                    </w14:textFill>
                  </w:rPr>
                </m:ctrlPr>
              </m:deg>
              <m:e>
                <m:sSup>
                  <m:sSupPr>
                    <m:ctrlPr>
                      <w:rPr>
                        <w:rFonts w:ascii="Cambria Math" w:hAnsi="Cambria Math"/>
                        <w:color w:val="000000" w:themeColor="text1"/>
                        <w:sz w:val="32"/>
                        <w:szCs w:val="32"/>
                        <w14:textFill>
                          <w14:solidFill>
                            <w14:schemeClr w14:val="tx1"/>
                          </w14:solidFill>
                        </w14:textFill>
                      </w:rPr>
                    </m:ctrlPr>
                  </m:sSupPr>
                  <m:e>
                    <m:r>
                      <m:rPr/>
                      <w:rPr>
                        <w:rFonts w:ascii="Cambria Math" w:hAnsi="Cambria Math"/>
                        <w:color w:val="000000" w:themeColor="text1"/>
                        <w:sz w:val="32"/>
                        <w:szCs w:val="32"/>
                        <w14:textFill>
                          <w14:solidFill>
                            <w14:schemeClr w14:val="tx1"/>
                          </w14:solidFill>
                        </w14:textFill>
                      </w:rPr>
                      <m:t>h</m:t>
                    </m:r>
                    <m:ctrlPr>
                      <w:rPr>
                        <w:rFonts w:ascii="Cambria Math" w:hAnsi="Cambria Math"/>
                        <w:color w:val="000000" w:themeColor="text1"/>
                        <w:sz w:val="32"/>
                        <w:szCs w:val="32"/>
                        <w14:textFill>
                          <w14:solidFill>
                            <w14:schemeClr w14:val="tx1"/>
                          </w14:solidFill>
                        </w14:textFill>
                      </w:rPr>
                    </m:ctrlPr>
                  </m:e>
                  <m:sup>
                    <m:r>
                      <m:rPr/>
                      <w:rPr>
                        <w:rFonts w:ascii="Cambria Math" w:hAnsi="Cambria Math"/>
                        <w:color w:val="000000" w:themeColor="text1"/>
                        <w:sz w:val="32"/>
                        <w:szCs w:val="32"/>
                        <w14:textFill>
                          <w14:solidFill>
                            <w14:schemeClr w14:val="tx1"/>
                          </w14:solidFill>
                        </w14:textFill>
                      </w:rPr>
                      <m:t>2</m:t>
                    </m:r>
                    <m:ctrlPr>
                      <w:rPr>
                        <w:rFonts w:ascii="Cambria Math" w:hAnsi="Cambria Math"/>
                        <w:color w:val="000000" w:themeColor="text1"/>
                        <w:sz w:val="32"/>
                        <w:szCs w:val="32"/>
                        <w14:textFill>
                          <w14:solidFill>
                            <w14:schemeClr w14:val="tx1"/>
                          </w14:solidFill>
                        </w14:textFill>
                      </w:rPr>
                    </m:ctrlPr>
                  </m:sup>
                </m:sSup>
                <m:r>
                  <m:rPr/>
                  <w:rPr>
                    <w:rFonts w:ascii="Cambria Math" w:hAnsi="Cambria Math"/>
                    <w:color w:val="000000" w:themeColor="text1"/>
                    <w:sz w:val="32"/>
                    <w:szCs w:val="32"/>
                    <w14:textFill>
                      <w14:solidFill>
                        <w14:schemeClr w14:val="tx1"/>
                      </w14:solidFill>
                    </w14:textFill>
                  </w:rPr>
                  <m:t>+</m:t>
                </m:r>
                <m:sSup>
                  <m:sSupPr>
                    <m:ctrlPr>
                      <w:rPr>
                        <w:rFonts w:ascii="Cambria Math" w:hAnsi="Cambria Math"/>
                        <w:i/>
                        <w:color w:val="000000" w:themeColor="text1"/>
                        <w:sz w:val="32"/>
                        <w:szCs w:val="32"/>
                        <w14:textFill>
                          <w14:solidFill>
                            <w14:schemeClr w14:val="tx1"/>
                          </w14:solidFill>
                        </w14:textFill>
                      </w:rPr>
                    </m:ctrlPr>
                  </m:sSupPr>
                  <m:e>
                    <m:r>
                      <m:rPr/>
                      <w:rPr>
                        <w:rFonts w:ascii="Cambria Math" w:hAnsi="Cambria Math"/>
                        <w:color w:val="000000" w:themeColor="text1"/>
                        <w:sz w:val="32"/>
                        <w:szCs w:val="32"/>
                        <w14:textFill>
                          <w14:solidFill>
                            <w14:schemeClr w14:val="tx1"/>
                          </w14:solidFill>
                        </w14:textFill>
                      </w:rPr>
                      <m:t>L</m:t>
                    </m:r>
                    <m:ctrlPr>
                      <w:rPr>
                        <w:rFonts w:ascii="Cambria Math" w:hAnsi="Cambria Math"/>
                        <w:i/>
                        <w:color w:val="000000" w:themeColor="text1"/>
                        <w:sz w:val="32"/>
                        <w:szCs w:val="32"/>
                        <w14:textFill>
                          <w14:solidFill>
                            <w14:schemeClr w14:val="tx1"/>
                          </w14:solidFill>
                        </w14:textFill>
                      </w:rPr>
                    </m:ctrlPr>
                  </m:e>
                  <m:sup>
                    <m:r>
                      <m:rPr/>
                      <w:rPr>
                        <w:rFonts w:ascii="Cambria Math" w:hAnsi="Cambria Math"/>
                        <w:color w:val="000000" w:themeColor="text1"/>
                        <w:sz w:val="32"/>
                        <w:szCs w:val="32"/>
                        <w14:textFill>
                          <w14:solidFill>
                            <w14:schemeClr w14:val="tx1"/>
                          </w14:solidFill>
                        </w14:textFill>
                      </w:rPr>
                      <m:t>2</m:t>
                    </m:r>
                    <m:ctrlPr>
                      <w:rPr>
                        <w:rFonts w:ascii="Cambria Math" w:hAnsi="Cambria Math"/>
                        <w:i/>
                        <w:color w:val="000000" w:themeColor="text1"/>
                        <w:sz w:val="32"/>
                        <w:szCs w:val="32"/>
                        <w14:textFill>
                          <w14:solidFill>
                            <w14:schemeClr w14:val="tx1"/>
                          </w14:solidFill>
                        </w14:textFill>
                      </w:rPr>
                    </m:ctrlPr>
                  </m:sup>
                </m:sSup>
                <m:ctrlPr>
                  <w:rPr>
                    <w:rFonts w:ascii="Cambria Math" w:hAnsi="Cambria Math"/>
                    <w:color w:val="000000" w:themeColor="text1"/>
                    <w:sz w:val="32"/>
                    <w:szCs w:val="32"/>
                    <w14:textFill>
                      <w14:solidFill>
                        <w14:schemeClr w14:val="tx1"/>
                      </w14:solidFill>
                    </w14:textFill>
                  </w:rPr>
                </m:ctrlPr>
              </m:e>
            </m:rad>
            <m:ctrlPr>
              <w:rPr>
                <w:rFonts w:ascii="Cambria Math" w:hAnsi="Cambria Math"/>
                <w:color w:val="000000" w:themeColor="text1"/>
                <w:sz w:val="32"/>
                <w:szCs w:val="32"/>
                <w14:textFill>
                  <w14:solidFill>
                    <w14:schemeClr w14:val="tx1"/>
                  </w14:solidFill>
                </w14:textFill>
              </w:rPr>
            </m:ctrlPr>
          </m:den>
        </m:f>
      </m:oMath>
      <w:r>
        <w:rPr>
          <w:rFonts w:hint="eastAsia"/>
          <w:color w:val="000000" w:themeColor="text1"/>
          <w:sz w:val="32"/>
          <w:szCs w:val="32"/>
          <w14:textFill>
            <w14:solidFill>
              <w14:schemeClr w14:val="tx1"/>
            </w14:solidFill>
          </w14:textFill>
        </w:rPr>
        <w:t>（</w:t>
      </w:r>
      <w:r>
        <w:rPr>
          <w:color w:val="000000" w:themeColor="text1"/>
          <w14:textFill>
            <w14:solidFill>
              <w14:schemeClr w14:val="tx1"/>
            </w14:solidFill>
          </w14:textFill>
        </w:rPr>
        <w:t>A/m</w:t>
      </w:r>
      <w:r>
        <w:rPr>
          <w:rFonts w:hint="eastAsia"/>
          <w:color w:val="000000" w:themeColor="text1"/>
          <w14:textFill>
            <w14:solidFill>
              <w14:schemeClr w14:val="tx1"/>
            </w14:solidFill>
          </w14:textFill>
        </w:rPr>
        <w:t>）</w:t>
      </w:r>
    </w:p>
    <w:p w14:paraId="4818E527">
      <w:pPr>
        <w:ind w:firstLine="480"/>
        <w:rPr>
          <w:color w:val="000000" w:themeColor="text1"/>
          <w14:textFill>
            <w14:solidFill>
              <w14:schemeClr w14:val="tx1"/>
            </w14:solidFill>
          </w14:textFill>
        </w:rPr>
      </w:pPr>
      <w:r>
        <w:rPr>
          <w:color w:val="000000" w:themeColor="text1"/>
          <w14:textFill>
            <w14:solidFill>
              <w14:schemeClr w14:val="tx1"/>
            </w14:solidFill>
          </w14:textFill>
        </w:rPr>
        <w:t>式中：</w:t>
      </w:r>
      <w:r>
        <w:rPr>
          <w:i/>
          <w:iCs/>
          <w:color w:val="000000" w:themeColor="text1"/>
          <w14:textFill>
            <w14:solidFill>
              <w14:schemeClr w14:val="tx1"/>
            </w14:solidFill>
          </w14:textFill>
        </w:rPr>
        <w:t>I</w:t>
      </w:r>
      <w:r>
        <w:rPr>
          <w:color w:val="000000" w:themeColor="text1"/>
          <w14:textFill>
            <w14:solidFill>
              <w14:schemeClr w14:val="tx1"/>
            </w14:solidFill>
          </w14:textFill>
        </w:rPr>
        <w:t>——导线i中的电流值，A；</w:t>
      </w:r>
    </w:p>
    <w:p w14:paraId="7E1BDC09">
      <w:pPr>
        <w:ind w:firstLine="1200" w:firstLineChars="500"/>
        <w:rPr>
          <w:color w:val="000000" w:themeColor="text1"/>
          <w14:textFill>
            <w14:solidFill>
              <w14:schemeClr w14:val="tx1"/>
            </w14:solidFill>
          </w14:textFill>
        </w:rPr>
      </w:pPr>
      <w:r>
        <w:rPr>
          <w:i/>
          <w:iCs/>
          <w:color w:val="000000" w:themeColor="text1"/>
          <w14:textFill>
            <w14:solidFill>
              <w14:schemeClr w14:val="tx1"/>
            </w14:solidFill>
          </w14:textFill>
        </w:rPr>
        <w:t>h</w:t>
      </w:r>
      <w:r>
        <w:rPr>
          <w:color w:val="000000" w:themeColor="text1"/>
          <w14:textFill>
            <w14:solidFill>
              <w14:schemeClr w14:val="tx1"/>
            </w14:solidFill>
          </w14:textFill>
        </w:rPr>
        <w:t>——导线与预测点的高差，m；</w:t>
      </w:r>
    </w:p>
    <w:p w14:paraId="0DD5416E">
      <w:pPr>
        <w:ind w:firstLine="1200" w:firstLineChars="500"/>
        <w:rPr>
          <w:color w:val="000000" w:themeColor="text1"/>
          <w14:textFill>
            <w14:solidFill>
              <w14:schemeClr w14:val="tx1"/>
            </w14:solidFill>
          </w14:textFill>
        </w:rPr>
      </w:pPr>
      <w:r>
        <w:rPr>
          <w:color w:val="000000" w:themeColor="text1"/>
          <w14:textFill>
            <w14:solidFill>
              <w14:schemeClr w14:val="tx1"/>
            </w14:solidFill>
          </w14:textFill>
        </w:rPr>
        <w:t>L——导线与预测点水平距离，m。</w:t>
      </w:r>
    </w:p>
    <w:p w14:paraId="493BCBB0">
      <w:pPr>
        <w:ind w:firstLine="480"/>
        <w:rPr>
          <w:color w:val="000000" w:themeColor="text1"/>
          <w14:textFill>
            <w14:solidFill>
              <w14:schemeClr w14:val="tx1"/>
            </w14:solidFill>
          </w14:textFill>
        </w:rPr>
      </w:pPr>
      <w:r>
        <w:rPr>
          <w:color w:val="000000" w:themeColor="text1"/>
          <w14:textFill>
            <w14:solidFill>
              <w14:schemeClr w14:val="tx1"/>
            </w14:solidFill>
          </w14:textFill>
        </w:rPr>
        <w:t>对于三相线路，由相位不同形成的磁场强度水平和垂直分量都应分别考虑电流的相角，按相位矢量来合成。合成的旋转矢量在空间的轨迹是一个椭圆。</w:t>
      </w:r>
    </w:p>
    <w:p w14:paraId="1601F7A8">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027680" cy="2343785"/>
            <wp:effectExtent l="0" t="0" r="1270" b="18415"/>
            <wp:docPr id="470" name="IM 470"/>
            <wp:cNvGraphicFramePr/>
            <a:graphic xmlns:a="http://schemas.openxmlformats.org/drawingml/2006/main">
              <a:graphicData uri="http://schemas.openxmlformats.org/drawingml/2006/picture">
                <pic:pic xmlns:pic="http://schemas.openxmlformats.org/drawingml/2006/picture">
                  <pic:nvPicPr>
                    <pic:cNvPr id="470" name="IM 470"/>
                    <pic:cNvPicPr/>
                  </pic:nvPicPr>
                  <pic:blipFill>
                    <a:blip r:embed="rId50"/>
                    <a:stretch>
                      <a:fillRect/>
                    </a:stretch>
                  </pic:blipFill>
                  <pic:spPr>
                    <a:xfrm>
                      <a:off x="0" y="0"/>
                      <a:ext cx="3028188" cy="2343911"/>
                    </a:xfrm>
                    <a:prstGeom prst="rect">
                      <a:avLst/>
                    </a:prstGeom>
                  </pic:spPr>
                </pic:pic>
              </a:graphicData>
            </a:graphic>
          </wp:inline>
        </w:drawing>
      </w:r>
    </w:p>
    <w:p w14:paraId="64869DE7">
      <w:pPr>
        <w:pStyle w:val="58"/>
        <w:spacing w:after="120"/>
        <w:rPr>
          <w:rFonts w:hint="default"/>
          <w:color w:val="000000" w:themeColor="text1"/>
          <w14:textFill>
            <w14:solidFill>
              <w14:schemeClr w14:val="tx1"/>
            </w14:solidFill>
          </w14:textFill>
        </w:rPr>
      </w:pPr>
      <w:r>
        <w:rPr>
          <w:rFonts w:hint="default"/>
          <w:color w:val="000000" w:themeColor="text1"/>
          <w:sz w:val="21"/>
          <w:szCs w:val="21"/>
          <w14:textFill>
            <w14:solidFill>
              <w14:schemeClr w14:val="tx1"/>
            </w14:solidFill>
          </w14:textFill>
        </w:rPr>
        <w:t>图</w:t>
      </w:r>
      <w:r>
        <w:rPr>
          <w:rFonts w:hint="default"/>
          <w:color w:val="000000" w:themeColor="text1"/>
          <w:sz w:val="21"/>
          <w:szCs w:val="21"/>
          <w14:textFill>
            <w14:solidFill>
              <w14:schemeClr w14:val="tx1"/>
            </w14:solidFill>
          </w14:textFill>
        </w:rPr>
        <w:fldChar w:fldCharType="begin"/>
      </w:r>
      <w:r>
        <w:rPr>
          <w:rFonts w:hint="default"/>
          <w:color w:val="000000" w:themeColor="text1"/>
          <w:sz w:val="21"/>
          <w:szCs w:val="21"/>
          <w14:textFill>
            <w14:solidFill>
              <w14:schemeClr w14:val="tx1"/>
            </w14:solidFill>
          </w14:textFill>
        </w:rPr>
        <w:instrText xml:space="preserve"> STYLEREF 1 \s </w:instrText>
      </w:r>
      <w:r>
        <w:rPr>
          <w:rFonts w:hint="default"/>
          <w:color w:val="000000" w:themeColor="text1"/>
          <w:sz w:val="21"/>
          <w:szCs w:val="21"/>
          <w14:textFill>
            <w14:solidFill>
              <w14:schemeClr w14:val="tx1"/>
            </w14:solidFill>
          </w14:textFill>
        </w:rPr>
        <w:fldChar w:fldCharType="separate"/>
      </w:r>
      <w:r>
        <w:rPr>
          <w:rFonts w:hint="default"/>
          <w:color w:val="000000" w:themeColor="text1"/>
          <w:sz w:val="21"/>
          <w:szCs w:val="21"/>
          <w14:textFill>
            <w14:solidFill>
              <w14:schemeClr w14:val="tx1"/>
            </w14:solidFill>
          </w14:textFill>
        </w:rPr>
        <w:t>6</w:t>
      </w:r>
      <w:r>
        <w:rPr>
          <w:rFonts w:hint="default"/>
          <w:color w:val="000000" w:themeColor="text1"/>
          <w:sz w:val="21"/>
          <w:szCs w:val="21"/>
          <w14:textFill>
            <w14:solidFill>
              <w14:schemeClr w14:val="tx1"/>
            </w14:solidFill>
          </w14:textFill>
        </w:rPr>
        <w:fldChar w:fldCharType="end"/>
      </w:r>
      <w:r>
        <w:rPr>
          <w:rFonts w:hint="default"/>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1</w:t>
      </w:r>
      <w:r>
        <w:rPr>
          <w:rFonts w:hint="default"/>
          <w:color w:val="000000" w:themeColor="text1"/>
          <w:sz w:val="21"/>
          <w:szCs w:val="21"/>
          <w14:textFill>
            <w14:solidFill>
              <w14:schemeClr w14:val="tx1"/>
            </w14:solidFill>
          </w14:textFill>
        </w:rPr>
        <w:t>-</w:t>
      </w:r>
      <w:r>
        <w:rPr>
          <w:color w:val="000000" w:themeColor="text1"/>
          <w:sz w:val="21"/>
          <w:szCs w:val="21"/>
          <w14:textFill>
            <w14:solidFill>
              <w14:schemeClr w14:val="tx1"/>
            </w14:solidFill>
          </w14:textFill>
        </w:rPr>
        <w:t>4</w:t>
      </w:r>
      <w:r>
        <w:rPr>
          <w:rFonts w:hint="default"/>
          <w:color w:val="000000" w:themeColor="text1"/>
          <w:sz w:val="21"/>
          <w:szCs w:val="21"/>
          <w14:textFill>
            <w14:solidFill>
              <w14:schemeClr w14:val="tx1"/>
            </w14:solidFill>
          </w14:textFill>
        </w:rPr>
        <w:t xml:space="preserve">  磁场向量图</w:t>
      </w:r>
    </w:p>
    <w:p w14:paraId="1B6497C3">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本项目为三相输电，考虑到空间某点的磁场是由三相电流分别产生，所产生的三个矢量除大小和方向不同外，三个矢量间相角相差120</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。合成后是一旋转矢量。旋转矢量的轨迹为一椭圆，一般可用椭圆的长轴来表示综合磁感应强度的最大值。</w:t>
      </w:r>
    </w:p>
    <w:p w14:paraId="7D1EDC71">
      <w:pPr>
        <w:pStyle w:val="4"/>
        <w:spacing w:before="159"/>
        <w:ind w:firstLine="0" w:firstLineChars="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6.1.3计算参数的选取</w:t>
      </w:r>
    </w:p>
    <w:p w14:paraId="23FBDBA1">
      <w:pPr>
        <w:ind w:firstLine="480"/>
        <w:rPr>
          <w:color w:val="000000" w:themeColor="text1"/>
          <w14:textFill>
            <w14:solidFill>
              <w14:schemeClr w14:val="tx1"/>
            </w14:solidFill>
          </w14:textFill>
        </w:rPr>
      </w:pPr>
      <w:r>
        <w:rPr>
          <w:color w:val="000000" w:themeColor="text1"/>
          <w14:textFill>
            <w14:solidFill>
              <w14:schemeClr w14:val="tx1"/>
            </w14:solidFill>
          </w14:textFill>
        </w:rPr>
        <w:t>根据《110kV～750kV架空输电线路设计规范》（GB50545-2010）中750kV架空线路要求导线对地面最小距离为居民区（19.5m）和非居民区（15.5m），本次预测750kV架空线路导线对地高度为19.5m及15.5m地面上1.5m高度处的工频电场强度和工频磁感应强度，补充预测刚好符合10kV/m控制限值以及4kV/m、100μT公众暴露限值对应线高，地面上1.5m高度处的工频电场强度和工频磁感应强度。</w:t>
      </w:r>
    </w:p>
    <w:p w14:paraId="10257DA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因输电线路运行产生的工频电场、工频磁场及噪声主要由导线型式、导线对地高度、相间距离和线路运行工况（电压、电流）等因素决定。导线型式、导线对地高度和线路运行工况等相同时，对于工频电场强度和工频磁感应强度而言，相间距离大的塔型较相间距离小的塔型略大。</w:t>
      </w:r>
    </w:p>
    <w:p w14:paraId="0951C15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鉴于线路沿线采用多种塔型，直线塔运用最多，同时线路沿线均在平原区，故本工程塔型铁塔按不同冰区、风速规划系列中选取</w:t>
      </w:r>
      <w:r>
        <w:rPr>
          <w:rFonts w:hint="eastAsia" w:ascii="宋体" w:hAnsi="宋体" w:cs="宋体"/>
          <w:color w:val="000000" w:themeColor="text1"/>
          <w:kern w:val="0"/>
          <w:lang w:val="en-US" w:eastAsia="zh-CN" w:bidi="ar"/>
          <w14:textFill>
            <w14:solidFill>
              <w14:schemeClr w14:val="tx1"/>
            </w14:solidFill>
          </w14:textFill>
        </w:rPr>
        <w:t>单回路</w:t>
      </w:r>
      <w:r>
        <w:rPr>
          <w:rFonts w:hint="eastAsia" w:ascii="宋体" w:hAnsi="宋体" w:cs="宋体"/>
          <w:color w:val="000000" w:themeColor="text1"/>
          <w:kern w:val="0"/>
          <w:lang w:bidi="ar"/>
          <w14:textFill>
            <w14:solidFill>
              <w14:schemeClr w14:val="tx1"/>
            </w14:solidFill>
          </w14:textFill>
        </w:rPr>
        <w:t>导线相间距最大塔型（</w:t>
      </w:r>
      <w:r>
        <w:rPr>
          <w:color w:val="000000" w:themeColor="text1"/>
          <w:kern w:val="0"/>
          <w:lang w:bidi="ar"/>
          <w14:textFill>
            <w14:solidFill>
              <w14:schemeClr w14:val="tx1"/>
            </w14:solidFill>
          </w14:textFill>
        </w:rPr>
        <w:t>750-</w:t>
      </w:r>
      <w:r>
        <w:rPr>
          <w:rFonts w:hint="eastAsia"/>
          <w:color w:val="000000" w:themeColor="text1"/>
          <w:kern w:val="0"/>
          <w:lang w:val="en-US" w:eastAsia="zh-CN" w:bidi="ar"/>
          <w14:textFill>
            <w14:solidFill>
              <w14:schemeClr w14:val="tx1"/>
            </w14:solidFill>
          </w14:textFill>
        </w:rPr>
        <w:t>PD</w:t>
      </w:r>
      <w:r>
        <w:rPr>
          <w:color w:val="000000" w:themeColor="text1"/>
          <w:kern w:val="0"/>
          <w:lang w:bidi="ar"/>
          <w14:textFill>
            <w14:solidFill>
              <w14:schemeClr w14:val="tx1"/>
            </w14:solidFill>
          </w14:textFill>
        </w:rPr>
        <w:t>22D-ZB</w:t>
      </w:r>
      <w:r>
        <w:rPr>
          <w:rFonts w:hint="eastAsia"/>
          <w:color w:val="000000" w:themeColor="text1"/>
          <w:kern w:val="0"/>
          <w:lang w:val="en-US" w:eastAsia="zh-CN"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w:t>
      </w:r>
      <w:r>
        <w:rPr>
          <w:rFonts w:hint="eastAsia" w:ascii="宋体" w:hAnsi="宋体" w:cs="宋体"/>
          <w:color w:val="000000" w:themeColor="text1"/>
          <w:kern w:val="0"/>
          <w:lang w:eastAsia="zh-CN"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按照经过居民区、非居民区导线对地最低高度</w:t>
      </w:r>
      <w:r>
        <w:rPr>
          <w:color w:val="000000" w:themeColor="text1"/>
          <w:kern w:val="0"/>
          <w:lang w:bidi="ar"/>
          <w14:textFill>
            <w14:solidFill>
              <w14:schemeClr w14:val="tx1"/>
            </w14:solidFill>
          </w14:textFill>
        </w:rPr>
        <w:t>19.5m</w:t>
      </w: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15.5m</w:t>
      </w:r>
      <w:r>
        <w:rPr>
          <w:rFonts w:hint="eastAsia" w:ascii="宋体" w:hAnsi="宋体" w:cs="宋体"/>
          <w:color w:val="000000" w:themeColor="text1"/>
          <w:kern w:val="0"/>
          <w:lang w:bidi="ar"/>
          <w14:textFill>
            <w14:solidFill>
              <w14:schemeClr w14:val="tx1"/>
            </w14:solidFill>
          </w14:textFill>
        </w:rPr>
        <w:t>进行电磁预测。双回路选择终端塔</w:t>
      </w:r>
      <w:r>
        <w:rPr>
          <w:color w:val="000000" w:themeColor="text1"/>
          <w:kern w:val="0"/>
          <w:lang w:bidi="ar"/>
          <w14:textFill>
            <w14:solidFill>
              <w14:schemeClr w14:val="tx1"/>
            </w14:solidFill>
          </w14:textFill>
        </w:rPr>
        <w:t>750-SDJ</w:t>
      </w:r>
      <w:r>
        <w:rPr>
          <w:rFonts w:hint="eastAsia" w:ascii="宋体" w:hAnsi="宋体" w:cs="宋体"/>
          <w:color w:val="000000" w:themeColor="text1"/>
          <w:kern w:val="0"/>
          <w:lang w:bidi="ar"/>
          <w14:textFill>
            <w14:solidFill>
              <w14:schemeClr w14:val="tx1"/>
            </w14:solidFill>
          </w14:textFill>
        </w:rPr>
        <w:t>进行计算。</w:t>
      </w:r>
    </w:p>
    <w:p w14:paraId="2073DCE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预测电压为标称电压</w:t>
      </w:r>
      <w:r>
        <w:rPr>
          <w:color w:val="000000" w:themeColor="text1"/>
          <w:kern w:val="0"/>
          <w:lang w:bidi="ar"/>
          <w14:textFill>
            <w14:solidFill>
              <w14:schemeClr w14:val="tx1"/>
            </w14:solidFill>
          </w14:textFill>
        </w:rPr>
        <w:t>750kV</w:t>
      </w:r>
      <w:r>
        <w:rPr>
          <w:rFonts w:hint="eastAsia" w:ascii="宋体" w:hAnsi="宋体" w:cs="宋体"/>
          <w:color w:val="000000" w:themeColor="text1"/>
          <w:kern w:val="0"/>
          <w:lang w:bidi="ar"/>
          <w14:textFill>
            <w14:solidFill>
              <w14:schemeClr w14:val="tx1"/>
            </w14:solidFill>
          </w14:textFill>
        </w:rPr>
        <w:t>的</w:t>
      </w:r>
      <w:r>
        <w:rPr>
          <w:color w:val="000000" w:themeColor="text1"/>
          <w:kern w:val="0"/>
          <w:lang w:bidi="ar"/>
          <w14:textFill>
            <w14:solidFill>
              <w14:schemeClr w14:val="tx1"/>
            </w14:solidFill>
          </w14:textFill>
        </w:rPr>
        <w:t>1.05</w:t>
      </w:r>
      <w:r>
        <w:rPr>
          <w:rFonts w:hint="eastAsia" w:ascii="宋体" w:hAnsi="宋体" w:cs="宋体"/>
          <w:color w:val="000000" w:themeColor="text1"/>
          <w:kern w:val="0"/>
          <w:lang w:bidi="ar"/>
          <w14:textFill>
            <w14:solidFill>
              <w14:schemeClr w14:val="tx1"/>
            </w14:solidFill>
          </w14:textFill>
        </w:rPr>
        <w:t>倍，即</w:t>
      </w:r>
      <w:r>
        <w:rPr>
          <w:color w:val="000000" w:themeColor="text1"/>
          <w:kern w:val="0"/>
          <w:lang w:bidi="ar"/>
          <w14:textFill>
            <w14:solidFill>
              <w14:schemeClr w14:val="tx1"/>
            </w14:solidFill>
          </w14:textFill>
        </w:rPr>
        <w:t>787.5kV</w:t>
      </w:r>
      <w:r>
        <w:rPr>
          <w:rFonts w:hint="eastAsia" w:ascii="宋体" w:hAnsi="宋体" w:cs="宋体"/>
          <w:color w:val="000000" w:themeColor="text1"/>
          <w:kern w:val="0"/>
          <w:lang w:bidi="ar"/>
          <w14:textFill>
            <w14:solidFill>
              <w14:schemeClr w14:val="tx1"/>
            </w14:solidFill>
          </w14:textFill>
        </w:rPr>
        <w:t>。</w:t>
      </w:r>
    </w:p>
    <w:p w14:paraId="17EDAA9D">
      <w:pPr>
        <w:widowControl/>
        <w:ind w:firstLine="480"/>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预测选取的典型塔型见图</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5</w:t>
      </w:r>
      <w:r>
        <w:rPr>
          <w:rFonts w:hint="eastAsia" w:ascii="宋体" w:hAnsi="宋体" w:cs="宋体"/>
          <w:color w:val="000000" w:themeColor="text1"/>
          <w:kern w:val="0"/>
          <w:lang w:bidi="ar"/>
          <w14:textFill>
            <w14:solidFill>
              <w14:schemeClr w14:val="tx1"/>
            </w14:solidFill>
          </w14:textFill>
        </w:rPr>
        <w:t>。</w:t>
      </w:r>
    </w:p>
    <w:tbl>
      <w:tblPr>
        <w:tblStyle w:val="2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38"/>
        <w:gridCol w:w="4281"/>
      </w:tblGrid>
      <w:tr w14:paraId="585A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pct"/>
          </w:tcPr>
          <w:p w14:paraId="13B6FAB7">
            <w:pPr>
              <w:widowControl/>
              <w:ind w:firstLine="0" w:firstLineChars="0"/>
              <w:jc w:val="center"/>
              <w:rPr>
                <w:rFonts w:hint="eastAsia" w:ascii="宋体" w:hAnsi="宋体" w:cs="宋体"/>
                <w:color w:val="000000" w:themeColor="text1"/>
                <w:kern w:val="0"/>
                <w:lang w:bidi="ar"/>
                <w14:textFill>
                  <w14:solidFill>
                    <w14:schemeClr w14:val="tx1"/>
                  </w14:solidFill>
                </w14:textFill>
              </w:rPr>
            </w:pPr>
            <w:r>
              <w:rPr>
                <w:color w:val="000000" w:themeColor="text1"/>
                <w14:textFill>
                  <w14:solidFill>
                    <w14:schemeClr w14:val="tx1"/>
                  </w14:solidFill>
                </w14:textFill>
              </w:rPr>
              <w:drawing>
                <wp:inline distT="0" distB="0" distL="114300" distR="114300">
                  <wp:extent cx="1862455" cy="3494405"/>
                  <wp:effectExtent l="0" t="0" r="4445" b="10795"/>
                  <wp:docPr id="76" name="图片 2"/>
                  <wp:cNvGraphicFramePr/>
                  <a:graphic xmlns:a="http://schemas.openxmlformats.org/drawingml/2006/main">
                    <a:graphicData uri="http://schemas.openxmlformats.org/drawingml/2006/picture">
                      <pic:pic xmlns:pic="http://schemas.openxmlformats.org/drawingml/2006/picture">
                        <pic:nvPicPr>
                          <pic:cNvPr id="76" name="图片 2"/>
                          <pic:cNvPicPr/>
                        </pic:nvPicPr>
                        <pic:blipFill>
                          <a:blip r:embed="rId51"/>
                          <a:stretch>
                            <a:fillRect/>
                          </a:stretch>
                        </pic:blipFill>
                        <pic:spPr>
                          <a:xfrm>
                            <a:off x="0" y="0"/>
                            <a:ext cx="1862455" cy="3494405"/>
                          </a:xfrm>
                          <a:prstGeom prst="rect">
                            <a:avLst/>
                          </a:prstGeom>
                          <a:noFill/>
                          <a:ln>
                            <a:noFill/>
                          </a:ln>
                        </pic:spPr>
                      </pic:pic>
                    </a:graphicData>
                  </a:graphic>
                </wp:inline>
              </w:drawing>
            </w:r>
          </w:p>
        </w:tc>
        <w:tc>
          <w:tcPr>
            <w:tcW w:w="2512" w:type="pct"/>
          </w:tcPr>
          <w:p w14:paraId="40745068">
            <w:pPr>
              <w:widowControl/>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928495" cy="3589655"/>
                  <wp:effectExtent l="0" t="0" r="14605" b="10795"/>
                  <wp:docPr id="84" name="图片 5"/>
                  <wp:cNvGraphicFramePr/>
                  <a:graphic xmlns:a="http://schemas.openxmlformats.org/drawingml/2006/main">
                    <a:graphicData uri="http://schemas.openxmlformats.org/drawingml/2006/picture">
                      <pic:pic xmlns:pic="http://schemas.openxmlformats.org/drawingml/2006/picture">
                        <pic:nvPicPr>
                          <pic:cNvPr id="84" name="图片 5"/>
                          <pic:cNvPicPr/>
                        </pic:nvPicPr>
                        <pic:blipFill>
                          <a:blip r:embed="rId52"/>
                          <a:stretch>
                            <a:fillRect/>
                          </a:stretch>
                        </pic:blipFill>
                        <pic:spPr>
                          <a:xfrm>
                            <a:off x="0" y="0"/>
                            <a:ext cx="1928495" cy="3589655"/>
                          </a:xfrm>
                          <a:prstGeom prst="rect">
                            <a:avLst/>
                          </a:prstGeom>
                          <a:noFill/>
                          <a:ln>
                            <a:noFill/>
                          </a:ln>
                        </pic:spPr>
                      </pic:pic>
                    </a:graphicData>
                  </a:graphic>
                </wp:inline>
              </w:drawing>
            </w:r>
          </w:p>
        </w:tc>
      </w:tr>
      <w:tr w14:paraId="00DD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pct"/>
          </w:tcPr>
          <w:p w14:paraId="22D7FD5F">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750-PD22D-ZB</w:t>
            </w:r>
            <w:r>
              <w:rPr>
                <w:rFonts w:hint="eastAsia"/>
                <w:color w:val="000000" w:themeColor="text1"/>
                <w:sz w:val="21"/>
                <w:szCs w:val="21"/>
                <w:lang w:val="en-US" w:eastAsia="zh-CN"/>
                <w14:textFill>
                  <w14:solidFill>
                    <w14:schemeClr w14:val="tx1"/>
                  </w14:solidFill>
                </w14:textFill>
              </w:rPr>
              <w:t>3</w:t>
            </w:r>
          </w:p>
        </w:tc>
        <w:tc>
          <w:tcPr>
            <w:tcW w:w="2512" w:type="pct"/>
          </w:tcPr>
          <w:p w14:paraId="35E7BF6A">
            <w:pPr>
              <w:widowControl/>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750-SDJ</w:t>
            </w:r>
          </w:p>
        </w:tc>
      </w:tr>
    </w:tbl>
    <w:p w14:paraId="53456D89">
      <w:pPr>
        <w:widowControl/>
        <w:ind w:firstLine="0" w:firstLineChars="0"/>
        <w:jc w:val="center"/>
        <w:rPr>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图6.1-</w:t>
      </w:r>
      <w:r>
        <w:rPr>
          <w:rFonts w:hint="eastAsia"/>
          <w:b/>
          <w:bCs/>
          <w:color w:val="000000" w:themeColor="text1"/>
          <w:kern w:val="0"/>
          <w:sz w:val="21"/>
          <w:szCs w:val="21"/>
          <w:lang w:bidi="ar"/>
          <w14:textFill>
            <w14:solidFill>
              <w14:schemeClr w14:val="tx1"/>
            </w14:solidFill>
          </w14:textFill>
        </w:rPr>
        <w:t>5</w:t>
      </w:r>
      <w:r>
        <w:rPr>
          <w:b/>
          <w:bCs/>
          <w:color w:val="000000" w:themeColor="text1"/>
          <w:kern w:val="0"/>
          <w:sz w:val="21"/>
          <w:szCs w:val="21"/>
          <w:lang w:bidi="ar"/>
          <w14:textFill>
            <w14:solidFill>
              <w14:schemeClr w14:val="tx1"/>
            </w14:solidFill>
          </w14:textFill>
        </w:rPr>
        <w:t xml:space="preserve">  预测选取的典型塔型图</w:t>
      </w:r>
    </w:p>
    <w:p w14:paraId="2987F25E">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单回路线路参数选取</w:t>
      </w:r>
    </w:p>
    <w:p w14:paraId="5F69D291">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本项目单回路输电线路选择</w:t>
      </w:r>
      <w:r>
        <w:rPr>
          <w:color w:val="000000" w:themeColor="text1"/>
          <w:kern w:val="0"/>
          <w:lang w:bidi="ar"/>
          <w14:textFill>
            <w14:solidFill>
              <w14:schemeClr w14:val="tx1"/>
            </w14:solidFill>
          </w14:textFill>
        </w:rPr>
        <w:t>750-</w:t>
      </w:r>
      <w:r>
        <w:rPr>
          <w:rFonts w:hint="eastAsia"/>
          <w:color w:val="000000" w:themeColor="text1"/>
          <w:kern w:val="0"/>
          <w:lang w:val="en-US" w:eastAsia="zh-CN" w:bidi="ar"/>
          <w14:textFill>
            <w14:solidFill>
              <w14:schemeClr w14:val="tx1"/>
            </w14:solidFill>
          </w14:textFill>
        </w:rPr>
        <w:t>PD</w:t>
      </w:r>
      <w:r>
        <w:rPr>
          <w:color w:val="000000" w:themeColor="text1"/>
          <w:kern w:val="0"/>
          <w:lang w:bidi="ar"/>
          <w14:textFill>
            <w14:solidFill>
              <w14:schemeClr w14:val="tx1"/>
            </w14:solidFill>
          </w14:textFill>
        </w:rPr>
        <w:t>22D-ZB</w:t>
      </w:r>
      <w:r>
        <w:rPr>
          <w:rFonts w:hint="eastAsia"/>
          <w:color w:val="000000" w:themeColor="text1"/>
          <w:kern w:val="0"/>
          <w:lang w:val="en-US" w:eastAsia="zh-CN" w:bidi="ar"/>
          <w14:textFill>
            <w14:solidFill>
              <w14:schemeClr w14:val="tx1"/>
            </w14:solidFill>
          </w14:textFill>
        </w:rPr>
        <w:t>3</w:t>
      </w:r>
      <w:r>
        <w:rPr>
          <w:color w:val="000000" w:themeColor="text1"/>
          <w14:textFill>
            <w14:solidFill>
              <w14:schemeClr w14:val="tx1"/>
            </w14:solidFill>
          </w14:textFill>
        </w:rPr>
        <w:t>塔型进行计算，</w:t>
      </w:r>
      <w:r>
        <w:rPr>
          <w:rFonts w:hint="eastAsia"/>
          <w:color w:val="000000" w:themeColor="text1"/>
          <w14:textFill>
            <w14:solidFill>
              <w14:schemeClr w14:val="tx1"/>
            </w14:solidFill>
          </w14:textFill>
        </w:rPr>
        <w:t>此</w:t>
      </w:r>
      <w:r>
        <w:rPr>
          <w:color w:val="000000" w:themeColor="text1"/>
          <w14:textFill>
            <w14:solidFill>
              <w14:schemeClr w14:val="tx1"/>
            </w14:solidFill>
          </w14:textFill>
        </w:rPr>
        <w:t>塔型本单回路</w:t>
      </w:r>
      <w:r>
        <w:rPr>
          <w:rFonts w:hint="eastAsia"/>
          <w:color w:val="000000" w:themeColor="text1"/>
          <w14:textFill>
            <w14:solidFill>
              <w14:schemeClr w14:val="tx1"/>
            </w14:solidFill>
          </w14:textFill>
        </w:rPr>
        <w:t>导线相间距最大塔型，</w:t>
      </w:r>
      <w:r>
        <w:rPr>
          <w:color w:val="000000" w:themeColor="text1"/>
          <w14:textFill>
            <w14:solidFill>
              <w14:schemeClr w14:val="tx1"/>
            </w14:solidFill>
          </w14:textFill>
        </w:rPr>
        <w:t>属于本项目塔型中工频电磁场影响最不利塔型。</w:t>
      </w:r>
    </w:p>
    <w:p w14:paraId="79BFFD62">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单回输电线路电磁理论预测计算参数见表6.1-</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p>
    <w:p w14:paraId="3756E715">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1</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 xml:space="preserve"> 本工程输电线路电磁理论计算基础参数（单回路线路计算参数）</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1268"/>
        <w:gridCol w:w="2850"/>
        <w:gridCol w:w="3364"/>
      </w:tblGrid>
      <w:tr w14:paraId="6830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03C79DE9">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预测情景</w:t>
            </w:r>
          </w:p>
        </w:tc>
        <w:tc>
          <w:tcPr>
            <w:tcW w:w="6214" w:type="dxa"/>
            <w:gridSpan w:val="2"/>
            <w:vAlign w:val="center"/>
          </w:tcPr>
          <w:p w14:paraId="11CD3F3B">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750kV</w:t>
            </w:r>
            <w:r>
              <w:rPr>
                <w:rFonts w:hint="eastAsia" w:ascii="宋体" w:hAnsi="宋体" w:cs="宋体"/>
                <w:color w:val="000000" w:themeColor="text1"/>
                <w:kern w:val="0"/>
                <w:sz w:val="21"/>
                <w:szCs w:val="21"/>
                <w:lang w:bidi="ar"/>
                <w14:textFill>
                  <w14:solidFill>
                    <w14:schemeClr w14:val="tx1"/>
                  </w14:solidFill>
                </w14:textFill>
              </w:rPr>
              <w:t>单回路</w:t>
            </w:r>
          </w:p>
        </w:tc>
      </w:tr>
      <w:tr w14:paraId="0120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04916DD1">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导线型式</w:t>
            </w:r>
          </w:p>
        </w:tc>
        <w:tc>
          <w:tcPr>
            <w:tcW w:w="6214" w:type="dxa"/>
            <w:gridSpan w:val="2"/>
            <w:vAlign w:val="center"/>
          </w:tcPr>
          <w:p w14:paraId="60F31658">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JL3/G1A-400/50</w:t>
            </w:r>
          </w:p>
        </w:tc>
      </w:tr>
      <w:tr w14:paraId="00BF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3A7C75FA">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塔型</w:t>
            </w:r>
          </w:p>
        </w:tc>
        <w:tc>
          <w:tcPr>
            <w:tcW w:w="6214" w:type="dxa"/>
            <w:gridSpan w:val="2"/>
            <w:vAlign w:val="center"/>
          </w:tcPr>
          <w:p w14:paraId="4DDE79D6">
            <w:pPr>
              <w:snapToGrid w:val="0"/>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14:textFill>
                  <w14:solidFill>
                    <w14:schemeClr w14:val="tx1"/>
                  </w14:solidFill>
                </w14:textFill>
              </w:rPr>
              <mc:AlternateContent>
                <mc:Choice Requires="wpg">
                  <w:drawing>
                    <wp:anchor distT="0" distB="0" distL="114300" distR="114300" simplePos="0" relativeHeight="251695104" behindDoc="0" locked="0" layoutInCell="1" allowOverlap="1">
                      <wp:simplePos x="0" y="0"/>
                      <wp:positionH relativeFrom="column">
                        <wp:posOffset>779780</wp:posOffset>
                      </wp:positionH>
                      <wp:positionV relativeFrom="paragraph">
                        <wp:posOffset>1040130</wp:posOffset>
                      </wp:positionV>
                      <wp:extent cx="2840990" cy="354965"/>
                      <wp:effectExtent l="0" t="0" r="0" b="0"/>
                      <wp:wrapNone/>
                      <wp:docPr id="85" name="组合 85"/>
                      <wp:cNvGraphicFramePr/>
                      <a:graphic xmlns:a="http://schemas.openxmlformats.org/drawingml/2006/main">
                        <a:graphicData uri="http://schemas.microsoft.com/office/word/2010/wordprocessingGroup">
                          <wpg:wgp>
                            <wpg:cNvGrpSpPr/>
                            <wpg:grpSpPr>
                              <a:xfrm>
                                <a:off x="0" y="0"/>
                                <a:ext cx="2840990" cy="354965"/>
                                <a:chOff x="5618" y="1282514"/>
                                <a:chExt cx="4474" cy="559"/>
                              </a:xfrm>
                            </wpg:grpSpPr>
                            <wps:wsp>
                              <wps:cNvPr id="88" name="文本框 5"/>
                              <wps:cNvSpPr txBox="1"/>
                              <wps:spPr>
                                <a:xfrm>
                                  <a:off x="5618" y="1282514"/>
                                  <a:ext cx="586" cy="55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B3EE23">
                                    <w:pPr>
                                      <w:ind w:firstLine="0" w:firstLineChars="0"/>
                                      <w:rPr>
                                        <w:color w:val="FF0000"/>
                                        <w:sz w:val="21"/>
                                        <w:szCs w:val="21"/>
                                      </w:rPr>
                                    </w:pPr>
                                    <w:r>
                                      <w:rPr>
                                        <w:rFonts w:hint="eastAsia"/>
                                        <w:color w:val="FF0000"/>
                                        <w:sz w:val="21"/>
                                        <w:szCs w:val="21"/>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9" name="文本框 7"/>
                              <wps:cNvSpPr txBox="1"/>
                              <wps:spPr>
                                <a:xfrm>
                                  <a:off x="9506" y="1282534"/>
                                  <a:ext cx="586" cy="52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4E6FF6">
                                    <w:pPr>
                                      <w:ind w:firstLine="0" w:firstLineChars="0"/>
                                      <w:rPr>
                                        <w:color w:val="FF0000"/>
                                        <w:sz w:val="21"/>
                                        <w:szCs w:val="21"/>
                                      </w:rPr>
                                    </w:pPr>
                                    <w:r>
                                      <w:rPr>
                                        <w:rFonts w:hint="eastAsia"/>
                                        <w:color w:val="FF0000"/>
                                        <w:sz w:val="21"/>
                                        <w:szCs w:val="21"/>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5" name="文本框 8"/>
                              <wps:cNvSpPr txBox="1"/>
                              <wps:spPr>
                                <a:xfrm>
                                  <a:off x="7474" y="1282554"/>
                                  <a:ext cx="586" cy="4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0CBD3C">
                                    <w:pPr>
                                      <w:ind w:firstLine="0" w:firstLineChars="0"/>
                                      <w:rPr>
                                        <w:color w:val="FF0000"/>
                                        <w:sz w:val="21"/>
                                        <w:szCs w:val="21"/>
                                      </w:rPr>
                                    </w:pPr>
                                    <w:r>
                                      <w:rPr>
                                        <w:rFonts w:hint="eastAsia"/>
                                        <w:color w:val="FF0000"/>
                                        <w:sz w:val="21"/>
                                        <w:szCs w:val="21"/>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61.4pt;margin-top:81.9pt;height:27.95pt;width:223.7pt;z-index:251695104;mso-width-relative:page;mso-height-relative:page;" coordorigin="5618,1282514" coordsize="4474,559" o:gfxdata="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">
                      <o:lock v:ext="edit" aspectratio="f"/>
                      <v:shape id="文本框 5" o:spid="_x0000_s1026" o:spt="202" type="#_x0000_t202" style="position:absolute;left:5618;top:1282514;height:559;width:586;" filled="f" stroked="f" coordsize="21600,21600" o:gfxdata="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1Y0AG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40B3EE23">
                              <w:pPr>
                                <w:ind w:firstLine="0" w:firstLineChars="0"/>
                                <w:rPr>
                                  <w:color w:val="FF0000"/>
                                  <w:sz w:val="21"/>
                                  <w:szCs w:val="21"/>
                                </w:rPr>
                              </w:pPr>
                              <w:r>
                                <w:rPr>
                                  <w:rFonts w:hint="eastAsia"/>
                                  <w:color w:val="FF0000"/>
                                  <w:sz w:val="21"/>
                                  <w:szCs w:val="21"/>
                                </w:rPr>
                                <w:t>C</w:t>
                              </w:r>
                            </w:p>
                          </w:txbxContent>
                        </v:textbox>
                      </v:shape>
                      <v:shape id="文本框 7" o:spid="_x0000_s1026" o:spt="202" type="#_x0000_t202" style="position:absolute;left:9506;top:1282534;height:528;width:586;" filled="f" stroked="f" coordsize="21600,21600" o:gfxdata="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UdZq/&#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34E6FF6">
                              <w:pPr>
                                <w:ind w:firstLine="0" w:firstLineChars="0"/>
                                <w:rPr>
                                  <w:color w:val="FF0000"/>
                                  <w:sz w:val="21"/>
                                  <w:szCs w:val="21"/>
                                </w:rPr>
                              </w:pPr>
                              <w:r>
                                <w:rPr>
                                  <w:rFonts w:hint="eastAsia"/>
                                  <w:color w:val="FF0000"/>
                                  <w:sz w:val="21"/>
                                  <w:szCs w:val="21"/>
                                </w:rPr>
                                <w:t>A</w:t>
                              </w:r>
                            </w:p>
                          </w:txbxContent>
                        </v:textbox>
                      </v:shape>
                      <v:shape id="文本框 8" o:spid="_x0000_s1026" o:spt="202" type="#_x0000_t202" style="position:absolute;left:7474;top:1282554;height:468;width:586;" filled="f" stroked="f" coordsize="21600,21600" o:gfxdata="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gOlC&#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790CBD3C">
                              <w:pPr>
                                <w:ind w:firstLine="0" w:firstLineChars="0"/>
                                <w:rPr>
                                  <w:color w:val="FF0000"/>
                                  <w:sz w:val="21"/>
                                  <w:szCs w:val="21"/>
                                </w:rPr>
                              </w:pPr>
                              <w:r>
                                <w:rPr>
                                  <w:rFonts w:hint="eastAsia"/>
                                  <w:color w:val="FF0000"/>
                                  <w:sz w:val="21"/>
                                  <w:szCs w:val="21"/>
                                </w:rPr>
                                <w:t>B</w:t>
                              </w:r>
                            </w:p>
                          </w:txbxContent>
                        </v:textbox>
                      </v:shape>
                    </v:group>
                  </w:pict>
                </mc:Fallback>
              </mc:AlternateContent>
            </w:r>
            <w:r>
              <w:rPr>
                <w:color w:val="000000" w:themeColor="text1"/>
                <w14:textFill>
                  <w14:solidFill>
                    <w14:schemeClr w14:val="tx1"/>
                  </w14:solidFill>
                </w14:textFill>
              </w:rPr>
              <w:drawing>
                <wp:inline distT="0" distB="0" distL="114300" distR="114300">
                  <wp:extent cx="2959100" cy="2279015"/>
                  <wp:effectExtent l="0" t="0" r="12700" b="6985"/>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53"/>
                          <a:stretch>
                            <a:fillRect/>
                          </a:stretch>
                        </pic:blipFill>
                        <pic:spPr>
                          <a:xfrm>
                            <a:off x="0" y="0"/>
                            <a:ext cx="2959100" cy="2279015"/>
                          </a:xfrm>
                          <a:prstGeom prst="rect">
                            <a:avLst/>
                          </a:prstGeom>
                          <a:noFill/>
                          <a:ln>
                            <a:noFill/>
                          </a:ln>
                        </pic:spPr>
                      </pic:pic>
                    </a:graphicData>
                  </a:graphic>
                </wp:inline>
              </w:drawing>
            </w:r>
          </w:p>
        </w:tc>
      </w:tr>
      <w:tr w14:paraId="5F54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607BA90B">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子导线外径</w:t>
            </w:r>
          </w:p>
        </w:tc>
        <w:tc>
          <w:tcPr>
            <w:tcW w:w="6214" w:type="dxa"/>
            <w:gridSpan w:val="2"/>
            <w:vAlign w:val="center"/>
          </w:tcPr>
          <w:p w14:paraId="4FC0C8AE">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27.6mm</w:t>
            </w:r>
          </w:p>
        </w:tc>
      </w:tr>
      <w:tr w14:paraId="0374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76805D3A">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分裂型式</w:t>
            </w:r>
          </w:p>
        </w:tc>
        <w:tc>
          <w:tcPr>
            <w:tcW w:w="6214" w:type="dxa"/>
            <w:gridSpan w:val="2"/>
            <w:vAlign w:val="center"/>
          </w:tcPr>
          <w:p w14:paraId="0F6EC4B1">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6</w:t>
            </w:r>
            <w:r>
              <w:rPr>
                <w:rFonts w:hint="eastAsia" w:ascii="宋体" w:hAnsi="宋体" w:cs="宋体"/>
                <w:color w:val="000000" w:themeColor="text1"/>
                <w:kern w:val="0"/>
                <w:sz w:val="21"/>
                <w:szCs w:val="21"/>
                <w:lang w:bidi="ar"/>
                <w14:textFill>
                  <w14:solidFill>
                    <w14:schemeClr w14:val="tx1"/>
                  </w14:solidFill>
                </w14:textFill>
              </w:rPr>
              <w:t>分裂</w:t>
            </w:r>
          </w:p>
        </w:tc>
      </w:tr>
      <w:tr w14:paraId="3432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7DAAC7F2">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分裂间距</w:t>
            </w:r>
          </w:p>
        </w:tc>
        <w:tc>
          <w:tcPr>
            <w:tcW w:w="6214" w:type="dxa"/>
            <w:gridSpan w:val="2"/>
            <w:vAlign w:val="center"/>
          </w:tcPr>
          <w:p w14:paraId="45C525BE">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400mm</w:t>
            </w:r>
          </w:p>
        </w:tc>
      </w:tr>
      <w:tr w14:paraId="26E8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6598B933">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地线型式</w:t>
            </w:r>
          </w:p>
        </w:tc>
        <w:tc>
          <w:tcPr>
            <w:tcW w:w="6214" w:type="dxa"/>
            <w:gridSpan w:val="2"/>
            <w:vAlign w:val="center"/>
          </w:tcPr>
          <w:p w14:paraId="6C4D1663">
            <w:pPr>
              <w:snapToGrid w:val="0"/>
              <w:spacing w:line="240" w:lineRule="auto"/>
              <w:ind w:firstLine="420"/>
              <w:jc w:val="center"/>
              <w:rPr>
                <w:rFonts w:hint="eastAsia" w:eastAsia="宋体"/>
                <w:color w:val="000000" w:themeColor="text1"/>
                <w:sz w:val="21"/>
                <w:szCs w:val="21"/>
                <w:lang w:eastAsia="zh-CN"/>
                <w14:textFill>
                  <w14:solidFill>
                    <w14:schemeClr w14:val="tx1"/>
                  </w14:solidFill>
                </w14:textFill>
              </w:rPr>
            </w:pPr>
            <w:r>
              <w:rPr>
                <w:color w:val="000000" w:themeColor="text1"/>
                <w:kern w:val="0"/>
                <w:sz w:val="21"/>
                <w:szCs w:val="21"/>
                <w:lang w:bidi="ar"/>
                <w14:textFill>
                  <w14:solidFill>
                    <w14:schemeClr w14:val="tx1"/>
                  </w14:solidFill>
                </w14:textFill>
              </w:rPr>
              <w:t>OPGW-17-150-</w:t>
            </w:r>
            <w:r>
              <w:rPr>
                <w:rFonts w:hint="eastAsia"/>
                <w:color w:val="000000" w:themeColor="text1"/>
                <w:kern w:val="0"/>
                <w:sz w:val="21"/>
                <w:szCs w:val="21"/>
                <w:lang w:bidi="ar"/>
                <w14:textFill>
                  <w14:solidFill>
                    <w14:schemeClr w14:val="tx1"/>
                  </w14:solidFill>
                </w14:textFill>
              </w:rPr>
              <w:t>4</w:t>
            </w:r>
            <w:r>
              <w:rPr>
                <w:rFonts w:hint="eastAsia"/>
                <w:color w:val="000000" w:themeColor="text1"/>
                <w:kern w:val="0"/>
                <w:sz w:val="21"/>
                <w:szCs w:val="21"/>
                <w:lang w:eastAsia="zh-CN"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JLB40-150</w:t>
            </w:r>
          </w:p>
        </w:tc>
      </w:tr>
      <w:tr w14:paraId="610D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0606BB9D">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相序排列方式</w:t>
            </w:r>
          </w:p>
        </w:tc>
        <w:tc>
          <w:tcPr>
            <w:tcW w:w="6214" w:type="dxa"/>
            <w:gridSpan w:val="2"/>
            <w:vAlign w:val="center"/>
          </w:tcPr>
          <w:p w14:paraId="32B4B4E9">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水平排列，</w:t>
            </w:r>
            <w:r>
              <w:rPr>
                <w:color w:val="000000" w:themeColor="text1"/>
                <w:kern w:val="0"/>
                <w:sz w:val="21"/>
                <w:szCs w:val="21"/>
                <w:lang w:bidi="ar"/>
                <w14:textFill>
                  <w14:solidFill>
                    <w14:schemeClr w14:val="tx1"/>
                  </w14:solidFill>
                </w14:textFill>
              </w:rPr>
              <w:t>CBA</w:t>
            </w:r>
          </w:p>
        </w:tc>
      </w:tr>
      <w:tr w14:paraId="2AF0C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1B392042">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输送功率</w:t>
            </w:r>
          </w:p>
        </w:tc>
        <w:tc>
          <w:tcPr>
            <w:tcW w:w="6214" w:type="dxa"/>
            <w:gridSpan w:val="2"/>
            <w:vAlign w:val="center"/>
          </w:tcPr>
          <w:p w14:paraId="28F15D01">
            <w:pPr>
              <w:snapToGrid w:val="0"/>
              <w:spacing w:line="240" w:lineRule="auto"/>
              <w:ind w:firstLine="420"/>
              <w:jc w:val="center"/>
              <w:rPr>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单回输送功率</w:t>
            </w:r>
            <w:r>
              <w:rPr>
                <w:color w:val="000000" w:themeColor="text1"/>
                <w:kern w:val="0"/>
                <w:sz w:val="21"/>
                <w:szCs w:val="21"/>
                <w:highlight w:val="none"/>
                <w:lang w:bidi="ar"/>
                <w14:textFill>
                  <w14:solidFill>
                    <w14:schemeClr w14:val="tx1"/>
                  </w14:solidFill>
                </w14:textFill>
              </w:rPr>
              <w:t>2</w:t>
            </w:r>
            <w:r>
              <w:rPr>
                <w:rFonts w:hint="eastAsia"/>
                <w:color w:val="000000" w:themeColor="text1"/>
                <w:kern w:val="0"/>
                <w:sz w:val="21"/>
                <w:szCs w:val="21"/>
                <w:highlight w:val="none"/>
                <w:lang w:val="en-US" w:eastAsia="zh-CN" w:bidi="ar"/>
                <w14:textFill>
                  <w14:solidFill>
                    <w14:schemeClr w14:val="tx1"/>
                  </w14:solidFill>
                </w14:textFill>
              </w:rPr>
              <w:t>5</w:t>
            </w:r>
            <w:r>
              <w:rPr>
                <w:color w:val="000000" w:themeColor="text1"/>
                <w:kern w:val="0"/>
                <w:sz w:val="21"/>
                <w:szCs w:val="21"/>
                <w:highlight w:val="none"/>
                <w:lang w:bidi="ar"/>
                <w14:textFill>
                  <w14:solidFill>
                    <w14:schemeClr w14:val="tx1"/>
                  </w14:solidFill>
                </w14:textFill>
              </w:rPr>
              <w:t>00MW</w:t>
            </w:r>
          </w:p>
        </w:tc>
      </w:tr>
      <w:tr w14:paraId="705C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3F1B3706">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输送电流</w:t>
            </w:r>
          </w:p>
        </w:tc>
        <w:tc>
          <w:tcPr>
            <w:tcW w:w="6214" w:type="dxa"/>
            <w:gridSpan w:val="2"/>
            <w:vAlign w:val="center"/>
          </w:tcPr>
          <w:p w14:paraId="43D68674">
            <w:pPr>
              <w:snapToGrid w:val="0"/>
              <w:spacing w:line="240" w:lineRule="auto"/>
              <w:ind w:firstLine="420"/>
              <w:jc w:val="center"/>
              <w:rPr>
                <w:color w:val="000000" w:themeColor="text1"/>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bidi="ar"/>
                <w14:textFill>
                  <w14:solidFill>
                    <w14:schemeClr w14:val="tx1"/>
                  </w14:solidFill>
                </w14:textFill>
              </w:rPr>
              <w:t>单回输送电流</w:t>
            </w:r>
            <w:r>
              <w:rPr>
                <w:color w:val="000000" w:themeColor="text1"/>
                <w:kern w:val="0"/>
                <w:sz w:val="21"/>
                <w:szCs w:val="21"/>
                <w:highlight w:val="none"/>
                <w:lang w:bidi="ar"/>
                <w14:textFill>
                  <w14:solidFill>
                    <w14:schemeClr w14:val="tx1"/>
                  </w14:solidFill>
                </w14:textFill>
              </w:rPr>
              <w:t>1</w:t>
            </w:r>
            <w:r>
              <w:rPr>
                <w:rFonts w:hint="eastAsia"/>
                <w:color w:val="000000" w:themeColor="text1"/>
                <w:kern w:val="0"/>
                <w:sz w:val="21"/>
                <w:szCs w:val="21"/>
                <w:highlight w:val="none"/>
                <w:lang w:bidi="ar"/>
                <w14:textFill>
                  <w14:solidFill>
                    <w14:schemeClr w14:val="tx1"/>
                  </w14:solidFill>
                </w14:textFill>
              </w:rPr>
              <w:t>863</w:t>
            </w:r>
            <w:r>
              <w:rPr>
                <w:color w:val="000000" w:themeColor="text1"/>
                <w:kern w:val="0"/>
                <w:sz w:val="21"/>
                <w:szCs w:val="21"/>
                <w:highlight w:val="none"/>
                <w:lang w:bidi="ar"/>
                <w14:textFill>
                  <w14:solidFill>
                    <w14:schemeClr w14:val="tx1"/>
                  </w14:solidFill>
                </w14:textFill>
              </w:rPr>
              <w:t>A</w:t>
            </w:r>
          </w:p>
        </w:tc>
      </w:tr>
      <w:tr w14:paraId="3794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282AC89B">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预测电压</w:t>
            </w:r>
          </w:p>
        </w:tc>
        <w:tc>
          <w:tcPr>
            <w:tcW w:w="6214" w:type="dxa"/>
            <w:gridSpan w:val="2"/>
            <w:vAlign w:val="center"/>
          </w:tcPr>
          <w:p w14:paraId="5A04A914">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787.5</w:t>
            </w:r>
            <w:r>
              <w:rPr>
                <w:rFonts w:hint="eastAsia"/>
                <w:color w:val="000000" w:themeColor="text1"/>
                <w:kern w:val="0"/>
                <w:sz w:val="21"/>
                <w:szCs w:val="21"/>
                <w:lang w:bidi="ar"/>
                <w14:textFill>
                  <w14:solidFill>
                    <w14:schemeClr w14:val="tx1"/>
                  </w14:solidFill>
                </w14:textFill>
              </w:rPr>
              <w:t>kV</w:t>
            </w:r>
          </w:p>
        </w:tc>
      </w:tr>
      <w:tr w14:paraId="63AD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05F69B4F">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计算原点</w:t>
            </w:r>
            <w:r>
              <w:rPr>
                <w:i/>
                <w:iCs/>
                <w:color w:val="000000" w:themeColor="text1"/>
                <w14:textFill>
                  <w14:solidFill>
                    <w14:schemeClr w14:val="tx1"/>
                  </w14:solidFill>
                </w14:textFill>
              </w:rPr>
              <w:t>O</w:t>
            </w:r>
            <w:r>
              <w:rPr>
                <w:rFonts w:hint="eastAsia" w:ascii="宋体" w:hAnsi="宋体" w:cs="宋体"/>
                <w:color w:val="000000" w:themeColor="text1"/>
                <w:kern w:val="0"/>
                <w:sz w:val="21"/>
                <w:szCs w:val="21"/>
                <w:lang w:bidi="ar"/>
                <w14:textFill>
                  <w14:solidFill>
                    <w14:schemeClr w14:val="tx1"/>
                  </w14:solidFill>
                </w14:textFill>
              </w:rPr>
              <w:t>（</w:t>
            </w:r>
            <w:r>
              <w:rPr>
                <w:color w:val="000000" w:themeColor="text1"/>
                <w:kern w:val="0"/>
                <w:sz w:val="21"/>
                <w:szCs w:val="21"/>
                <w:lang w:bidi="ar"/>
                <w14:textFill>
                  <w14:solidFill>
                    <w14:schemeClr w14:val="tx1"/>
                  </w14:solidFill>
                </w14:textFill>
              </w:rPr>
              <w:t>0，0</w:t>
            </w:r>
            <w:r>
              <w:rPr>
                <w:rFonts w:hint="eastAsia" w:ascii="宋体" w:hAnsi="宋体" w:cs="宋体"/>
                <w:color w:val="000000" w:themeColor="text1"/>
                <w:kern w:val="0"/>
                <w:sz w:val="21"/>
                <w:szCs w:val="21"/>
                <w:lang w:bidi="ar"/>
                <w14:textFill>
                  <w14:solidFill>
                    <w14:schemeClr w14:val="tx1"/>
                  </w14:solidFill>
                </w14:textFill>
              </w:rPr>
              <w:t>）</w:t>
            </w:r>
          </w:p>
        </w:tc>
        <w:tc>
          <w:tcPr>
            <w:tcW w:w="6214" w:type="dxa"/>
            <w:gridSpan w:val="2"/>
            <w:vAlign w:val="center"/>
          </w:tcPr>
          <w:p w14:paraId="5F909E92">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线路走廊中心</w:t>
            </w:r>
          </w:p>
        </w:tc>
      </w:tr>
      <w:tr w14:paraId="4DA6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33C46329">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计算距离</w:t>
            </w:r>
          </w:p>
        </w:tc>
        <w:tc>
          <w:tcPr>
            <w:tcW w:w="6214" w:type="dxa"/>
            <w:gridSpan w:val="2"/>
            <w:vAlign w:val="center"/>
          </w:tcPr>
          <w:p w14:paraId="65B1117C">
            <w:pPr>
              <w:snapToGrid w:val="0"/>
              <w:spacing w:line="240" w:lineRule="auto"/>
              <w:ind w:firstLine="420"/>
              <w:jc w:val="center"/>
              <w:rPr>
                <w:color w:val="000000" w:themeColor="text1"/>
                <w:kern w:val="0"/>
                <w:sz w:val="21"/>
                <w:szCs w:val="21"/>
                <w:highlight w:val="green"/>
                <w:lang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bidi="ar"/>
                <w14:textFill>
                  <w14:solidFill>
                    <w14:schemeClr w14:val="tx1"/>
                  </w14:solidFill>
                </w14:textFill>
              </w:rPr>
              <w:t>7</w:t>
            </w:r>
            <w:r>
              <w:rPr>
                <w:color w:val="000000" w:themeColor="text1"/>
                <w:kern w:val="0"/>
                <w:sz w:val="21"/>
                <w:szCs w:val="21"/>
                <w:lang w:bidi="ar"/>
                <w14:textFill>
                  <w14:solidFill>
                    <w14:schemeClr w14:val="tx1"/>
                  </w14:solidFill>
                </w14:textFill>
              </w:rPr>
              <w:t>0~</w:t>
            </w:r>
            <w:r>
              <w:rPr>
                <w:rFonts w:hint="eastAsia"/>
                <w:color w:val="000000" w:themeColor="text1"/>
                <w:kern w:val="0"/>
                <w:sz w:val="21"/>
                <w:szCs w:val="21"/>
                <w:lang w:bidi="ar"/>
                <w14:textFill>
                  <w14:solidFill>
                    <w14:schemeClr w14:val="tx1"/>
                  </w14:solidFill>
                </w14:textFill>
              </w:rPr>
              <w:t>7</w:t>
            </w:r>
            <w:r>
              <w:rPr>
                <w:color w:val="000000" w:themeColor="text1"/>
                <w:kern w:val="0"/>
                <w:sz w:val="21"/>
                <w:szCs w:val="21"/>
                <w:lang w:bidi="ar"/>
                <w14:textFill>
                  <w14:solidFill>
                    <w14:schemeClr w14:val="tx1"/>
                  </w14:solidFill>
                </w14:textFill>
              </w:rPr>
              <w:t>0</w:t>
            </w:r>
          </w:p>
        </w:tc>
      </w:tr>
      <w:tr w14:paraId="347C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40582686">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预测塔型</w:t>
            </w:r>
          </w:p>
        </w:tc>
        <w:tc>
          <w:tcPr>
            <w:tcW w:w="6214" w:type="dxa"/>
            <w:gridSpan w:val="2"/>
            <w:vAlign w:val="center"/>
          </w:tcPr>
          <w:p w14:paraId="1081678C">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导线相间距最大塔型（750-PD22D-ZB</w:t>
            </w:r>
            <w:r>
              <w:rPr>
                <w:rFonts w:hint="eastAsia"/>
                <w:color w:val="000000" w:themeColor="text1"/>
                <w:sz w:val="21"/>
                <w:szCs w:val="21"/>
                <w:lang w:val="en-US" w:eastAsia="zh-CN"/>
                <w14:textFill>
                  <w14:solidFill>
                    <w14:schemeClr w14:val="tx1"/>
                  </w14:solidFill>
                </w14:textFill>
              </w:rPr>
              <w:t>3</w:t>
            </w:r>
            <w:r>
              <w:rPr>
                <w:rFonts w:hint="eastAsia"/>
                <w:color w:val="000000" w:themeColor="text1"/>
                <w:sz w:val="21"/>
                <w:szCs w:val="21"/>
                <w14:textFill>
                  <w14:solidFill>
                    <w14:schemeClr w14:val="tx1"/>
                  </w14:solidFill>
                </w14:textFill>
              </w:rPr>
              <w:t>）</w:t>
            </w:r>
          </w:p>
        </w:tc>
      </w:tr>
      <w:tr w14:paraId="4DF5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vAlign w:val="center"/>
          </w:tcPr>
          <w:p w14:paraId="34C9A542">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坐标</w:t>
            </w:r>
          </w:p>
        </w:tc>
        <w:tc>
          <w:tcPr>
            <w:tcW w:w="2850" w:type="dxa"/>
            <w:vAlign w:val="center"/>
          </w:tcPr>
          <w:p w14:paraId="6C098361">
            <w:pPr>
              <w:snapToGrid w:val="0"/>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X</w:t>
            </w:r>
          </w:p>
        </w:tc>
        <w:tc>
          <w:tcPr>
            <w:tcW w:w="3364" w:type="dxa"/>
            <w:vAlign w:val="center"/>
          </w:tcPr>
          <w:p w14:paraId="6FAB8241">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Y</w:t>
            </w:r>
          </w:p>
        </w:tc>
      </w:tr>
      <w:tr w14:paraId="65F5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restart"/>
            <w:vAlign w:val="center"/>
          </w:tcPr>
          <w:p w14:paraId="45867666">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非居民区15.5m</w:t>
            </w:r>
          </w:p>
        </w:tc>
        <w:tc>
          <w:tcPr>
            <w:tcW w:w="1268" w:type="dxa"/>
            <w:vAlign w:val="center"/>
          </w:tcPr>
          <w:p w14:paraId="1D0B3A46">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A相</w:t>
            </w:r>
          </w:p>
        </w:tc>
        <w:tc>
          <w:tcPr>
            <w:tcW w:w="2850" w:type="dxa"/>
            <w:vAlign w:val="center"/>
          </w:tcPr>
          <w:p w14:paraId="561C5F69">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21.1</w:t>
            </w:r>
          </w:p>
        </w:tc>
        <w:tc>
          <w:tcPr>
            <w:tcW w:w="3364" w:type="dxa"/>
            <w:vAlign w:val="center"/>
          </w:tcPr>
          <w:p w14:paraId="08E1A96A">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3351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1A18F4EB">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1268" w:type="dxa"/>
            <w:vAlign w:val="center"/>
          </w:tcPr>
          <w:p w14:paraId="50FA5051">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B相</w:t>
            </w:r>
          </w:p>
        </w:tc>
        <w:tc>
          <w:tcPr>
            <w:tcW w:w="2850" w:type="dxa"/>
            <w:vAlign w:val="center"/>
          </w:tcPr>
          <w:p w14:paraId="4754BAB6">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0</w:t>
            </w:r>
          </w:p>
        </w:tc>
        <w:tc>
          <w:tcPr>
            <w:tcW w:w="3364" w:type="dxa"/>
            <w:vAlign w:val="center"/>
          </w:tcPr>
          <w:p w14:paraId="43AF0DA7">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4C40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7DBB77D9">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1268" w:type="dxa"/>
            <w:vAlign w:val="center"/>
          </w:tcPr>
          <w:p w14:paraId="08715CC9">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C相</w:t>
            </w:r>
          </w:p>
        </w:tc>
        <w:tc>
          <w:tcPr>
            <w:tcW w:w="2850" w:type="dxa"/>
            <w:vAlign w:val="center"/>
          </w:tcPr>
          <w:p w14:paraId="3FFE1166">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21.1</w:t>
            </w:r>
          </w:p>
        </w:tc>
        <w:tc>
          <w:tcPr>
            <w:tcW w:w="3364" w:type="dxa"/>
            <w:vAlign w:val="center"/>
          </w:tcPr>
          <w:p w14:paraId="6200088F">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0DAF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restart"/>
            <w:vAlign w:val="center"/>
          </w:tcPr>
          <w:p w14:paraId="77134EAC">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居民区</w:t>
            </w:r>
            <w:r>
              <w:rPr>
                <w:rFonts w:hint="eastAsia"/>
                <w:color w:val="000000" w:themeColor="text1"/>
                <w:kern w:val="0"/>
                <w:sz w:val="21"/>
                <w:szCs w:val="21"/>
                <w:lang w:bidi="ar"/>
                <w14:textFill>
                  <w14:solidFill>
                    <w14:schemeClr w14:val="tx1"/>
                  </w14:solidFill>
                </w14:textFill>
              </w:rPr>
              <w:t>19.5</w:t>
            </w:r>
            <w:r>
              <w:rPr>
                <w:color w:val="000000" w:themeColor="text1"/>
                <w:kern w:val="0"/>
                <w:sz w:val="21"/>
                <w:szCs w:val="21"/>
                <w:lang w:bidi="ar"/>
                <w14:textFill>
                  <w14:solidFill>
                    <w14:schemeClr w14:val="tx1"/>
                  </w14:solidFill>
                </w14:textFill>
              </w:rPr>
              <w:t>m</w:t>
            </w:r>
          </w:p>
        </w:tc>
        <w:tc>
          <w:tcPr>
            <w:tcW w:w="1268" w:type="dxa"/>
            <w:shd w:val="clear" w:color="auto" w:fill="auto"/>
            <w:vAlign w:val="center"/>
          </w:tcPr>
          <w:p w14:paraId="19C68142">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A相</w:t>
            </w:r>
          </w:p>
        </w:tc>
        <w:tc>
          <w:tcPr>
            <w:tcW w:w="2850" w:type="dxa"/>
            <w:vAlign w:val="center"/>
          </w:tcPr>
          <w:p w14:paraId="442EB5AB">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21.1</w:t>
            </w:r>
          </w:p>
        </w:tc>
        <w:tc>
          <w:tcPr>
            <w:tcW w:w="3364" w:type="dxa"/>
            <w:vAlign w:val="center"/>
          </w:tcPr>
          <w:p w14:paraId="5C491A87">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1BB2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7B639BA5">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1268" w:type="dxa"/>
            <w:shd w:val="clear" w:color="auto" w:fill="auto"/>
            <w:vAlign w:val="center"/>
          </w:tcPr>
          <w:p w14:paraId="27512B25">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B相</w:t>
            </w:r>
          </w:p>
        </w:tc>
        <w:tc>
          <w:tcPr>
            <w:tcW w:w="2850" w:type="dxa"/>
            <w:vAlign w:val="center"/>
          </w:tcPr>
          <w:p w14:paraId="699AAE4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0</w:t>
            </w:r>
          </w:p>
        </w:tc>
        <w:tc>
          <w:tcPr>
            <w:tcW w:w="3364" w:type="dxa"/>
            <w:vAlign w:val="center"/>
          </w:tcPr>
          <w:p w14:paraId="7B2AD69A">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27EA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631613E1">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1268" w:type="dxa"/>
            <w:shd w:val="clear" w:color="auto" w:fill="auto"/>
            <w:vAlign w:val="center"/>
          </w:tcPr>
          <w:p w14:paraId="69F47DF3">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C相</w:t>
            </w:r>
          </w:p>
        </w:tc>
        <w:tc>
          <w:tcPr>
            <w:tcW w:w="2850" w:type="dxa"/>
            <w:vAlign w:val="center"/>
          </w:tcPr>
          <w:p w14:paraId="31977772">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21.1</w:t>
            </w:r>
          </w:p>
        </w:tc>
        <w:tc>
          <w:tcPr>
            <w:tcW w:w="3364" w:type="dxa"/>
            <w:vAlign w:val="center"/>
          </w:tcPr>
          <w:p w14:paraId="7E628F96">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bl>
    <w:p w14:paraId="3D737369">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并行</w:t>
      </w:r>
      <w:r>
        <w:rPr>
          <w:color w:val="000000" w:themeColor="text1"/>
          <w14:textFill>
            <w14:solidFill>
              <w14:schemeClr w14:val="tx1"/>
            </w14:solidFill>
          </w14:textFill>
        </w:rPr>
        <w:t>单回路线路参数选取</w:t>
      </w:r>
    </w:p>
    <w:p w14:paraId="111F4C81">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并行</w:t>
      </w:r>
      <w:r>
        <w:rPr>
          <w:color w:val="000000" w:themeColor="text1"/>
          <w14:textFill>
            <w14:solidFill>
              <w14:schemeClr w14:val="tx1"/>
            </w14:solidFill>
          </w14:textFill>
        </w:rPr>
        <w:t>单回路输电线路选择</w:t>
      </w:r>
      <w:r>
        <w:rPr>
          <w:rFonts w:hint="eastAsia"/>
          <w:color w:val="000000" w:themeColor="text1"/>
          <w14:textFill>
            <w14:solidFill>
              <w14:schemeClr w14:val="tx1"/>
            </w14:solidFill>
          </w14:textFill>
        </w:rPr>
        <w:t>750-PD22D-ZB2</w:t>
      </w:r>
      <w:r>
        <w:rPr>
          <w:color w:val="000000" w:themeColor="text1"/>
          <w14:textFill>
            <w14:solidFill>
              <w14:schemeClr w14:val="tx1"/>
            </w14:solidFill>
          </w14:textFill>
        </w:rPr>
        <w:t>塔型进行计算，</w:t>
      </w:r>
      <w:r>
        <w:rPr>
          <w:rFonts w:hint="eastAsia"/>
          <w:color w:val="000000" w:themeColor="text1"/>
          <w14:textFill>
            <w14:solidFill>
              <w14:schemeClr w14:val="tx1"/>
            </w14:solidFill>
          </w14:textFill>
        </w:rPr>
        <w:t>此</w:t>
      </w:r>
      <w:r>
        <w:rPr>
          <w:color w:val="000000" w:themeColor="text1"/>
          <w14:textFill>
            <w14:solidFill>
              <w14:schemeClr w14:val="tx1"/>
            </w14:solidFill>
          </w14:textFill>
        </w:rPr>
        <w:t>塔型为本项目</w:t>
      </w:r>
      <w:r>
        <w:rPr>
          <w:rFonts w:hint="eastAsia"/>
          <w:color w:val="000000" w:themeColor="text1"/>
          <w14:textFill>
            <w14:solidFill>
              <w14:schemeClr w14:val="tx1"/>
            </w14:solidFill>
          </w14:textFill>
        </w:rPr>
        <w:t>并行</w:t>
      </w:r>
      <w:r>
        <w:rPr>
          <w:color w:val="000000" w:themeColor="text1"/>
          <w14:textFill>
            <w14:solidFill>
              <w14:schemeClr w14:val="tx1"/>
            </w14:solidFill>
          </w14:textFill>
        </w:rPr>
        <w:t>单回路</w:t>
      </w:r>
      <w:r>
        <w:rPr>
          <w:rFonts w:hint="eastAsia"/>
          <w:color w:val="000000" w:themeColor="text1"/>
          <w14:textFill>
            <w14:solidFill>
              <w14:schemeClr w14:val="tx1"/>
            </w14:solidFill>
          </w14:textFill>
        </w:rPr>
        <w:t>导线相间距最大塔型，</w:t>
      </w:r>
      <w:r>
        <w:rPr>
          <w:color w:val="000000" w:themeColor="text1"/>
          <w14:textFill>
            <w14:solidFill>
              <w14:schemeClr w14:val="tx1"/>
            </w14:solidFill>
          </w14:textFill>
        </w:rPr>
        <w:t>属于本项目塔型中工频电磁场影响最不利塔型。</w:t>
      </w:r>
    </w:p>
    <w:p w14:paraId="78C69DAB">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2</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 xml:space="preserve"> 本工程输电线路电磁理论计算基础参数（并行单回路线路计算参数）</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823"/>
        <w:gridCol w:w="3295"/>
        <w:gridCol w:w="3364"/>
      </w:tblGrid>
      <w:tr w14:paraId="44A2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769B9AC9">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预测情景</w:t>
            </w:r>
          </w:p>
        </w:tc>
        <w:tc>
          <w:tcPr>
            <w:tcW w:w="6659" w:type="dxa"/>
            <w:gridSpan w:val="2"/>
            <w:vAlign w:val="center"/>
          </w:tcPr>
          <w:p w14:paraId="4A8DFFFD">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750kV</w:t>
            </w:r>
            <w:r>
              <w:rPr>
                <w:rFonts w:hint="eastAsia"/>
                <w:color w:val="000000" w:themeColor="text1"/>
                <w:kern w:val="0"/>
                <w:sz w:val="21"/>
                <w:szCs w:val="21"/>
                <w:lang w:bidi="ar"/>
                <w14:textFill>
                  <w14:solidFill>
                    <w14:schemeClr w14:val="tx1"/>
                  </w14:solidFill>
                </w14:textFill>
              </w:rPr>
              <w:t>并行</w:t>
            </w:r>
            <w:r>
              <w:rPr>
                <w:rFonts w:hint="eastAsia" w:ascii="宋体" w:hAnsi="宋体" w:cs="宋体"/>
                <w:color w:val="000000" w:themeColor="text1"/>
                <w:kern w:val="0"/>
                <w:sz w:val="21"/>
                <w:szCs w:val="21"/>
                <w:lang w:bidi="ar"/>
                <w14:textFill>
                  <w14:solidFill>
                    <w14:schemeClr w14:val="tx1"/>
                  </w14:solidFill>
                </w14:textFill>
              </w:rPr>
              <w:t>单回路</w:t>
            </w:r>
          </w:p>
        </w:tc>
      </w:tr>
      <w:tr w14:paraId="51A9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255DE4A6">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导线型式</w:t>
            </w:r>
          </w:p>
        </w:tc>
        <w:tc>
          <w:tcPr>
            <w:tcW w:w="6659" w:type="dxa"/>
            <w:gridSpan w:val="2"/>
            <w:vAlign w:val="center"/>
          </w:tcPr>
          <w:p w14:paraId="1E1974F8">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JL3/G1A-400/50</w:t>
            </w:r>
          </w:p>
        </w:tc>
      </w:tr>
      <w:tr w14:paraId="1767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60067DA9">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塔型</w:t>
            </w:r>
          </w:p>
        </w:tc>
        <w:tc>
          <w:tcPr>
            <w:tcW w:w="6659" w:type="dxa"/>
            <w:gridSpan w:val="2"/>
            <w:vAlign w:val="center"/>
          </w:tcPr>
          <w:p w14:paraId="740FA631">
            <w:pPr>
              <w:snapToGrid w:val="0"/>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14:textFill>
                  <w14:solidFill>
                    <w14:schemeClr w14:val="tx1"/>
                  </w14:solidFill>
                </w14:textFill>
              </w:rPr>
              <mc:AlternateContent>
                <mc:Choice Requires="wpg">
                  <w:drawing>
                    <wp:anchor distT="0" distB="0" distL="114300" distR="114300" simplePos="0" relativeHeight="251666432" behindDoc="0" locked="0" layoutInCell="1" allowOverlap="1">
                      <wp:simplePos x="0" y="0"/>
                      <wp:positionH relativeFrom="column">
                        <wp:posOffset>2728595</wp:posOffset>
                      </wp:positionH>
                      <wp:positionV relativeFrom="paragraph">
                        <wp:posOffset>461645</wp:posOffset>
                      </wp:positionV>
                      <wp:extent cx="1498600" cy="279400"/>
                      <wp:effectExtent l="0" t="0" r="0" b="0"/>
                      <wp:wrapNone/>
                      <wp:docPr id="24" name="组合 24"/>
                      <wp:cNvGraphicFramePr/>
                      <a:graphic xmlns:a="http://schemas.openxmlformats.org/drawingml/2006/main">
                        <a:graphicData uri="http://schemas.microsoft.com/office/word/2010/wordprocessingGroup">
                          <wpg:wgp>
                            <wpg:cNvGrpSpPr/>
                            <wpg:grpSpPr>
                              <a:xfrm>
                                <a:off x="0" y="0"/>
                                <a:ext cx="1498600" cy="279400"/>
                                <a:chOff x="5795" y="1282331"/>
                                <a:chExt cx="2360" cy="440"/>
                              </a:xfrm>
                            </wpg:grpSpPr>
                            <wps:wsp>
                              <wps:cNvPr id="25" name="文本框 5"/>
                              <wps:cNvSpPr txBox="1"/>
                              <wps:spPr>
                                <a:xfrm>
                                  <a:off x="5795" y="1282341"/>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78A3CA">
                                    <w:pPr>
                                      <w:ind w:firstLine="0" w:firstLineChars="0"/>
                                      <w:rPr>
                                        <w:color w:val="FF0000"/>
                                        <w:sz w:val="18"/>
                                        <w:szCs w:val="18"/>
                                      </w:rPr>
                                    </w:pPr>
                                    <w:r>
                                      <w:rPr>
                                        <w:rFonts w:hint="eastAsia"/>
                                        <w:color w:val="FF0000"/>
                                        <w:sz w:val="18"/>
                                        <w:szCs w:val="18"/>
                                      </w:rPr>
                                      <w:t>C3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6" name="文本框 7"/>
                              <wps:cNvSpPr txBox="1"/>
                              <wps:spPr>
                                <a:xfrm>
                                  <a:off x="7569" y="1282347"/>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D552F0">
                                    <w:pPr>
                                      <w:ind w:firstLine="0" w:firstLineChars="0"/>
                                      <w:rPr>
                                        <w:color w:val="FF0000"/>
                                        <w:sz w:val="18"/>
                                        <w:szCs w:val="18"/>
                                      </w:rPr>
                                    </w:pPr>
                                    <w:r>
                                      <w:rPr>
                                        <w:rFonts w:hint="eastAsia"/>
                                        <w:color w:val="FF0000"/>
                                        <w:sz w:val="18"/>
                                        <w:szCs w:val="18"/>
                                      </w:rPr>
                                      <w:t>A3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 name="文本框 8"/>
                              <wps:cNvSpPr txBox="1"/>
                              <wps:spPr>
                                <a:xfrm>
                                  <a:off x="6705" y="1282331"/>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2008F">
                                    <w:pPr>
                                      <w:ind w:firstLine="0" w:firstLineChars="0"/>
                                      <w:rPr>
                                        <w:color w:val="FF0000"/>
                                        <w:sz w:val="18"/>
                                        <w:szCs w:val="18"/>
                                      </w:rPr>
                                    </w:pPr>
                                    <w:r>
                                      <w:rPr>
                                        <w:rFonts w:hint="eastAsia"/>
                                        <w:color w:val="FF0000"/>
                                        <w:sz w:val="18"/>
                                        <w:szCs w:val="18"/>
                                      </w:rPr>
                                      <w:t>B3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14.85pt;margin-top:36.35pt;height:22pt;width:118pt;z-index:251666432;mso-width-relative:page;mso-height-relative:page;" coordorigin="5795,1282331" coordsize="2360,440" o:gfxdata="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">
                      <o:lock v:ext="edit" aspectratio="f"/>
                      <v:shape id="文本框 5" o:spid="_x0000_s1026" o:spt="202" type="#_x0000_t202" style="position:absolute;left:5795;top:1282341;height:424;width:586;" filled="f" stroked="f" coordsize="21600,21600" o:gfxdata="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T8gp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878A3CA">
                              <w:pPr>
                                <w:ind w:firstLine="0" w:firstLineChars="0"/>
                                <w:rPr>
                                  <w:color w:val="FF0000"/>
                                  <w:sz w:val="18"/>
                                  <w:szCs w:val="18"/>
                                </w:rPr>
                              </w:pPr>
                              <w:r>
                                <w:rPr>
                                  <w:rFonts w:hint="eastAsia"/>
                                  <w:color w:val="FF0000"/>
                                  <w:sz w:val="18"/>
                                  <w:szCs w:val="18"/>
                                </w:rPr>
                                <w:t>C3</w:t>
                              </w:r>
                            </w:p>
                          </w:txbxContent>
                        </v:textbox>
                      </v:shape>
                      <v:shape id="文本框 7" o:spid="_x0000_s1026" o:spt="202" type="#_x0000_t202" style="position:absolute;left:7569;top:1282347;height:424;width:586;" filled="f" stroked="f" coordsize="21600,21600" o:gfxdata="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7b7S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7D552F0">
                              <w:pPr>
                                <w:ind w:firstLine="0" w:firstLineChars="0"/>
                                <w:rPr>
                                  <w:color w:val="FF0000"/>
                                  <w:sz w:val="18"/>
                                  <w:szCs w:val="18"/>
                                </w:rPr>
                              </w:pPr>
                              <w:r>
                                <w:rPr>
                                  <w:rFonts w:hint="eastAsia"/>
                                  <w:color w:val="FF0000"/>
                                  <w:sz w:val="18"/>
                                  <w:szCs w:val="18"/>
                                </w:rPr>
                                <w:t>A3</w:t>
                              </w:r>
                            </w:p>
                          </w:txbxContent>
                        </v:textbox>
                      </v:shape>
                      <v:shape id="文本框 8" o:spid="_x0000_s1026" o:spt="202" type="#_x0000_t202" style="position:absolute;left:6705;top:1282331;height:424;width:586;" filled="f" stroked="f" coordsize="21600,21600" o:gfxdata="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qEbS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862008F">
                              <w:pPr>
                                <w:ind w:firstLine="0" w:firstLineChars="0"/>
                                <w:rPr>
                                  <w:color w:val="FF0000"/>
                                  <w:sz w:val="18"/>
                                  <w:szCs w:val="18"/>
                                </w:rPr>
                              </w:pPr>
                              <w:r>
                                <w:rPr>
                                  <w:rFonts w:hint="eastAsia"/>
                                  <w:color w:val="FF0000"/>
                                  <w:sz w:val="18"/>
                                  <w:szCs w:val="18"/>
                                </w:rPr>
                                <w:t>B3</w:t>
                              </w:r>
                            </w:p>
                          </w:txbxContent>
                        </v:textbox>
                      </v:shape>
                    </v:group>
                  </w:pict>
                </mc:Fallback>
              </mc:AlternateContent>
            </w:r>
            <w:r>
              <w:rPr>
                <w:color w:val="000000" w:themeColor="text1"/>
                <w:sz w:val="21"/>
                <w14:textFill>
                  <w14:solidFill>
                    <w14:schemeClr w14:val="tx1"/>
                  </w14:solidFill>
                </w14:textFill>
              </w:rPr>
              <mc:AlternateContent>
                <mc:Choice Requires="wpg">
                  <w:drawing>
                    <wp:anchor distT="0" distB="0" distL="114300" distR="114300" simplePos="0" relativeHeight="251665408" behindDoc="0" locked="0" layoutInCell="1" allowOverlap="1">
                      <wp:simplePos x="0" y="0"/>
                      <wp:positionH relativeFrom="column">
                        <wp:posOffset>1425575</wp:posOffset>
                      </wp:positionH>
                      <wp:positionV relativeFrom="paragraph">
                        <wp:posOffset>469900</wp:posOffset>
                      </wp:positionV>
                      <wp:extent cx="1438910" cy="283845"/>
                      <wp:effectExtent l="0" t="0" r="0" b="0"/>
                      <wp:wrapNone/>
                      <wp:docPr id="20" name="组合 20"/>
                      <wp:cNvGraphicFramePr/>
                      <a:graphic xmlns:a="http://schemas.openxmlformats.org/drawingml/2006/main">
                        <a:graphicData uri="http://schemas.microsoft.com/office/word/2010/wordprocessingGroup">
                          <wpg:wgp>
                            <wpg:cNvGrpSpPr/>
                            <wpg:grpSpPr>
                              <a:xfrm>
                                <a:off x="0" y="0"/>
                                <a:ext cx="1438910" cy="283845"/>
                                <a:chOff x="5938" y="1282194"/>
                                <a:chExt cx="2266" cy="447"/>
                              </a:xfrm>
                            </wpg:grpSpPr>
                            <wps:wsp>
                              <wps:cNvPr id="21" name="文本框 5"/>
                              <wps:cNvSpPr txBox="1"/>
                              <wps:spPr>
                                <a:xfrm>
                                  <a:off x="5938" y="1282194"/>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015A3E">
                                    <w:pPr>
                                      <w:ind w:firstLine="0" w:firstLineChars="0"/>
                                      <w:rPr>
                                        <w:color w:val="FF0000"/>
                                        <w:sz w:val="18"/>
                                        <w:szCs w:val="18"/>
                                      </w:rPr>
                                    </w:pPr>
                                    <w:r>
                                      <w:rPr>
                                        <w:rFonts w:hint="eastAsia"/>
                                        <w:color w:val="FF0000"/>
                                        <w:sz w:val="18"/>
                                        <w:szCs w:val="18"/>
                                      </w:rPr>
                                      <w:t>C2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 name="文本框 7"/>
                              <wps:cNvSpPr txBox="1"/>
                              <wps:spPr>
                                <a:xfrm>
                                  <a:off x="7618" y="1282209"/>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FDCA1">
                                    <w:pPr>
                                      <w:ind w:firstLine="0" w:firstLineChars="0"/>
                                      <w:rPr>
                                        <w:color w:val="FF0000"/>
                                        <w:sz w:val="18"/>
                                        <w:szCs w:val="18"/>
                                      </w:rPr>
                                    </w:pPr>
                                    <w:r>
                                      <w:rPr>
                                        <w:rFonts w:hint="eastAsia"/>
                                        <w:color w:val="FF0000"/>
                                        <w:sz w:val="18"/>
                                        <w:szCs w:val="18"/>
                                      </w:rPr>
                                      <w:t>A2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 name="文本框 8"/>
                              <wps:cNvSpPr txBox="1"/>
                              <wps:spPr>
                                <a:xfrm>
                                  <a:off x="6796" y="1282217"/>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FBE381">
                                    <w:pPr>
                                      <w:ind w:firstLine="0" w:firstLineChars="0"/>
                                      <w:rPr>
                                        <w:color w:val="FF0000"/>
                                        <w:sz w:val="18"/>
                                        <w:szCs w:val="18"/>
                                      </w:rPr>
                                    </w:pPr>
                                    <w:r>
                                      <w:rPr>
                                        <w:rFonts w:hint="eastAsia"/>
                                        <w:color w:val="FF0000"/>
                                        <w:sz w:val="18"/>
                                        <w:szCs w:val="18"/>
                                      </w:rPr>
                                      <w:t>B2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12.25pt;margin-top:37pt;height:22.35pt;width:113.3pt;z-index:251665408;mso-width-relative:page;mso-height-relative:page;" coordorigin="5938,1282194" coordsize="2266,447" o:gfxdata="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">
                      <o:lock v:ext="edit" aspectratio="f"/>
                      <v:shape id="文本框 5" o:spid="_x0000_s1026" o:spt="202" type="#_x0000_t202" style="position:absolute;left:5938;top:1282194;height:424;width:586;" filled="f" stroked="f" coordsize="21600,21600" o:gfxdata="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BCam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1A015A3E">
                              <w:pPr>
                                <w:ind w:firstLine="0" w:firstLineChars="0"/>
                                <w:rPr>
                                  <w:color w:val="FF0000"/>
                                  <w:sz w:val="18"/>
                                  <w:szCs w:val="18"/>
                                </w:rPr>
                              </w:pPr>
                              <w:r>
                                <w:rPr>
                                  <w:rFonts w:hint="eastAsia"/>
                                  <w:color w:val="FF0000"/>
                                  <w:sz w:val="18"/>
                                  <w:szCs w:val="18"/>
                                </w:rPr>
                                <w:t>C2</w:t>
                              </w:r>
                            </w:p>
                          </w:txbxContent>
                        </v:textbox>
                      </v:shape>
                      <v:shape id="文本框 7" o:spid="_x0000_s1026" o:spt="202" type="#_x0000_t202" style="position:absolute;left:7618;top:1282209;height:424;width:586;" filled="f" stroked="f" coordsize="21600,21600" o:gfxdata="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WuNG/&#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6AFDCA1">
                              <w:pPr>
                                <w:ind w:firstLine="0" w:firstLineChars="0"/>
                                <w:rPr>
                                  <w:color w:val="FF0000"/>
                                  <w:sz w:val="18"/>
                                  <w:szCs w:val="18"/>
                                </w:rPr>
                              </w:pPr>
                              <w:r>
                                <w:rPr>
                                  <w:rFonts w:hint="eastAsia"/>
                                  <w:color w:val="FF0000"/>
                                  <w:sz w:val="18"/>
                                  <w:szCs w:val="18"/>
                                </w:rPr>
                                <w:t>A2</w:t>
                              </w:r>
                            </w:p>
                          </w:txbxContent>
                        </v:textbox>
                      </v:shape>
                      <v:shape id="文本框 8" o:spid="_x0000_s1026" o:spt="202" type="#_x0000_t202" style="position:absolute;left:6796;top:1282217;height:424;width:586;" filled="f" stroked="f" coordsize="21600,21600" o:gfxdata="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ZodS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6CFBE381">
                              <w:pPr>
                                <w:ind w:firstLine="0" w:firstLineChars="0"/>
                                <w:rPr>
                                  <w:color w:val="FF0000"/>
                                  <w:sz w:val="18"/>
                                  <w:szCs w:val="18"/>
                                </w:rPr>
                              </w:pPr>
                              <w:r>
                                <w:rPr>
                                  <w:rFonts w:hint="eastAsia"/>
                                  <w:color w:val="FF0000"/>
                                  <w:sz w:val="18"/>
                                  <w:szCs w:val="18"/>
                                </w:rPr>
                                <w:t>B2</w:t>
                              </w:r>
                            </w:p>
                          </w:txbxContent>
                        </v:textbox>
                      </v:shape>
                    </v:group>
                  </w:pict>
                </mc:Fallback>
              </mc:AlternateContent>
            </w:r>
            <w:r>
              <w:rPr>
                <w:color w:val="000000" w:themeColor="text1"/>
                <w:sz w:val="21"/>
                <w14:textFill>
                  <w14:solidFill>
                    <w14:schemeClr w14:val="tx1"/>
                  </w14:solidFill>
                </w14:textFill>
              </w:rPr>
              <mc:AlternateContent>
                <mc:Choice Requires="wpg">
                  <w:drawing>
                    <wp:anchor distT="0" distB="0" distL="114300" distR="114300" simplePos="0" relativeHeight="251664384" behindDoc="0" locked="0" layoutInCell="1" allowOverlap="1">
                      <wp:simplePos x="0" y="0"/>
                      <wp:positionH relativeFrom="column">
                        <wp:posOffset>68580</wp:posOffset>
                      </wp:positionH>
                      <wp:positionV relativeFrom="paragraph">
                        <wp:posOffset>428625</wp:posOffset>
                      </wp:positionV>
                      <wp:extent cx="1459230" cy="305435"/>
                      <wp:effectExtent l="0" t="0" r="0" b="0"/>
                      <wp:wrapNone/>
                      <wp:docPr id="10" name="组合 10"/>
                      <wp:cNvGraphicFramePr/>
                      <a:graphic xmlns:a="http://schemas.openxmlformats.org/drawingml/2006/main">
                        <a:graphicData uri="http://schemas.microsoft.com/office/word/2010/wordprocessingGroup">
                          <wpg:wgp>
                            <wpg:cNvGrpSpPr/>
                            <wpg:grpSpPr>
                              <a:xfrm>
                                <a:off x="0" y="0"/>
                                <a:ext cx="1459230" cy="305435"/>
                                <a:chOff x="5875" y="1282195"/>
                                <a:chExt cx="2298" cy="481"/>
                              </a:xfrm>
                            </wpg:grpSpPr>
                            <wps:wsp>
                              <wps:cNvPr id="12" name="文本框 5"/>
                              <wps:cNvSpPr txBox="1"/>
                              <wps:spPr>
                                <a:xfrm>
                                  <a:off x="5875" y="1282195"/>
                                  <a:ext cx="586" cy="3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61682">
                                    <w:pPr>
                                      <w:ind w:firstLine="0" w:firstLineChars="0"/>
                                      <w:rPr>
                                        <w:color w:val="FF0000"/>
                                        <w:sz w:val="18"/>
                                        <w:szCs w:val="18"/>
                                      </w:rPr>
                                    </w:pPr>
                                    <w:r>
                                      <w:rPr>
                                        <w:rFonts w:hint="eastAsia"/>
                                        <w:color w:val="FF0000"/>
                                        <w:sz w:val="18"/>
                                        <w:szCs w:val="18"/>
                                      </w:rPr>
                                      <w:t>C1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 name="文本框 7"/>
                              <wps:cNvSpPr txBox="1"/>
                              <wps:spPr>
                                <a:xfrm>
                                  <a:off x="7587" y="1282252"/>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D9C92F">
                                    <w:pPr>
                                      <w:ind w:firstLine="0" w:firstLineChars="0"/>
                                      <w:rPr>
                                        <w:color w:val="FF0000"/>
                                        <w:sz w:val="18"/>
                                        <w:szCs w:val="18"/>
                                      </w:rPr>
                                    </w:pPr>
                                    <w:r>
                                      <w:rPr>
                                        <w:color w:val="FF0000"/>
                                        <w:sz w:val="18"/>
                                        <w:szCs w:val="18"/>
                                      </w:rPr>
                                      <w:t>A1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8"/>
                              <wps:cNvSpPr txBox="1"/>
                              <wps:spPr>
                                <a:xfrm>
                                  <a:off x="6776" y="1282218"/>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7F9E6">
                                    <w:pPr>
                                      <w:ind w:firstLine="0" w:firstLineChars="0"/>
                                      <w:rPr>
                                        <w:color w:val="FF0000"/>
                                        <w:sz w:val="18"/>
                                        <w:szCs w:val="18"/>
                                      </w:rPr>
                                    </w:pPr>
                                    <w:r>
                                      <w:rPr>
                                        <w:rFonts w:hint="eastAsia"/>
                                        <w:color w:val="FF0000"/>
                                        <w:sz w:val="18"/>
                                        <w:szCs w:val="18"/>
                                      </w:rPr>
                                      <w:t>B1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4pt;margin-top:33.75pt;height:24.05pt;width:114.9pt;z-index:251664384;mso-width-relative:page;mso-height-relative:page;" coordorigin="5875,1282195" coordsize="2298,481" o:gfxdata="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">
                      <o:lock v:ext="edit" aspectratio="f"/>
                      <v:shape id="文本框 5" o:spid="_x0000_s1026" o:spt="202" type="#_x0000_t202" style="position:absolute;left:5875;top:1282195;height:357;width:586;" filled="f" stroked="f" coordsize="21600,21600" o:gfxdata="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unJsugAAANsA&#10;AAAPAAAAAAAAAAEAIAAAACIAAABkcnMvZG93bnJldi54bWxQSwECFAAUAAAACACHTuJAMy8FnjsA&#10;AAA5AAAAEAAAAAAAAAABACAAAAAJAQAAZHJzL3NoYXBleG1sLnhtbFBLBQYAAAAABgAGAFsBAACz&#10;AwAAAAA=&#10;">
                        <v:fill on="f" focussize="0,0"/>
                        <v:stroke on="f" weight="0.5pt"/>
                        <v:imagedata o:title=""/>
                        <o:lock v:ext="edit" aspectratio="f"/>
                        <v:textbox>
                          <w:txbxContent>
                            <w:p w14:paraId="28161682">
                              <w:pPr>
                                <w:ind w:firstLine="0" w:firstLineChars="0"/>
                                <w:rPr>
                                  <w:color w:val="FF0000"/>
                                  <w:sz w:val="18"/>
                                  <w:szCs w:val="18"/>
                                </w:rPr>
                              </w:pPr>
                              <w:r>
                                <w:rPr>
                                  <w:rFonts w:hint="eastAsia"/>
                                  <w:color w:val="FF0000"/>
                                  <w:sz w:val="18"/>
                                  <w:szCs w:val="18"/>
                                </w:rPr>
                                <w:t>C1</w:t>
                              </w:r>
                            </w:p>
                          </w:txbxContent>
                        </v:textbox>
                      </v:shape>
                      <v:shape id="文本框 7" o:spid="_x0000_s1026" o:spt="202" type="#_x0000_t202" style="position:absolute;left:7587;top:1282252;height:424;width:586;" filled="f" stroked="f" coordsize="21600,21600" o:gfxdata="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21/e8AAAA&#10;2w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70D9C92F">
                              <w:pPr>
                                <w:ind w:firstLine="0" w:firstLineChars="0"/>
                                <w:rPr>
                                  <w:color w:val="FF0000"/>
                                  <w:sz w:val="18"/>
                                  <w:szCs w:val="18"/>
                                </w:rPr>
                              </w:pPr>
                              <w:r>
                                <w:rPr>
                                  <w:color w:val="FF0000"/>
                                  <w:sz w:val="18"/>
                                  <w:szCs w:val="18"/>
                                </w:rPr>
                                <w:t>A1</w:t>
                              </w:r>
                            </w:p>
                          </w:txbxContent>
                        </v:textbox>
                      </v:shape>
                      <v:shape id="文本框 8" o:spid="_x0000_s1026" o:spt="202" type="#_x0000_t202" style="position:absolute;left:6776;top:1282218;height:424;width:586;" filled="f" stroked="f" coordsize="21600,21600" o:gfxdata="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fT4O8AAAA&#10;2w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767F9E6">
                              <w:pPr>
                                <w:ind w:firstLine="0" w:firstLineChars="0"/>
                                <w:rPr>
                                  <w:color w:val="FF0000"/>
                                  <w:sz w:val="18"/>
                                  <w:szCs w:val="18"/>
                                </w:rPr>
                              </w:pPr>
                              <w:r>
                                <w:rPr>
                                  <w:rFonts w:hint="eastAsia"/>
                                  <w:color w:val="FF0000"/>
                                  <w:sz w:val="18"/>
                                  <w:szCs w:val="18"/>
                                </w:rPr>
                                <w:t>B1</w:t>
                              </w:r>
                            </w:p>
                          </w:txbxContent>
                        </v:textbox>
                      </v:shape>
                    </v:group>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791845</wp:posOffset>
                      </wp:positionH>
                      <wp:positionV relativeFrom="paragraph">
                        <wp:posOffset>471805</wp:posOffset>
                      </wp:positionV>
                      <wp:extent cx="1345565" cy="0"/>
                      <wp:effectExtent l="0" t="38100" r="6985" b="38100"/>
                      <wp:wrapNone/>
                      <wp:docPr id="64" name="直接箭头连接符 64"/>
                      <wp:cNvGraphicFramePr/>
                      <a:graphic xmlns:a="http://schemas.openxmlformats.org/drawingml/2006/main">
                        <a:graphicData uri="http://schemas.microsoft.com/office/word/2010/wordprocessingShape">
                          <wps:wsp>
                            <wps:cNvCnPr/>
                            <wps:spPr>
                              <a:xfrm>
                                <a:off x="3047365" y="7105650"/>
                                <a:ext cx="1345565" cy="0"/>
                              </a:xfrm>
                              <a:prstGeom prst="straightConnector1">
                                <a:avLst/>
                              </a:prstGeom>
                              <a:ln>
                                <a:solidFill>
                                  <a:srgbClr val="FF0000"/>
                                </a:solidFill>
                                <a:headEnd type="triangle" w="med" len="me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62.35pt;margin-top:37.15pt;height:0pt;width:105.95pt;z-index:251673600;mso-width-relative:page;mso-height-relative:page;" filled="f" stroked="t" coordsize="21600,21600" o:gfxdata="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s6Qg62QAAAAkBAAAPAAAAAAAAAAEAIAAAACIAAABkcnMvZG93bnJldi54bWxQSwECFAAU&#10;AAAACACHTuJA2GkAcykCAAAwBAAADgAAAAAAAAABACAAAAAoAQAAZHJzL2Uyb0RvYy54bWxQSwUG&#10;AAAAAAYABgBZAQAAwwUAAAAA&#10;">
                      <v:fill on="f" focussize="0,0"/>
                      <v:stroke weight="1pt" color="#FF0000 [3204]" miterlimit="8" joinstyle="miter" startarrow="block" endarrow="block"/>
                      <v:imagedata o:title=""/>
                      <o:lock v:ext="edit" aspectratio="f"/>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2115185</wp:posOffset>
                      </wp:positionH>
                      <wp:positionV relativeFrom="paragraph">
                        <wp:posOffset>471805</wp:posOffset>
                      </wp:positionV>
                      <wp:extent cx="1345565" cy="0"/>
                      <wp:effectExtent l="0" t="38100" r="6985" b="38100"/>
                      <wp:wrapNone/>
                      <wp:docPr id="65" name="直接箭头连接符 65"/>
                      <wp:cNvGraphicFramePr/>
                      <a:graphic xmlns:a="http://schemas.openxmlformats.org/drawingml/2006/main">
                        <a:graphicData uri="http://schemas.microsoft.com/office/word/2010/wordprocessingShape">
                          <wps:wsp>
                            <wps:cNvCnPr/>
                            <wps:spPr>
                              <a:xfrm>
                                <a:off x="0" y="0"/>
                                <a:ext cx="1345565" cy="0"/>
                              </a:xfrm>
                              <a:prstGeom prst="straightConnector1">
                                <a:avLst/>
                              </a:prstGeom>
                              <a:ln>
                                <a:solidFill>
                                  <a:srgbClr val="FF0000"/>
                                </a:solidFill>
                                <a:headEnd type="triangle" w="med" len="me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6.55pt;margin-top:37.15pt;height:0pt;width:105.95pt;z-index:251674624;mso-width-relative:page;mso-height-relative:page;" filled="f" stroked="t" coordsize="21600,21600" o:gfxdata="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I5YHLYAAAACQEA&#10;AA8AAAAAAAAAAQAgAAAAIgAAAGRycy9kb3ducmV2LnhtbFBLAQIUABQAAAAIAIdO4kCc+YnQGgIA&#10;ACQEAAAOAAAAAAAAAAEAIAAAACcBAABkcnMvZTJvRG9jLnhtbFBLBQYAAAAABgAGAFkBAACzBQAA&#10;AAA=&#10;">
                      <v:fill on="f" focussize="0,0"/>
                      <v:stroke weight="1pt" color="#FF0000 [3204]" miterlimit="8" joinstyle="miter" startarrow="block" endarrow="block"/>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2533650</wp:posOffset>
                      </wp:positionH>
                      <wp:positionV relativeFrom="paragraph">
                        <wp:posOffset>290195</wp:posOffset>
                      </wp:positionV>
                      <wp:extent cx="497205" cy="239395"/>
                      <wp:effectExtent l="0" t="0" r="0" b="0"/>
                      <wp:wrapNone/>
                      <wp:docPr id="68" name="文本框 7"/>
                      <wp:cNvGraphicFramePr/>
                      <a:graphic xmlns:a="http://schemas.openxmlformats.org/drawingml/2006/main">
                        <a:graphicData uri="http://schemas.microsoft.com/office/word/2010/wordprocessingShape">
                          <wps:wsp>
                            <wps:cNvSpPr txBox="1"/>
                            <wps:spPr>
                              <a:xfrm>
                                <a:off x="0" y="0"/>
                                <a:ext cx="497205" cy="239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3CC2B">
                                  <w:pPr>
                                    <w:ind w:firstLine="0" w:firstLineChars="0"/>
                                    <w:rPr>
                                      <w:color w:val="FF0000"/>
                                      <w:sz w:val="18"/>
                                      <w:szCs w:val="18"/>
                                    </w:rPr>
                                  </w:pPr>
                                  <w:r>
                                    <w:rPr>
                                      <w:rFonts w:hint="eastAsia"/>
                                      <w:color w:val="FF0000"/>
                                      <w:sz w:val="18"/>
                                      <w:szCs w:val="18"/>
                                    </w:rPr>
                                    <w:t>100m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26" o:spt="202" type="#_x0000_t202" style="position:absolute;left:0pt;margin-left:199.5pt;margin-top:22.85pt;height:18.85pt;width:39.15pt;z-index:251676672;mso-width-relative:page;mso-height-relative:page;" filled="f" stroked="f" coordsize="21600,21600" o:gfxdata="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24Br12wAAAAkBAAAPAAAAAAAAAAEAIAAAACIAAABk&#10;cnMvZG93bnJldi54bWxQSwECFAAUAAAACACHTuJApDS8vTwCAABmBAAADgAAAAAAAAABACAAAAAq&#10;AQAAZHJzL2Uyb0RvYy54bWxQSwUGAAAAAAYABgBZAQAA2AUAAAAA&#10;">
                      <v:fill on="f" focussize="0,0"/>
                      <v:stroke on="f" weight="0.5pt"/>
                      <v:imagedata o:title=""/>
                      <o:lock v:ext="edit" aspectratio="f"/>
                      <v:textbox>
                        <w:txbxContent>
                          <w:p w14:paraId="7EF3CC2B">
                            <w:pPr>
                              <w:ind w:firstLine="0" w:firstLineChars="0"/>
                              <w:rPr>
                                <w:color w:val="FF0000"/>
                                <w:sz w:val="18"/>
                                <w:szCs w:val="18"/>
                              </w:rPr>
                            </w:pPr>
                            <w:r>
                              <w:rPr>
                                <w:rFonts w:hint="eastAsia"/>
                                <w:color w:val="FF0000"/>
                                <w:sz w:val="18"/>
                                <w:szCs w:val="18"/>
                              </w:rPr>
                              <w:t>100m</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1134745</wp:posOffset>
                      </wp:positionH>
                      <wp:positionV relativeFrom="paragraph">
                        <wp:posOffset>292735</wp:posOffset>
                      </wp:positionV>
                      <wp:extent cx="497205" cy="239395"/>
                      <wp:effectExtent l="0" t="0" r="0" b="0"/>
                      <wp:wrapNone/>
                      <wp:docPr id="67" name="文本框 7"/>
                      <wp:cNvGraphicFramePr/>
                      <a:graphic xmlns:a="http://schemas.openxmlformats.org/drawingml/2006/main">
                        <a:graphicData uri="http://schemas.microsoft.com/office/word/2010/wordprocessingShape">
                          <wps:wsp>
                            <wps:cNvSpPr txBox="1"/>
                            <wps:spPr>
                              <a:xfrm>
                                <a:off x="0" y="0"/>
                                <a:ext cx="497205" cy="239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54BD0F">
                                  <w:pPr>
                                    <w:ind w:firstLine="0" w:firstLineChars="0"/>
                                    <w:rPr>
                                      <w:color w:val="FF0000"/>
                                      <w:sz w:val="18"/>
                                      <w:szCs w:val="18"/>
                                    </w:rPr>
                                  </w:pPr>
                                  <w:r>
                                    <w:rPr>
                                      <w:rFonts w:hint="eastAsia"/>
                                      <w:color w:val="FF0000"/>
                                      <w:sz w:val="18"/>
                                      <w:szCs w:val="18"/>
                                    </w:rPr>
                                    <w:t>100m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26" o:spt="202" type="#_x0000_t202" style="position:absolute;left:0pt;margin-left:89.35pt;margin-top:23.05pt;height:18.85pt;width:39.15pt;z-index:251675648;mso-width-relative:page;mso-height-relative:page;" filled="f" stroked="f" coordsize="21600,21600" o:gfxdata="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1fU7aAAAACQEAAA8AAAAAAAAAAQAgAAAAIgAAAGRy&#10;cy9kb3ducmV2LnhtbFBLAQIUABQAAAAIAIdO4kAJ5FJdPAIAAGYEAAAOAAAAAAAAAAEAIAAAACkB&#10;AABkcnMvZTJvRG9jLnhtbFBLBQYAAAAABgAGAFkBAADXBQAAAAA=&#10;">
                      <v:fill on="f" focussize="0,0"/>
                      <v:stroke on="f" weight="0.5pt"/>
                      <v:imagedata o:title=""/>
                      <o:lock v:ext="edit" aspectratio="f"/>
                      <v:textbox>
                        <w:txbxContent>
                          <w:p w14:paraId="3154BD0F">
                            <w:pPr>
                              <w:ind w:firstLine="0" w:firstLineChars="0"/>
                              <w:rPr>
                                <w:color w:val="FF0000"/>
                                <w:sz w:val="18"/>
                                <w:szCs w:val="18"/>
                              </w:rPr>
                            </w:pPr>
                            <w:r>
                              <w:rPr>
                                <w:rFonts w:hint="eastAsia"/>
                                <w:color w:val="FF0000"/>
                                <w:sz w:val="18"/>
                                <w:szCs w:val="18"/>
                              </w:rPr>
                              <w:t>100m</w:t>
                            </w:r>
                          </w:p>
                        </w:txbxContent>
                      </v:textbox>
                    </v:shape>
                  </w:pict>
                </mc:Fallback>
              </mc:AlternateContent>
            </w:r>
            <w:r>
              <w:rPr>
                <w:color w:val="000000" w:themeColor="text1"/>
                <w14:textFill>
                  <w14:solidFill>
                    <w14:schemeClr w14:val="tx1"/>
                  </w14:solidFill>
                </w14:textFill>
              </w:rPr>
              <w:drawing>
                <wp:inline distT="0" distB="0" distL="114300" distR="114300">
                  <wp:extent cx="1299845" cy="1043940"/>
                  <wp:effectExtent l="0" t="0" r="14605" b="3810"/>
                  <wp:docPr id="4" name="图片 1"/>
                  <wp:cNvGraphicFramePr/>
                  <a:graphic xmlns:a="http://schemas.openxmlformats.org/drawingml/2006/main">
                    <a:graphicData uri="http://schemas.openxmlformats.org/drawingml/2006/picture">
                      <pic:pic xmlns:pic="http://schemas.openxmlformats.org/drawingml/2006/picture">
                        <pic:nvPicPr>
                          <pic:cNvPr id="4" name="图片 1"/>
                          <pic:cNvPicPr/>
                        </pic:nvPicPr>
                        <pic:blipFill>
                          <a:blip r:embed="rId53"/>
                          <a:stretch>
                            <a:fillRect/>
                          </a:stretch>
                        </pic:blipFill>
                        <pic:spPr>
                          <a:xfrm>
                            <a:off x="0" y="0"/>
                            <a:ext cx="1299845" cy="104394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1299845" cy="1043940"/>
                  <wp:effectExtent l="0" t="0" r="14605" b="3810"/>
                  <wp:docPr id="5" name="图片 1"/>
                  <wp:cNvGraphicFramePr/>
                  <a:graphic xmlns:a="http://schemas.openxmlformats.org/drawingml/2006/main">
                    <a:graphicData uri="http://schemas.openxmlformats.org/drawingml/2006/picture">
                      <pic:pic xmlns:pic="http://schemas.openxmlformats.org/drawingml/2006/picture">
                        <pic:nvPicPr>
                          <pic:cNvPr id="5" name="图片 1"/>
                          <pic:cNvPicPr/>
                        </pic:nvPicPr>
                        <pic:blipFill>
                          <a:blip r:embed="rId53"/>
                          <a:stretch>
                            <a:fillRect/>
                          </a:stretch>
                        </pic:blipFill>
                        <pic:spPr>
                          <a:xfrm>
                            <a:off x="0" y="0"/>
                            <a:ext cx="1299845" cy="104394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1299845" cy="1043940"/>
                  <wp:effectExtent l="0" t="0" r="14605" b="3810"/>
                  <wp:docPr id="6" name="图片 1"/>
                  <wp:cNvGraphicFramePr/>
                  <a:graphic xmlns:a="http://schemas.openxmlformats.org/drawingml/2006/main">
                    <a:graphicData uri="http://schemas.openxmlformats.org/drawingml/2006/picture">
                      <pic:pic xmlns:pic="http://schemas.openxmlformats.org/drawingml/2006/picture">
                        <pic:nvPicPr>
                          <pic:cNvPr id="6" name="图片 1"/>
                          <pic:cNvPicPr/>
                        </pic:nvPicPr>
                        <pic:blipFill>
                          <a:blip r:embed="rId53"/>
                          <a:stretch>
                            <a:fillRect/>
                          </a:stretch>
                        </pic:blipFill>
                        <pic:spPr>
                          <a:xfrm>
                            <a:off x="0" y="0"/>
                            <a:ext cx="1299845" cy="1043940"/>
                          </a:xfrm>
                          <a:prstGeom prst="rect">
                            <a:avLst/>
                          </a:prstGeom>
                          <a:noFill/>
                          <a:ln>
                            <a:noFill/>
                          </a:ln>
                        </pic:spPr>
                      </pic:pic>
                    </a:graphicData>
                  </a:graphic>
                </wp:inline>
              </w:drawing>
            </w:r>
          </w:p>
        </w:tc>
      </w:tr>
      <w:tr w14:paraId="1E19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62" w:type="dxa"/>
            <w:gridSpan w:val="2"/>
            <w:vAlign w:val="center"/>
          </w:tcPr>
          <w:p w14:paraId="7B55E8C4">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子导线外径</w:t>
            </w:r>
          </w:p>
        </w:tc>
        <w:tc>
          <w:tcPr>
            <w:tcW w:w="6659" w:type="dxa"/>
            <w:gridSpan w:val="2"/>
            <w:vAlign w:val="center"/>
          </w:tcPr>
          <w:p w14:paraId="29CFA5D5">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27.6mm</w:t>
            </w:r>
          </w:p>
        </w:tc>
      </w:tr>
      <w:tr w14:paraId="2B9D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5B4DD591">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分裂型式</w:t>
            </w:r>
          </w:p>
        </w:tc>
        <w:tc>
          <w:tcPr>
            <w:tcW w:w="6659" w:type="dxa"/>
            <w:gridSpan w:val="2"/>
            <w:vAlign w:val="center"/>
          </w:tcPr>
          <w:p w14:paraId="54070027">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6</w:t>
            </w:r>
            <w:r>
              <w:rPr>
                <w:rFonts w:hint="eastAsia" w:ascii="宋体" w:hAnsi="宋体" w:cs="宋体"/>
                <w:color w:val="000000" w:themeColor="text1"/>
                <w:kern w:val="0"/>
                <w:sz w:val="21"/>
                <w:szCs w:val="21"/>
                <w:lang w:bidi="ar"/>
                <w14:textFill>
                  <w14:solidFill>
                    <w14:schemeClr w14:val="tx1"/>
                  </w14:solidFill>
                </w14:textFill>
              </w:rPr>
              <w:t>分裂</w:t>
            </w:r>
          </w:p>
        </w:tc>
      </w:tr>
      <w:tr w14:paraId="0682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5F1881FD">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分裂间距</w:t>
            </w:r>
          </w:p>
        </w:tc>
        <w:tc>
          <w:tcPr>
            <w:tcW w:w="6659" w:type="dxa"/>
            <w:gridSpan w:val="2"/>
            <w:vAlign w:val="center"/>
          </w:tcPr>
          <w:p w14:paraId="4A3FA3F9">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400mm</w:t>
            </w:r>
          </w:p>
        </w:tc>
      </w:tr>
      <w:tr w14:paraId="6CF7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508B4CEC">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地线型式</w:t>
            </w:r>
          </w:p>
        </w:tc>
        <w:tc>
          <w:tcPr>
            <w:tcW w:w="6659" w:type="dxa"/>
            <w:gridSpan w:val="2"/>
            <w:vAlign w:val="center"/>
          </w:tcPr>
          <w:p w14:paraId="0B12D813">
            <w:pPr>
              <w:snapToGrid w:val="0"/>
              <w:spacing w:line="240" w:lineRule="auto"/>
              <w:ind w:firstLine="420"/>
              <w:jc w:val="center"/>
              <w:rPr>
                <w:rFonts w:hint="eastAsia" w:eastAsia="宋体"/>
                <w:color w:val="000000" w:themeColor="text1"/>
                <w:sz w:val="21"/>
                <w:szCs w:val="21"/>
                <w:lang w:eastAsia="zh-CN"/>
                <w14:textFill>
                  <w14:solidFill>
                    <w14:schemeClr w14:val="tx1"/>
                  </w14:solidFill>
                </w14:textFill>
              </w:rPr>
            </w:pPr>
            <w:r>
              <w:rPr>
                <w:color w:val="000000" w:themeColor="text1"/>
                <w:kern w:val="0"/>
                <w:sz w:val="21"/>
                <w:szCs w:val="21"/>
                <w:lang w:bidi="ar"/>
                <w14:textFill>
                  <w14:solidFill>
                    <w14:schemeClr w14:val="tx1"/>
                  </w14:solidFill>
                </w14:textFill>
              </w:rPr>
              <w:t>OPGW-17-150-</w:t>
            </w:r>
            <w:r>
              <w:rPr>
                <w:rFonts w:hint="eastAsia"/>
                <w:color w:val="000000" w:themeColor="text1"/>
                <w:kern w:val="0"/>
                <w:sz w:val="21"/>
                <w:szCs w:val="21"/>
                <w:lang w:bidi="ar"/>
                <w14:textFill>
                  <w14:solidFill>
                    <w14:schemeClr w14:val="tx1"/>
                  </w14:solidFill>
                </w14:textFill>
              </w:rPr>
              <w:t>4</w:t>
            </w:r>
            <w:r>
              <w:rPr>
                <w:rFonts w:hint="eastAsia"/>
                <w:color w:val="000000" w:themeColor="text1"/>
                <w:kern w:val="0"/>
                <w:sz w:val="21"/>
                <w:szCs w:val="21"/>
                <w:lang w:eastAsia="zh-CN"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JLB40-150</w:t>
            </w:r>
          </w:p>
        </w:tc>
      </w:tr>
      <w:tr w14:paraId="4F68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7FFE03BA">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相序排列方式</w:t>
            </w:r>
          </w:p>
        </w:tc>
        <w:tc>
          <w:tcPr>
            <w:tcW w:w="6659" w:type="dxa"/>
            <w:gridSpan w:val="2"/>
            <w:vAlign w:val="center"/>
          </w:tcPr>
          <w:p w14:paraId="4EE201B6">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水平排列，</w:t>
            </w:r>
            <w:r>
              <w:rPr>
                <w:color w:val="000000" w:themeColor="text1"/>
                <w:kern w:val="0"/>
                <w:sz w:val="21"/>
                <w:szCs w:val="21"/>
                <w:lang w:bidi="ar"/>
                <w14:textFill>
                  <w14:solidFill>
                    <w14:schemeClr w14:val="tx1"/>
                  </w14:solidFill>
                </w14:textFill>
              </w:rPr>
              <w:t>CBA</w:t>
            </w:r>
            <w:r>
              <w:rPr>
                <w:rFonts w:hint="eastAsia"/>
                <w:color w:val="000000" w:themeColor="text1"/>
                <w:kern w:val="0"/>
                <w:sz w:val="21"/>
                <w:szCs w:val="21"/>
                <w:lang w:bidi="ar"/>
                <w14:textFill>
                  <w14:solidFill>
                    <w14:schemeClr w14:val="tx1"/>
                  </w14:solidFill>
                </w14:textFill>
              </w:rPr>
              <w:t>-CBA-CBA</w:t>
            </w:r>
          </w:p>
        </w:tc>
      </w:tr>
      <w:tr w14:paraId="07DF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7854C03D">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输送功率</w:t>
            </w:r>
          </w:p>
        </w:tc>
        <w:tc>
          <w:tcPr>
            <w:tcW w:w="6659" w:type="dxa"/>
            <w:gridSpan w:val="2"/>
            <w:vAlign w:val="center"/>
          </w:tcPr>
          <w:p w14:paraId="665FE4F6">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单回输送功率</w:t>
            </w:r>
            <w:r>
              <w:rPr>
                <w:color w:val="000000" w:themeColor="text1"/>
                <w:kern w:val="0"/>
                <w:sz w:val="21"/>
                <w:szCs w:val="21"/>
                <w:lang w:bidi="ar"/>
                <w14:textFill>
                  <w14:solidFill>
                    <w14:schemeClr w14:val="tx1"/>
                  </w14:solidFill>
                </w14:textFill>
              </w:rPr>
              <w:t>2</w:t>
            </w:r>
            <w:r>
              <w:rPr>
                <w:rFonts w:hint="eastAsia"/>
                <w:color w:val="000000" w:themeColor="text1"/>
                <w:kern w:val="0"/>
                <w:sz w:val="21"/>
                <w:szCs w:val="21"/>
                <w:lang w:val="en-US" w:eastAsia="zh-CN" w:bidi="ar"/>
                <w14:textFill>
                  <w14:solidFill>
                    <w14:schemeClr w14:val="tx1"/>
                  </w14:solidFill>
                </w14:textFill>
              </w:rPr>
              <w:t>5</w:t>
            </w:r>
            <w:r>
              <w:rPr>
                <w:color w:val="000000" w:themeColor="text1"/>
                <w:kern w:val="0"/>
                <w:sz w:val="21"/>
                <w:szCs w:val="21"/>
                <w:lang w:bidi="ar"/>
                <w14:textFill>
                  <w14:solidFill>
                    <w14:schemeClr w14:val="tx1"/>
                  </w14:solidFill>
                </w14:textFill>
              </w:rPr>
              <w:t>00MW</w:t>
            </w:r>
          </w:p>
        </w:tc>
      </w:tr>
      <w:tr w14:paraId="73F2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2750B1E4">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输送电流</w:t>
            </w:r>
          </w:p>
        </w:tc>
        <w:tc>
          <w:tcPr>
            <w:tcW w:w="6659" w:type="dxa"/>
            <w:gridSpan w:val="2"/>
            <w:vAlign w:val="center"/>
          </w:tcPr>
          <w:p w14:paraId="5DC544EE">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单回输送电流</w:t>
            </w:r>
            <w:r>
              <w:rPr>
                <w:color w:val="000000" w:themeColor="text1"/>
                <w:kern w:val="0"/>
                <w:sz w:val="21"/>
                <w:szCs w:val="21"/>
                <w:lang w:bidi="ar"/>
                <w14:textFill>
                  <w14:solidFill>
                    <w14:schemeClr w14:val="tx1"/>
                  </w14:solidFill>
                </w14:textFill>
              </w:rPr>
              <w:t>1</w:t>
            </w:r>
            <w:r>
              <w:rPr>
                <w:rFonts w:hint="eastAsia"/>
                <w:color w:val="000000" w:themeColor="text1"/>
                <w:kern w:val="0"/>
                <w:sz w:val="21"/>
                <w:szCs w:val="21"/>
                <w:lang w:bidi="ar"/>
                <w14:textFill>
                  <w14:solidFill>
                    <w14:schemeClr w14:val="tx1"/>
                  </w14:solidFill>
                </w14:textFill>
              </w:rPr>
              <w:t>863</w:t>
            </w:r>
            <w:r>
              <w:rPr>
                <w:color w:val="000000" w:themeColor="text1"/>
                <w:kern w:val="0"/>
                <w:sz w:val="21"/>
                <w:szCs w:val="21"/>
                <w:lang w:bidi="ar"/>
                <w14:textFill>
                  <w14:solidFill>
                    <w14:schemeClr w14:val="tx1"/>
                  </w14:solidFill>
                </w14:textFill>
              </w:rPr>
              <w:t>A</w:t>
            </w:r>
          </w:p>
        </w:tc>
      </w:tr>
      <w:tr w14:paraId="3E5B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2DDF99B9">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预测电压</w:t>
            </w:r>
          </w:p>
        </w:tc>
        <w:tc>
          <w:tcPr>
            <w:tcW w:w="6659" w:type="dxa"/>
            <w:gridSpan w:val="2"/>
            <w:vAlign w:val="center"/>
          </w:tcPr>
          <w:p w14:paraId="7619298B">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787.5</w:t>
            </w:r>
            <w:r>
              <w:rPr>
                <w:rFonts w:hint="eastAsia"/>
                <w:color w:val="000000" w:themeColor="text1"/>
                <w:kern w:val="0"/>
                <w:sz w:val="21"/>
                <w:szCs w:val="21"/>
                <w:lang w:bidi="ar"/>
                <w14:textFill>
                  <w14:solidFill>
                    <w14:schemeClr w14:val="tx1"/>
                  </w14:solidFill>
                </w14:textFill>
              </w:rPr>
              <w:t>kV</w:t>
            </w:r>
          </w:p>
        </w:tc>
      </w:tr>
      <w:tr w14:paraId="3298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5C9A2042">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计算原点</w:t>
            </w:r>
            <w:r>
              <w:rPr>
                <w:i/>
                <w:iCs/>
                <w:color w:val="000000" w:themeColor="text1"/>
                <w14:textFill>
                  <w14:solidFill>
                    <w14:schemeClr w14:val="tx1"/>
                  </w14:solidFill>
                </w14:textFill>
              </w:rPr>
              <w:t>O</w:t>
            </w:r>
            <w:r>
              <w:rPr>
                <w:rFonts w:hint="eastAsia" w:ascii="宋体" w:hAnsi="宋体" w:cs="宋体"/>
                <w:color w:val="000000" w:themeColor="text1"/>
                <w:kern w:val="0"/>
                <w:sz w:val="21"/>
                <w:szCs w:val="21"/>
                <w:lang w:bidi="ar"/>
                <w14:textFill>
                  <w14:solidFill>
                    <w14:schemeClr w14:val="tx1"/>
                  </w14:solidFill>
                </w14:textFill>
              </w:rPr>
              <w:t>（</w:t>
            </w:r>
            <w:r>
              <w:rPr>
                <w:color w:val="000000" w:themeColor="text1"/>
                <w:kern w:val="0"/>
                <w:sz w:val="21"/>
                <w:szCs w:val="21"/>
                <w:lang w:bidi="ar"/>
                <w14:textFill>
                  <w14:solidFill>
                    <w14:schemeClr w14:val="tx1"/>
                  </w14:solidFill>
                </w14:textFill>
              </w:rPr>
              <w:t>0，0</w:t>
            </w:r>
            <w:r>
              <w:rPr>
                <w:rFonts w:hint="eastAsia" w:ascii="宋体" w:hAnsi="宋体" w:cs="宋体"/>
                <w:color w:val="000000" w:themeColor="text1"/>
                <w:kern w:val="0"/>
                <w:sz w:val="21"/>
                <w:szCs w:val="21"/>
                <w:lang w:bidi="ar"/>
                <w14:textFill>
                  <w14:solidFill>
                    <w14:schemeClr w14:val="tx1"/>
                  </w14:solidFill>
                </w14:textFill>
              </w:rPr>
              <w:t>）</w:t>
            </w:r>
          </w:p>
        </w:tc>
        <w:tc>
          <w:tcPr>
            <w:tcW w:w="6659" w:type="dxa"/>
            <w:gridSpan w:val="2"/>
            <w:vAlign w:val="center"/>
          </w:tcPr>
          <w:p w14:paraId="1FD467A2">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线路走廊中心</w:t>
            </w:r>
          </w:p>
        </w:tc>
      </w:tr>
      <w:tr w14:paraId="2D62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62" w:type="dxa"/>
            <w:gridSpan w:val="2"/>
            <w:vAlign w:val="center"/>
          </w:tcPr>
          <w:p w14:paraId="1ECCB2A7">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计算距离</w:t>
            </w:r>
          </w:p>
        </w:tc>
        <w:tc>
          <w:tcPr>
            <w:tcW w:w="6659" w:type="dxa"/>
            <w:gridSpan w:val="2"/>
            <w:vAlign w:val="center"/>
          </w:tcPr>
          <w:p w14:paraId="2DEE633F">
            <w:pPr>
              <w:snapToGrid w:val="0"/>
              <w:spacing w:line="240" w:lineRule="auto"/>
              <w:ind w:firstLine="420"/>
              <w:jc w:val="center"/>
              <w:rPr>
                <w:rFonts w:hint="eastAsia" w:eastAsia="宋体"/>
                <w:color w:val="000000" w:themeColor="text1"/>
                <w:kern w:val="0"/>
                <w:sz w:val="21"/>
                <w:szCs w:val="21"/>
                <w:highlight w:val="green"/>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bidi="ar"/>
                <w14:textFill>
                  <w14:solidFill>
                    <w14:schemeClr w14:val="tx1"/>
                  </w14:solidFill>
                </w14:textFill>
              </w:rPr>
              <w:t>17</w:t>
            </w:r>
            <w:r>
              <w:rPr>
                <w:rFonts w:hint="eastAsia"/>
                <w:color w:val="000000" w:themeColor="text1"/>
                <w:kern w:val="0"/>
                <w:sz w:val="21"/>
                <w:szCs w:val="21"/>
                <w:lang w:val="en-US" w:eastAsia="zh-CN" w:bidi="ar"/>
                <w14:textFill>
                  <w14:solidFill>
                    <w14:schemeClr w14:val="tx1"/>
                  </w14:solidFill>
                </w14:textFill>
              </w:rPr>
              <w:t>5</w:t>
            </w: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bidi="ar"/>
                <w14:textFill>
                  <w14:solidFill>
                    <w14:schemeClr w14:val="tx1"/>
                  </w14:solidFill>
                </w14:textFill>
              </w:rPr>
              <w:t>17</w:t>
            </w:r>
            <w:r>
              <w:rPr>
                <w:rFonts w:hint="eastAsia"/>
                <w:color w:val="000000" w:themeColor="text1"/>
                <w:kern w:val="0"/>
                <w:sz w:val="21"/>
                <w:szCs w:val="21"/>
                <w:lang w:val="en-US" w:eastAsia="zh-CN" w:bidi="ar"/>
                <w14:textFill>
                  <w14:solidFill>
                    <w14:schemeClr w14:val="tx1"/>
                  </w14:solidFill>
                </w14:textFill>
              </w:rPr>
              <w:t>5</w:t>
            </w:r>
          </w:p>
        </w:tc>
      </w:tr>
      <w:tr w14:paraId="49D4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2B3E883D">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预测塔型</w:t>
            </w:r>
          </w:p>
        </w:tc>
        <w:tc>
          <w:tcPr>
            <w:tcW w:w="6659" w:type="dxa"/>
            <w:gridSpan w:val="2"/>
            <w:vAlign w:val="center"/>
          </w:tcPr>
          <w:p w14:paraId="18FD55E4">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导线相间距最大塔型（750-PD22D-ZB</w:t>
            </w:r>
            <w:r>
              <w:rPr>
                <w:rFonts w:hint="eastAsia"/>
                <w:color w:val="000000" w:themeColor="text1"/>
                <w:sz w:val="21"/>
                <w:szCs w:val="21"/>
                <w:lang w:val="en-US" w:eastAsia="zh-CN"/>
                <w14:textFill>
                  <w14:solidFill>
                    <w14:schemeClr w14:val="tx1"/>
                  </w14:solidFill>
                </w14:textFill>
              </w:rPr>
              <w:t>3</w:t>
            </w:r>
            <w:r>
              <w:rPr>
                <w:rFonts w:hint="eastAsia"/>
                <w:color w:val="000000" w:themeColor="text1"/>
                <w:sz w:val="21"/>
                <w:szCs w:val="21"/>
                <w14:textFill>
                  <w14:solidFill>
                    <w14:schemeClr w14:val="tx1"/>
                  </w14:solidFill>
                </w14:textFill>
              </w:rPr>
              <w:t>）</w:t>
            </w:r>
          </w:p>
        </w:tc>
      </w:tr>
      <w:tr w14:paraId="1CF9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05F4B463">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坐标</w:t>
            </w:r>
          </w:p>
        </w:tc>
        <w:tc>
          <w:tcPr>
            <w:tcW w:w="3295" w:type="dxa"/>
            <w:vAlign w:val="center"/>
          </w:tcPr>
          <w:p w14:paraId="17B8DE02">
            <w:pPr>
              <w:snapToGrid w:val="0"/>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X</w:t>
            </w:r>
          </w:p>
        </w:tc>
        <w:tc>
          <w:tcPr>
            <w:tcW w:w="3364" w:type="dxa"/>
            <w:vAlign w:val="center"/>
          </w:tcPr>
          <w:p w14:paraId="2A29B45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Y</w:t>
            </w:r>
          </w:p>
        </w:tc>
      </w:tr>
      <w:tr w14:paraId="4844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restart"/>
            <w:vAlign w:val="center"/>
          </w:tcPr>
          <w:p w14:paraId="1F049D0A">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非居民区15.5m</w:t>
            </w:r>
          </w:p>
        </w:tc>
        <w:tc>
          <w:tcPr>
            <w:tcW w:w="823" w:type="dxa"/>
            <w:vAlign w:val="center"/>
          </w:tcPr>
          <w:p w14:paraId="0F0950F1">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vAlign w:val="center"/>
          </w:tcPr>
          <w:p w14:paraId="7372EBE3">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-78.9</w:t>
            </w:r>
          </w:p>
        </w:tc>
        <w:tc>
          <w:tcPr>
            <w:tcW w:w="3364" w:type="dxa"/>
            <w:vAlign w:val="center"/>
          </w:tcPr>
          <w:p w14:paraId="1AD06877">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3807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9" w:type="dxa"/>
            <w:vMerge w:val="continue"/>
            <w:vAlign w:val="center"/>
          </w:tcPr>
          <w:p w14:paraId="023A6603">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vAlign w:val="center"/>
          </w:tcPr>
          <w:p w14:paraId="15683CD0">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vAlign w:val="center"/>
          </w:tcPr>
          <w:p w14:paraId="5AF1A21F">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-100</w:t>
            </w:r>
          </w:p>
        </w:tc>
        <w:tc>
          <w:tcPr>
            <w:tcW w:w="3364" w:type="dxa"/>
            <w:vAlign w:val="center"/>
          </w:tcPr>
          <w:p w14:paraId="02E576B4">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2CA8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11BB171B">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vAlign w:val="center"/>
          </w:tcPr>
          <w:p w14:paraId="51722034">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vAlign w:val="center"/>
          </w:tcPr>
          <w:p w14:paraId="224A49FA">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-121.1</w:t>
            </w:r>
          </w:p>
        </w:tc>
        <w:tc>
          <w:tcPr>
            <w:tcW w:w="3364" w:type="dxa"/>
            <w:vAlign w:val="center"/>
          </w:tcPr>
          <w:p w14:paraId="1704C28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6C06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58519972">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4D788C32">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vAlign w:val="center"/>
          </w:tcPr>
          <w:p w14:paraId="24A73594">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21.1</w:t>
            </w:r>
          </w:p>
        </w:tc>
        <w:tc>
          <w:tcPr>
            <w:tcW w:w="3364" w:type="dxa"/>
            <w:vAlign w:val="center"/>
          </w:tcPr>
          <w:p w14:paraId="3DBF3952">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49C9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5C279BE0">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693D556">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vAlign w:val="center"/>
          </w:tcPr>
          <w:p w14:paraId="206C32D7">
            <w:pPr>
              <w:snapToGrid w:val="0"/>
              <w:spacing w:line="240" w:lineRule="auto"/>
              <w:ind w:firstLine="0" w:firstLineChars="0"/>
              <w:jc w:val="center"/>
              <w:rPr>
                <w:rFonts w:hint="eastAsia"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w:t>
            </w:r>
          </w:p>
        </w:tc>
        <w:tc>
          <w:tcPr>
            <w:tcW w:w="3364" w:type="dxa"/>
            <w:vAlign w:val="center"/>
          </w:tcPr>
          <w:p w14:paraId="71E7197A">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0CCE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48AC0254">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09E219CD">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vAlign w:val="center"/>
          </w:tcPr>
          <w:p w14:paraId="42047350">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-21.1</w:t>
            </w:r>
          </w:p>
        </w:tc>
        <w:tc>
          <w:tcPr>
            <w:tcW w:w="3364" w:type="dxa"/>
            <w:vAlign w:val="center"/>
          </w:tcPr>
          <w:p w14:paraId="3FC8937D">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1DBE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79099371">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F6A3CEC">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vAlign w:val="center"/>
          </w:tcPr>
          <w:p w14:paraId="29B03913">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121.1</w:t>
            </w:r>
          </w:p>
        </w:tc>
        <w:tc>
          <w:tcPr>
            <w:tcW w:w="3364" w:type="dxa"/>
            <w:vAlign w:val="center"/>
          </w:tcPr>
          <w:p w14:paraId="688A53CF">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3FCA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20AF4024">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E3C5C5F">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vAlign w:val="center"/>
          </w:tcPr>
          <w:p w14:paraId="6CB0AAA9">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100</w:t>
            </w:r>
          </w:p>
        </w:tc>
        <w:tc>
          <w:tcPr>
            <w:tcW w:w="3364" w:type="dxa"/>
            <w:vAlign w:val="center"/>
          </w:tcPr>
          <w:p w14:paraId="509002DD">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5611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604DEE35">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28B846CA">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vAlign w:val="center"/>
          </w:tcPr>
          <w:p w14:paraId="40807D90">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78.9</w:t>
            </w:r>
          </w:p>
        </w:tc>
        <w:tc>
          <w:tcPr>
            <w:tcW w:w="3364" w:type="dxa"/>
            <w:vAlign w:val="center"/>
          </w:tcPr>
          <w:p w14:paraId="1C5DD069">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45C4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restart"/>
            <w:vAlign w:val="center"/>
          </w:tcPr>
          <w:p w14:paraId="67B20B55">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居民区</w:t>
            </w:r>
            <w:r>
              <w:rPr>
                <w:rFonts w:hint="eastAsia"/>
                <w:color w:val="000000" w:themeColor="text1"/>
                <w:kern w:val="0"/>
                <w:sz w:val="21"/>
                <w:szCs w:val="21"/>
                <w:lang w:bidi="ar"/>
                <w14:textFill>
                  <w14:solidFill>
                    <w14:schemeClr w14:val="tx1"/>
                  </w14:solidFill>
                </w14:textFill>
              </w:rPr>
              <w:t>19.5</w:t>
            </w:r>
            <w:r>
              <w:rPr>
                <w:color w:val="000000" w:themeColor="text1"/>
                <w:kern w:val="0"/>
                <w:sz w:val="21"/>
                <w:szCs w:val="21"/>
                <w:lang w:bidi="ar"/>
                <w14:textFill>
                  <w14:solidFill>
                    <w14:schemeClr w14:val="tx1"/>
                  </w14:solidFill>
                </w14:textFill>
              </w:rPr>
              <w:t>m</w:t>
            </w:r>
          </w:p>
        </w:tc>
        <w:tc>
          <w:tcPr>
            <w:tcW w:w="823" w:type="dxa"/>
            <w:shd w:val="clear" w:color="auto" w:fill="auto"/>
            <w:vAlign w:val="center"/>
          </w:tcPr>
          <w:p w14:paraId="3469B51D">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5655EF54">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-78.9</w:t>
            </w:r>
          </w:p>
        </w:tc>
        <w:tc>
          <w:tcPr>
            <w:tcW w:w="3364" w:type="dxa"/>
            <w:vAlign w:val="center"/>
          </w:tcPr>
          <w:p w14:paraId="39CB4288">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2FC9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12051187">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677E3225">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6F56A7E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-100</w:t>
            </w:r>
          </w:p>
        </w:tc>
        <w:tc>
          <w:tcPr>
            <w:tcW w:w="3364" w:type="dxa"/>
            <w:vAlign w:val="center"/>
          </w:tcPr>
          <w:p w14:paraId="6A754447">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1DCC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583C3A96">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19A072C6">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3B5FC715">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-121.1</w:t>
            </w:r>
          </w:p>
        </w:tc>
        <w:tc>
          <w:tcPr>
            <w:tcW w:w="3364" w:type="dxa"/>
            <w:vAlign w:val="center"/>
          </w:tcPr>
          <w:p w14:paraId="64655076">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0D0F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4EDFB458">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716802A">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353FB030">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21.1</w:t>
            </w:r>
          </w:p>
        </w:tc>
        <w:tc>
          <w:tcPr>
            <w:tcW w:w="3364" w:type="dxa"/>
            <w:vAlign w:val="center"/>
          </w:tcPr>
          <w:p w14:paraId="6756EEB0">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49C0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2F66C4FD">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149FF9ED">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5843AEAC">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w:t>
            </w:r>
          </w:p>
        </w:tc>
        <w:tc>
          <w:tcPr>
            <w:tcW w:w="3364" w:type="dxa"/>
            <w:vAlign w:val="center"/>
          </w:tcPr>
          <w:p w14:paraId="3790D174">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723C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6BD43825">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477AE60B">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50D7FE8D">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-21.1</w:t>
            </w:r>
          </w:p>
        </w:tc>
        <w:tc>
          <w:tcPr>
            <w:tcW w:w="3364" w:type="dxa"/>
            <w:vAlign w:val="center"/>
          </w:tcPr>
          <w:p w14:paraId="094D36CD">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0876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03C6C76B">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BDD1521">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6B809B35">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121.1</w:t>
            </w:r>
          </w:p>
        </w:tc>
        <w:tc>
          <w:tcPr>
            <w:tcW w:w="3364" w:type="dxa"/>
            <w:vAlign w:val="center"/>
          </w:tcPr>
          <w:p w14:paraId="3FCF22C9">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6885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3D869CE8">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03E3F7A">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1F162B4D">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100</w:t>
            </w:r>
          </w:p>
        </w:tc>
        <w:tc>
          <w:tcPr>
            <w:tcW w:w="3364" w:type="dxa"/>
            <w:vAlign w:val="center"/>
          </w:tcPr>
          <w:p w14:paraId="3087E5B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1601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6129D49B">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1CCE3AFE">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2EB9DF57">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78.9</w:t>
            </w:r>
          </w:p>
        </w:tc>
        <w:tc>
          <w:tcPr>
            <w:tcW w:w="3364" w:type="dxa"/>
            <w:vAlign w:val="center"/>
          </w:tcPr>
          <w:p w14:paraId="2BB9E7DF">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bl>
    <w:p w14:paraId="4234824E">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（3）同塔双回</w:t>
      </w:r>
      <w:r>
        <w:rPr>
          <w:color w:val="000000" w:themeColor="text1"/>
          <w14:textFill>
            <w14:solidFill>
              <w14:schemeClr w14:val="tx1"/>
            </w14:solidFill>
          </w14:textFill>
        </w:rPr>
        <w:t>线路参数选取</w:t>
      </w:r>
    </w:p>
    <w:p w14:paraId="7377BFAD">
      <w:pPr>
        <w:ind w:firstLine="480"/>
        <w:rPr>
          <w:rFonts w:hint="eastAsia" w:eastAsia="宋体"/>
          <w:b/>
          <w:bCs/>
          <w:color w:val="000000" w:themeColor="text1"/>
          <w:sz w:val="21"/>
          <w:szCs w:val="21"/>
          <w:lang w:eastAsia="zh-CN"/>
          <w14:textFill>
            <w14:solidFill>
              <w14:schemeClr w14:val="tx1"/>
            </w14:solidFill>
          </w14:textFill>
        </w:rPr>
      </w:pPr>
      <w:r>
        <w:rPr>
          <w:color w:val="000000" w:themeColor="text1"/>
          <w14:textFill>
            <w14:solidFill>
              <w14:schemeClr w14:val="tx1"/>
            </w14:solidFill>
          </w14:textFill>
        </w:rPr>
        <w:t>本项目</w:t>
      </w:r>
      <w:r>
        <w:rPr>
          <w:rFonts w:hint="eastAsia"/>
          <w:color w:val="000000" w:themeColor="text1"/>
          <w14:textFill>
            <w14:solidFill>
              <w14:schemeClr w14:val="tx1"/>
            </w14:solidFill>
          </w14:textFill>
        </w:rPr>
        <w:t>同塔双回</w:t>
      </w:r>
      <w:r>
        <w:rPr>
          <w:color w:val="000000" w:themeColor="text1"/>
          <w14:textFill>
            <w14:solidFill>
              <w14:schemeClr w14:val="tx1"/>
            </w14:solidFill>
          </w14:textFill>
        </w:rPr>
        <w:t>输电线路选择750-SDJ塔型进行计算，</w:t>
      </w:r>
      <w:r>
        <w:rPr>
          <w:rFonts w:hint="eastAsia"/>
          <w:color w:val="000000" w:themeColor="text1"/>
          <w14:textFill>
            <w14:solidFill>
              <w14:schemeClr w14:val="tx1"/>
            </w14:solidFill>
          </w14:textFill>
        </w:rPr>
        <w:t>此</w:t>
      </w:r>
      <w:r>
        <w:rPr>
          <w:color w:val="000000" w:themeColor="text1"/>
          <w14:textFill>
            <w14:solidFill>
              <w14:schemeClr w14:val="tx1"/>
            </w14:solidFill>
          </w14:textFill>
        </w:rPr>
        <w:t>塔型为本项目</w:t>
      </w:r>
      <w:r>
        <w:rPr>
          <w:rFonts w:hint="eastAsia"/>
          <w:color w:val="000000" w:themeColor="text1"/>
          <w14:textFill>
            <w14:solidFill>
              <w14:schemeClr w14:val="tx1"/>
            </w14:solidFill>
          </w14:textFill>
        </w:rPr>
        <w:t>同塔双回导线相间距最大塔型，</w:t>
      </w:r>
      <w:r>
        <w:rPr>
          <w:color w:val="000000" w:themeColor="text1"/>
          <w14:textFill>
            <w14:solidFill>
              <w14:schemeClr w14:val="tx1"/>
            </w14:solidFill>
          </w14:textFill>
        </w:rPr>
        <w:t>属于本项目塔型中工频电磁场影响最不利塔型。</w:t>
      </w:r>
      <w:r>
        <w:rPr>
          <w:rFonts w:hint="eastAsia"/>
          <w:color w:val="000000" w:themeColor="text1"/>
          <w:lang w:val="en-US" w:eastAsia="zh-CN"/>
          <w14:textFill>
            <w14:solidFill>
              <w14:schemeClr w14:val="tx1"/>
            </w14:solidFill>
          </w14:textFill>
        </w:rPr>
        <w:t>本项目</w:t>
      </w:r>
      <w:r>
        <w:rPr>
          <w:rFonts w:hint="eastAsia"/>
          <w:color w:val="000000" w:themeColor="text1"/>
          <w14:textFill>
            <w14:solidFill>
              <w14:schemeClr w14:val="tx1"/>
            </w14:solidFill>
          </w14:textFill>
        </w:rPr>
        <w:t>若羌换流站侧终端塔采用双回路角钢塔</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同塔双回路预测按最终规模进行预测。</w:t>
      </w:r>
    </w:p>
    <w:p w14:paraId="1008A167">
      <w:pPr>
        <w:snapToGrid w:val="0"/>
        <w:ind w:firstLine="0" w:firstLineChars="0"/>
        <w:jc w:val="center"/>
        <w:rPr>
          <w:rFonts w:hint="eastAsia"/>
          <w:b/>
          <w:bCs/>
          <w:color w:val="000000" w:themeColor="text1"/>
          <w:sz w:val="21"/>
          <w:szCs w:val="21"/>
          <w14:textFill>
            <w14:solidFill>
              <w14:schemeClr w14:val="tx1"/>
            </w14:solidFill>
          </w14:textFill>
        </w:rPr>
      </w:pPr>
    </w:p>
    <w:p w14:paraId="3BC1D06E">
      <w:pPr>
        <w:snapToGrid w:val="0"/>
        <w:ind w:firstLine="0" w:firstLineChars="0"/>
        <w:jc w:val="center"/>
        <w:rPr>
          <w:rFonts w:hint="eastAsia"/>
          <w:b/>
          <w:bCs/>
          <w:color w:val="000000" w:themeColor="text1"/>
          <w:sz w:val="21"/>
          <w:szCs w:val="21"/>
          <w14:textFill>
            <w14:solidFill>
              <w14:schemeClr w14:val="tx1"/>
            </w14:solidFill>
          </w14:textFill>
        </w:rPr>
      </w:pPr>
    </w:p>
    <w:p w14:paraId="49309230">
      <w:pPr>
        <w:snapToGrid w:val="0"/>
        <w:ind w:firstLine="0" w:firstLineChars="0"/>
        <w:jc w:val="center"/>
        <w:rPr>
          <w:rFonts w:hint="eastAsia"/>
          <w:b/>
          <w:bCs/>
          <w:color w:val="000000" w:themeColor="text1"/>
          <w:sz w:val="21"/>
          <w:szCs w:val="21"/>
          <w14:textFill>
            <w14:solidFill>
              <w14:schemeClr w14:val="tx1"/>
            </w14:solidFill>
          </w14:textFill>
        </w:rPr>
      </w:pPr>
    </w:p>
    <w:p w14:paraId="092A25A1">
      <w:pPr>
        <w:snapToGrid w:val="0"/>
        <w:ind w:firstLine="0" w:firstLineChars="0"/>
        <w:jc w:val="center"/>
        <w:rPr>
          <w:rFonts w:hint="eastAsia"/>
          <w:b/>
          <w:bCs/>
          <w:color w:val="000000" w:themeColor="text1"/>
          <w:sz w:val="21"/>
          <w:szCs w:val="21"/>
          <w14:textFill>
            <w14:solidFill>
              <w14:schemeClr w14:val="tx1"/>
            </w14:solidFill>
          </w14:textFill>
        </w:rPr>
      </w:pPr>
    </w:p>
    <w:p w14:paraId="0730A599">
      <w:pPr>
        <w:snapToGrid w:val="0"/>
        <w:ind w:firstLine="0" w:firstLineChars="0"/>
        <w:jc w:val="center"/>
        <w:rPr>
          <w:rFonts w:hint="eastAsia"/>
          <w:b/>
          <w:bCs/>
          <w:color w:val="000000" w:themeColor="text1"/>
          <w:sz w:val="21"/>
          <w:szCs w:val="21"/>
          <w14:textFill>
            <w14:solidFill>
              <w14:schemeClr w14:val="tx1"/>
            </w14:solidFill>
          </w14:textFill>
        </w:rPr>
      </w:pPr>
    </w:p>
    <w:p w14:paraId="02055BF5">
      <w:pPr>
        <w:snapToGrid w:val="0"/>
        <w:ind w:firstLine="0" w:firstLineChars="0"/>
        <w:jc w:val="center"/>
        <w:rPr>
          <w:rFonts w:hint="eastAsia"/>
          <w:b/>
          <w:bCs/>
          <w:color w:val="000000" w:themeColor="text1"/>
          <w:sz w:val="21"/>
          <w:szCs w:val="21"/>
          <w14:textFill>
            <w14:solidFill>
              <w14:schemeClr w14:val="tx1"/>
            </w14:solidFill>
          </w14:textFill>
        </w:rPr>
      </w:pPr>
    </w:p>
    <w:p w14:paraId="5524CE3C">
      <w:pPr>
        <w:snapToGrid w:val="0"/>
        <w:ind w:firstLine="0" w:firstLineChars="0"/>
        <w:jc w:val="center"/>
        <w:rPr>
          <w:rFonts w:hint="eastAsia"/>
          <w:b/>
          <w:bCs/>
          <w:color w:val="000000" w:themeColor="text1"/>
          <w:sz w:val="21"/>
          <w:szCs w:val="21"/>
          <w14:textFill>
            <w14:solidFill>
              <w14:schemeClr w14:val="tx1"/>
            </w14:solidFill>
          </w14:textFill>
        </w:rPr>
      </w:pPr>
    </w:p>
    <w:p w14:paraId="321CA99F">
      <w:pPr>
        <w:snapToGrid w:val="0"/>
        <w:ind w:firstLine="0" w:firstLineChars="0"/>
        <w:jc w:val="center"/>
        <w:rPr>
          <w:rFonts w:hint="eastAsia"/>
          <w:b/>
          <w:bCs/>
          <w:color w:val="000000" w:themeColor="text1"/>
          <w:sz w:val="21"/>
          <w:szCs w:val="21"/>
          <w14:textFill>
            <w14:solidFill>
              <w14:schemeClr w14:val="tx1"/>
            </w14:solidFill>
          </w14:textFill>
        </w:rPr>
      </w:pPr>
    </w:p>
    <w:p w14:paraId="38384FC7">
      <w:pPr>
        <w:snapToGrid w:val="0"/>
        <w:ind w:firstLine="0" w:firstLineChars="0"/>
        <w:jc w:val="center"/>
        <w:rPr>
          <w:rFonts w:hint="eastAsia"/>
          <w:b/>
          <w:bCs/>
          <w:color w:val="000000" w:themeColor="text1"/>
          <w:sz w:val="21"/>
          <w:szCs w:val="21"/>
          <w14:textFill>
            <w14:solidFill>
              <w14:schemeClr w14:val="tx1"/>
            </w14:solidFill>
          </w14:textFill>
        </w:rPr>
      </w:pPr>
    </w:p>
    <w:p w14:paraId="1B9CF299">
      <w:pPr>
        <w:snapToGrid w:val="0"/>
        <w:ind w:firstLine="0" w:firstLineChars="0"/>
        <w:jc w:val="center"/>
        <w:rPr>
          <w:rFonts w:hint="eastAsia"/>
          <w:b/>
          <w:bCs/>
          <w:color w:val="000000" w:themeColor="text1"/>
          <w:sz w:val="21"/>
          <w:szCs w:val="21"/>
          <w14:textFill>
            <w14:solidFill>
              <w14:schemeClr w14:val="tx1"/>
            </w14:solidFill>
          </w14:textFill>
        </w:rPr>
      </w:pPr>
    </w:p>
    <w:p w14:paraId="41B6CAF1">
      <w:pPr>
        <w:snapToGrid w:val="0"/>
        <w:ind w:firstLine="0" w:firstLineChars="0"/>
        <w:jc w:val="center"/>
        <w:rPr>
          <w:rFonts w:hint="eastAsia"/>
          <w:b/>
          <w:bCs/>
          <w:color w:val="000000" w:themeColor="text1"/>
          <w:sz w:val="21"/>
          <w:szCs w:val="21"/>
          <w14:textFill>
            <w14:solidFill>
              <w14:schemeClr w14:val="tx1"/>
            </w14:solidFill>
          </w14:textFill>
        </w:rPr>
      </w:pPr>
    </w:p>
    <w:p w14:paraId="54014BC7">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3</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 xml:space="preserve"> 本工程输电线路电磁理论计算基础参数（同塔双回路线路计算参数）</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823"/>
        <w:gridCol w:w="3295"/>
        <w:gridCol w:w="3364"/>
      </w:tblGrid>
      <w:tr w14:paraId="3803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50C4FBEA">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预测情景</w:t>
            </w:r>
          </w:p>
        </w:tc>
        <w:tc>
          <w:tcPr>
            <w:tcW w:w="6659" w:type="dxa"/>
            <w:gridSpan w:val="2"/>
            <w:vAlign w:val="center"/>
          </w:tcPr>
          <w:p w14:paraId="30012C0E">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750kV</w:t>
            </w:r>
            <w:r>
              <w:rPr>
                <w:rFonts w:hint="eastAsia"/>
                <w:color w:val="000000" w:themeColor="text1"/>
                <w:kern w:val="0"/>
                <w:sz w:val="21"/>
                <w:szCs w:val="21"/>
                <w:lang w:bidi="ar"/>
                <w14:textFill>
                  <w14:solidFill>
                    <w14:schemeClr w14:val="tx1"/>
                  </w14:solidFill>
                </w14:textFill>
              </w:rPr>
              <w:t>并行</w:t>
            </w:r>
            <w:r>
              <w:rPr>
                <w:rFonts w:hint="eastAsia" w:ascii="宋体" w:hAnsi="宋体" w:cs="宋体"/>
                <w:color w:val="000000" w:themeColor="text1"/>
                <w:kern w:val="0"/>
                <w:sz w:val="21"/>
                <w:szCs w:val="21"/>
                <w:lang w:bidi="ar"/>
                <w14:textFill>
                  <w14:solidFill>
                    <w14:schemeClr w14:val="tx1"/>
                  </w14:solidFill>
                </w14:textFill>
              </w:rPr>
              <w:t>同塔双回路</w:t>
            </w:r>
          </w:p>
        </w:tc>
      </w:tr>
      <w:tr w14:paraId="0CED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098490B0">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导线型式</w:t>
            </w:r>
          </w:p>
        </w:tc>
        <w:tc>
          <w:tcPr>
            <w:tcW w:w="6659" w:type="dxa"/>
            <w:gridSpan w:val="2"/>
            <w:vAlign w:val="center"/>
          </w:tcPr>
          <w:p w14:paraId="3DAF661C">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JL3/G1A-400/50</w:t>
            </w:r>
          </w:p>
        </w:tc>
      </w:tr>
      <w:tr w14:paraId="0E62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00EBC12B">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塔型</w:t>
            </w:r>
          </w:p>
        </w:tc>
        <w:tc>
          <w:tcPr>
            <w:tcW w:w="6659" w:type="dxa"/>
            <w:gridSpan w:val="2"/>
            <w:vAlign w:val="center"/>
          </w:tcPr>
          <w:p w14:paraId="6F5E43F8">
            <w:pPr>
              <w:snapToGrid w:val="0"/>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988695</wp:posOffset>
                      </wp:positionH>
                      <wp:positionV relativeFrom="paragraph">
                        <wp:posOffset>758190</wp:posOffset>
                      </wp:positionV>
                      <wp:extent cx="1997075" cy="12065"/>
                      <wp:effectExtent l="0" t="37465" r="3175" b="45720"/>
                      <wp:wrapNone/>
                      <wp:docPr id="69" name="直接箭头连接符 69"/>
                      <wp:cNvGraphicFramePr/>
                      <a:graphic xmlns:a="http://schemas.openxmlformats.org/drawingml/2006/main">
                        <a:graphicData uri="http://schemas.microsoft.com/office/word/2010/wordprocessingShape">
                          <wps:wsp>
                            <wps:cNvCnPr/>
                            <wps:spPr>
                              <a:xfrm flipV="1">
                                <a:off x="0" y="0"/>
                                <a:ext cx="1997075" cy="12065"/>
                              </a:xfrm>
                              <a:prstGeom prst="straightConnector1">
                                <a:avLst/>
                              </a:prstGeom>
                              <a:ln>
                                <a:solidFill>
                                  <a:srgbClr val="FF0000"/>
                                </a:solidFill>
                                <a:headEnd type="triangle" w="med" len="med"/>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77.85pt;margin-top:59.7pt;height:0.95pt;width:157.25pt;z-index:251677696;mso-width-relative:page;mso-height-relative:page;" filled="f" stroked="t" coordsize="21600,21600" o:gfxdata="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2F3h7bAAAACwEAAA8AAAAAAAAAAQAgAAAAIgAAAGRycy9kb3ducmV2LnhtbFBLAQIUABQA&#10;AAAIAIdO4kA2roGFJgIAADIEAAAOAAAAAAAAAAEAIAAAACoBAABkcnMvZTJvRG9jLnhtbFBLBQYA&#10;AAAABgAGAFkBAADCBQAAAAA=&#10;">
                      <v:fill on="f" focussize="0,0"/>
                      <v:stroke weight="1pt" color="#FF0000 [3204]" miterlimit="8" joinstyle="miter" startarrow="block" endarrow="block"/>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1820545</wp:posOffset>
                      </wp:positionH>
                      <wp:positionV relativeFrom="paragraph">
                        <wp:posOffset>558165</wp:posOffset>
                      </wp:positionV>
                      <wp:extent cx="497205" cy="239395"/>
                      <wp:effectExtent l="0" t="0" r="0" b="0"/>
                      <wp:wrapNone/>
                      <wp:docPr id="70" name="文本框 7"/>
                      <wp:cNvGraphicFramePr/>
                      <a:graphic xmlns:a="http://schemas.openxmlformats.org/drawingml/2006/main">
                        <a:graphicData uri="http://schemas.microsoft.com/office/word/2010/wordprocessingShape">
                          <wps:wsp>
                            <wps:cNvSpPr txBox="1"/>
                            <wps:spPr>
                              <a:xfrm>
                                <a:off x="0" y="0"/>
                                <a:ext cx="497205" cy="239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AF8100">
                                  <w:pPr>
                                    <w:ind w:firstLine="0" w:firstLineChars="0"/>
                                    <w:rPr>
                                      <w:color w:val="FF0000"/>
                                      <w:sz w:val="18"/>
                                      <w:szCs w:val="18"/>
                                    </w:rPr>
                                  </w:pPr>
                                  <w:r>
                                    <w:rPr>
                                      <w:rFonts w:hint="eastAsia"/>
                                      <w:color w:val="FF0000"/>
                                      <w:sz w:val="18"/>
                                      <w:szCs w:val="18"/>
                                    </w:rPr>
                                    <w:t>100m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26" o:spt="202" type="#_x0000_t202" style="position:absolute;left:0pt;margin-left:143.35pt;margin-top:43.95pt;height:18.85pt;width:39.15pt;z-index:251678720;mso-width-relative:page;mso-height-relative:page;" filled="f" stroked="f" coordsize="21600,21600" o:gfxdata="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IN/362wAAAAoBAAAPAAAAAAAAAAEAIAAAACIAAABk&#10;cnMvZG93bnJldi54bWxQSwECFAAUAAAACACHTuJA433KOjwCAABmBAAADgAAAAAAAAABACAAAAAq&#10;AQAAZHJzL2Uyb0RvYy54bWxQSwUGAAAAAAYABgBZAQAA2AUAAAAA&#10;">
                      <v:fill on="f" focussize="0,0"/>
                      <v:stroke on="f" weight="0.5pt"/>
                      <v:imagedata o:title=""/>
                      <o:lock v:ext="edit" aspectratio="f"/>
                      <v:textbox>
                        <w:txbxContent>
                          <w:p w14:paraId="1EAF8100">
                            <w:pPr>
                              <w:ind w:firstLine="0" w:firstLineChars="0"/>
                              <w:rPr>
                                <w:color w:val="FF0000"/>
                                <w:sz w:val="18"/>
                                <w:szCs w:val="18"/>
                              </w:rPr>
                            </w:pPr>
                            <w:r>
                              <w:rPr>
                                <w:rFonts w:hint="eastAsia"/>
                                <w:color w:val="FF0000"/>
                                <w:sz w:val="18"/>
                                <w:szCs w:val="18"/>
                              </w:rPr>
                              <w:t>100m</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3510915</wp:posOffset>
                      </wp:positionH>
                      <wp:positionV relativeFrom="paragraph">
                        <wp:posOffset>770890</wp:posOffset>
                      </wp:positionV>
                      <wp:extent cx="372110" cy="269240"/>
                      <wp:effectExtent l="0" t="0" r="0" b="0"/>
                      <wp:wrapNone/>
                      <wp:docPr id="60" name="文本框 8"/>
                      <wp:cNvGraphicFramePr/>
                      <a:graphic xmlns:a="http://schemas.openxmlformats.org/drawingml/2006/main">
                        <a:graphicData uri="http://schemas.microsoft.com/office/word/2010/wordprocessingShape">
                          <wps:wsp>
                            <wps:cNvSpPr txBox="1"/>
                            <wps:spPr>
                              <a:xfrm>
                                <a:off x="0" y="0"/>
                                <a:ext cx="372110"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9D7E3">
                                  <w:pPr>
                                    <w:ind w:firstLine="0" w:firstLineChars="0"/>
                                    <w:rPr>
                                      <w:color w:val="FF0000"/>
                                      <w:sz w:val="18"/>
                                      <w:szCs w:val="18"/>
                                    </w:rPr>
                                  </w:pPr>
                                  <w:r>
                                    <w:rPr>
                                      <w:rFonts w:hint="eastAsia"/>
                                      <w:color w:val="FF0000"/>
                                      <w:sz w:val="18"/>
                                      <w:szCs w:val="18"/>
                                    </w:rPr>
                                    <w:t>B4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6" o:spt="202" type="#_x0000_t202" style="position:absolute;left:0pt;margin-left:276.45pt;margin-top:60.7pt;height:21.2pt;width:29.3pt;z-index:251670528;mso-width-relative:page;mso-height-relative:page;" filled="f" stroked="f" coordsize="21600,21600" o:gfxdata="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Fscuw2wAAAAsBAAAPAAAAAAAAAAEAIAAAACIAAABk&#10;cnMvZG93bnJldi54bWxQSwECFAAUAAAACACHTuJA8hiqRjwCAABmBAAADgAAAAAAAAABACAAAAAq&#10;AQAAZHJzL2Uyb0RvYy54bWxQSwUGAAAAAAYABgBZAQAA2AUAAAAA&#10;">
                      <v:fill on="f" focussize="0,0"/>
                      <v:stroke on="f" weight="0.5pt"/>
                      <v:imagedata o:title=""/>
                      <o:lock v:ext="edit" aspectratio="f"/>
                      <v:textbox>
                        <w:txbxContent>
                          <w:p w14:paraId="3BE9D7E3">
                            <w:pPr>
                              <w:ind w:firstLine="0" w:firstLineChars="0"/>
                              <w:rPr>
                                <w:color w:val="FF0000"/>
                                <w:sz w:val="18"/>
                                <w:szCs w:val="18"/>
                              </w:rPr>
                            </w:pPr>
                            <w:r>
                              <w:rPr>
                                <w:rFonts w:hint="eastAsia"/>
                                <w:color w:val="FF0000"/>
                                <w:sz w:val="18"/>
                                <w:szCs w:val="18"/>
                              </w:rPr>
                              <w:t>B4</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3522980</wp:posOffset>
                      </wp:positionH>
                      <wp:positionV relativeFrom="paragraph">
                        <wp:posOffset>1858010</wp:posOffset>
                      </wp:positionV>
                      <wp:extent cx="372110" cy="269240"/>
                      <wp:effectExtent l="0" t="0" r="0" b="0"/>
                      <wp:wrapNone/>
                      <wp:docPr id="61" name="文本框 5"/>
                      <wp:cNvGraphicFramePr/>
                      <a:graphic xmlns:a="http://schemas.openxmlformats.org/drawingml/2006/main">
                        <a:graphicData uri="http://schemas.microsoft.com/office/word/2010/wordprocessingShape">
                          <wps:wsp>
                            <wps:cNvSpPr txBox="1"/>
                            <wps:spPr>
                              <a:xfrm>
                                <a:off x="0" y="0"/>
                                <a:ext cx="372110"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D3A60">
                                  <w:pPr>
                                    <w:ind w:firstLine="0" w:firstLineChars="0"/>
                                    <w:rPr>
                                      <w:color w:val="FF0000"/>
                                      <w:sz w:val="18"/>
                                      <w:szCs w:val="18"/>
                                    </w:rPr>
                                  </w:pPr>
                                  <w:r>
                                    <w:rPr>
                                      <w:rFonts w:hint="eastAsia"/>
                                      <w:color w:val="FF0000"/>
                                      <w:sz w:val="18"/>
                                      <w:szCs w:val="18"/>
                                    </w:rPr>
                                    <w:t>C4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 o:spid="_x0000_s1026" o:spt="202" type="#_x0000_t202" style="position:absolute;left:0pt;margin-left:277.4pt;margin-top:146.3pt;height:21.2pt;width:29.3pt;z-index:251671552;mso-width-relative:page;mso-height-relative:page;" filled="f" stroked="f" coordsize="21600,21600" o:gfxdata="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&#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JRav93AAAAAsBAAAPAAAAAAAAAAEAIAAAACIAAABk&#10;cnMvZG93bnJldi54bWxQSwECFAAUAAAACACHTuJAaqcBFzsCAABmBAAADgAAAAAAAAABACAAAAAr&#10;AQAAZHJzL2Uyb0RvYy54bWxQSwUGAAAAAAYABgBZAQAA2AUAAAAA&#10;">
                      <v:fill on="f" focussize="0,0"/>
                      <v:stroke on="f" weight="0.5pt"/>
                      <v:imagedata o:title=""/>
                      <o:lock v:ext="edit" aspectratio="f"/>
                      <v:textbox>
                        <w:txbxContent>
                          <w:p w14:paraId="071D3A60">
                            <w:pPr>
                              <w:ind w:firstLine="0" w:firstLineChars="0"/>
                              <w:rPr>
                                <w:color w:val="FF0000"/>
                                <w:sz w:val="18"/>
                                <w:szCs w:val="18"/>
                              </w:rPr>
                            </w:pPr>
                            <w:r>
                              <w:rPr>
                                <w:rFonts w:hint="eastAsia"/>
                                <w:color w:val="FF0000"/>
                                <w:sz w:val="18"/>
                                <w:szCs w:val="18"/>
                              </w:rPr>
                              <w:t>C4</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3560445</wp:posOffset>
                      </wp:positionH>
                      <wp:positionV relativeFrom="paragraph">
                        <wp:posOffset>1362075</wp:posOffset>
                      </wp:positionV>
                      <wp:extent cx="372110" cy="269240"/>
                      <wp:effectExtent l="0" t="0" r="0" b="0"/>
                      <wp:wrapNone/>
                      <wp:docPr id="62" name="文本框 7"/>
                      <wp:cNvGraphicFramePr/>
                      <a:graphic xmlns:a="http://schemas.openxmlformats.org/drawingml/2006/main">
                        <a:graphicData uri="http://schemas.microsoft.com/office/word/2010/wordprocessingShape">
                          <wps:wsp>
                            <wps:cNvSpPr txBox="1"/>
                            <wps:spPr>
                              <a:xfrm>
                                <a:off x="0" y="0"/>
                                <a:ext cx="372110"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B7E4D9">
                                  <w:pPr>
                                    <w:ind w:firstLine="0" w:firstLineChars="0"/>
                                    <w:rPr>
                                      <w:color w:val="FF0000"/>
                                      <w:sz w:val="18"/>
                                      <w:szCs w:val="18"/>
                                    </w:rPr>
                                  </w:pPr>
                                  <w:r>
                                    <w:rPr>
                                      <w:rFonts w:hint="eastAsia"/>
                                      <w:color w:val="FF0000"/>
                                      <w:sz w:val="18"/>
                                      <w:szCs w:val="18"/>
                                    </w:rPr>
                                    <w:t>A4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26" o:spt="202" type="#_x0000_t202" style="position:absolute;left:0pt;margin-left:280.35pt;margin-top:107.25pt;height:21.2pt;width:29.3pt;z-index:251672576;mso-width-relative:page;mso-height-relative:page;" filled="f" stroked="f" coordsize="21600,21600" o:gfxdata="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FxIADdwAAAALAQAADwAAAAAAAAABACAAAAAiAAAA&#10;ZHJzL2Rvd25yZXYueG1sUEsBAhQAFAAAAAgAh07iQCQ4K4Y8AgAAZgQAAA4AAAAAAAAAAQAgAAAA&#10;KwEAAGRycy9lMm9Eb2MueG1sUEsFBgAAAAAGAAYAWQEAANkFAAAAAA==&#10;">
                      <v:fill on="f" focussize="0,0"/>
                      <v:stroke on="f" weight="0.5pt"/>
                      <v:imagedata o:title=""/>
                      <o:lock v:ext="edit" aspectratio="f"/>
                      <v:textbox>
                        <w:txbxContent>
                          <w:p w14:paraId="67B7E4D9">
                            <w:pPr>
                              <w:ind w:firstLine="0" w:firstLineChars="0"/>
                              <w:rPr>
                                <w:color w:val="FF0000"/>
                                <w:sz w:val="18"/>
                                <w:szCs w:val="18"/>
                              </w:rPr>
                            </w:pPr>
                            <w:r>
                              <w:rPr>
                                <w:rFonts w:hint="eastAsia"/>
                                <w:color w:val="FF0000"/>
                                <w:sz w:val="18"/>
                                <w:szCs w:val="18"/>
                              </w:rPr>
                              <w:t>A4</w:t>
                            </w:r>
                          </w:p>
                        </w:txbxContent>
                      </v:textbox>
                    </v:shape>
                  </w:pict>
                </mc:Fallback>
              </mc:AlternateContent>
            </w:r>
            <w:r>
              <w:rPr>
                <w:color w:val="000000" w:themeColor="text1"/>
                <w:sz w:val="21"/>
                <w14:textFill>
                  <w14:solidFill>
                    <w14:schemeClr w14:val="tx1"/>
                  </w14:solidFill>
                </w14:textFill>
              </w:rPr>
              <mc:AlternateContent>
                <mc:Choice Requires="wpg">
                  <w:drawing>
                    <wp:anchor distT="0" distB="0" distL="114300" distR="114300" simplePos="0" relativeHeight="251669504" behindDoc="0" locked="0" layoutInCell="1" allowOverlap="1">
                      <wp:simplePos x="0" y="0"/>
                      <wp:positionH relativeFrom="column">
                        <wp:posOffset>2169160</wp:posOffset>
                      </wp:positionH>
                      <wp:positionV relativeFrom="paragraph">
                        <wp:posOffset>737870</wp:posOffset>
                      </wp:positionV>
                      <wp:extent cx="421005" cy="1379220"/>
                      <wp:effectExtent l="0" t="0" r="0" b="0"/>
                      <wp:wrapNone/>
                      <wp:docPr id="28" name="组合 28"/>
                      <wp:cNvGraphicFramePr/>
                      <a:graphic xmlns:a="http://schemas.openxmlformats.org/drawingml/2006/main">
                        <a:graphicData uri="http://schemas.microsoft.com/office/word/2010/wordprocessingGroup">
                          <wpg:wgp>
                            <wpg:cNvGrpSpPr/>
                            <wpg:grpSpPr>
                              <a:xfrm>
                                <a:off x="0" y="0"/>
                                <a:ext cx="421005" cy="1379220"/>
                                <a:chOff x="4991" y="1282645"/>
                                <a:chExt cx="663" cy="2172"/>
                              </a:xfrm>
                            </wpg:grpSpPr>
                            <wps:wsp>
                              <wps:cNvPr id="29" name="文本框 5"/>
                              <wps:cNvSpPr txBox="1"/>
                              <wps:spPr>
                                <a:xfrm>
                                  <a:off x="4991" y="1283622"/>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83EA7">
                                    <w:pPr>
                                      <w:ind w:firstLine="0" w:firstLineChars="0"/>
                                      <w:rPr>
                                        <w:color w:val="FF0000"/>
                                        <w:sz w:val="18"/>
                                        <w:szCs w:val="18"/>
                                      </w:rPr>
                                    </w:pPr>
                                    <w:r>
                                      <w:rPr>
                                        <w:rFonts w:hint="eastAsia"/>
                                        <w:color w:val="FF0000"/>
                                        <w:sz w:val="18"/>
                                        <w:szCs w:val="18"/>
                                      </w:rPr>
                                      <w:t>C3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 name="文本框 7"/>
                              <wps:cNvSpPr txBox="1"/>
                              <wps:spPr>
                                <a:xfrm>
                                  <a:off x="5033" y="1284393"/>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322CE">
                                    <w:pPr>
                                      <w:ind w:firstLine="0" w:firstLineChars="0"/>
                                      <w:rPr>
                                        <w:color w:val="FF0000"/>
                                        <w:sz w:val="18"/>
                                        <w:szCs w:val="18"/>
                                      </w:rPr>
                                    </w:pPr>
                                    <w:r>
                                      <w:rPr>
                                        <w:rFonts w:hint="eastAsia"/>
                                        <w:color w:val="FF0000"/>
                                        <w:sz w:val="18"/>
                                        <w:szCs w:val="18"/>
                                      </w:rPr>
                                      <w:t>A3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3" name="文本框 8"/>
                              <wps:cNvSpPr txBox="1"/>
                              <wps:spPr>
                                <a:xfrm>
                                  <a:off x="5068" y="1282645"/>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49B66">
                                    <w:pPr>
                                      <w:ind w:firstLine="0" w:firstLineChars="0"/>
                                      <w:rPr>
                                        <w:color w:val="FF0000"/>
                                        <w:sz w:val="18"/>
                                        <w:szCs w:val="18"/>
                                      </w:rPr>
                                    </w:pPr>
                                    <w:r>
                                      <w:rPr>
                                        <w:rFonts w:hint="eastAsia"/>
                                        <w:color w:val="FF0000"/>
                                        <w:sz w:val="18"/>
                                        <w:szCs w:val="18"/>
                                      </w:rPr>
                                      <w:t>B3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70.8pt;margin-top:58.1pt;height:108.6pt;width:33.15pt;z-index:251669504;mso-width-relative:page;mso-height-relative:page;" coordorigin="4991,1282645" coordsize="663,2172" o:gfxdata="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">
                      <o:lock v:ext="edit" aspectratio="f"/>
                      <v:shape id="文本框 5" o:spid="_x0000_s1026" o:spt="202" type="#_x0000_t202" style="position:absolute;left:4991;top:1283622;height:424;width:586;" filled="f" stroked="f" coordsize="21600,21600" o:gfxdata="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yKq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B283EA7">
                              <w:pPr>
                                <w:ind w:firstLine="0" w:firstLineChars="0"/>
                                <w:rPr>
                                  <w:color w:val="FF0000"/>
                                  <w:sz w:val="18"/>
                                  <w:szCs w:val="18"/>
                                </w:rPr>
                              </w:pPr>
                              <w:r>
                                <w:rPr>
                                  <w:rFonts w:hint="eastAsia"/>
                                  <w:color w:val="FF0000"/>
                                  <w:sz w:val="18"/>
                                  <w:szCs w:val="18"/>
                                </w:rPr>
                                <w:t>C3</w:t>
                              </w:r>
                            </w:p>
                          </w:txbxContent>
                        </v:textbox>
                      </v:shape>
                      <v:shape id="文本框 7" o:spid="_x0000_s1026" o:spt="202" type="#_x0000_t202" style="position:absolute;left:5033;top:1284393;height:424;width:586;" filled="f" stroked="f" coordsize="21600,21600" o:gfxdata="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JEV4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4B4322CE">
                              <w:pPr>
                                <w:ind w:firstLine="0" w:firstLineChars="0"/>
                                <w:rPr>
                                  <w:color w:val="FF0000"/>
                                  <w:sz w:val="18"/>
                                  <w:szCs w:val="18"/>
                                </w:rPr>
                              </w:pPr>
                              <w:r>
                                <w:rPr>
                                  <w:rFonts w:hint="eastAsia"/>
                                  <w:color w:val="FF0000"/>
                                  <w:sz w:val="18"/>
                                  <w:szCs w:val="18"/>
                                </w:rPr>
                                <w:t>A3</w:t>
                              </w:r>
                            </w:p>
                          </w:txbxContent>
                        </v:textbox>
                      </v:shape>
                      <v:shape id="文本框 8" o:spid="_x0000_s1026" o:spt="202" type="#_x0000_t202" style="position:absolute;left:5068;top:1282645;height:424;width:586;" filled="f" stroked="f" coordsize="21600,21600" o:gfxdata="UEsDBAoAAAAAAIdO4kAAAAAAAAAAAAAAAAAEAAAAZHJzL1BLAwQUAAAACACHTuJAcEOLl70AAADb&#10;AAAADwAAAGRycy9kb3ducmV2LnhtbEWPS6vCMBSE94L/IRzBnaYq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Q4uX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7B849B66">
                              <w:pPr>
                                <w:ind w:firstLine="0" w:firstLineChars="0"/>
                                <w:rPr>
                                  <w:color w:val="FF0000"/>
                                  <w:sz w:val="18"/>
                                  <w:szCs w:val="18"/>
                                </w:rPr>
                              </w:pPr>
                              <w:r>
                                <w:rPr>
                                  <w:rFonts w:hint="eastAsia"/>
                                  <w:color w:val="FF0000"/>
                                  <w:sz w:val="18"/>
                                  <w:szCs w:val="18"/>
                                </w:rPr>
                                <w:t>B3</w:t>
                              </w:r>
                            </w:p>
                          </w:txbxContent>
                        </v:textbox>
                      </v:shape>
                    </v:group>
                  </w:pict>
                </mc:Fallback>
              </mc:AlternateContent>
            </w:r>
            <w:r>
              <w:rPr>
                <w:color w:val="000000" w:themeColor="text1"/>
                <w:sz w:val="21"/>
                <w14:textFill>
                  <w14:solidFill>
                    <w14:schemeClr w14:val="tx1"/>
                  </w14:solidFill>
                </w14:textFill>
              </w:rPr>
              <mc:AlternateContent>
                <mc:Choice Requires="wpg">
                  <w:drawing>
                    <wp:anchor distT="0" distB="0" distL="114300" distR="114300" simplePos="0" relativeHeight="251668480" behindDoc="0" locked="0" layoutInCell="1" allowOverlap="1">
                      <wp:simplePos x="0" y="0"/>
                      <wp:positionH relativeFrom="column">
                        <wp:posOffset>1464310</wp:posOffset>
                      </wp:positionH>
                      <wp:positionV relativeFrom="paragraph">
                        <wp:posOffset>757555</wp:posOffset>
                      </wp:positionV>
                      <wp:extent cx="434975" cy="1365250"/>
                      <wp:effectExtent l="0" t="0" r="0" b="0"/>
                      <wp:wrapNone/>
                      <wp:docPr id="38" name="组合 38"/>
                      <wp:cNvGraphicFramePr/>
                      <a:graphic xmlns:a="http://schemas.openxmlformats.org/drawingml/2006/main">
                        <a:graphicData uri="http://schemas.microsoft.com/office/word/2010/wordprocessingGroup">
                          <wpg:wgp>
                            <wpg:cNvGrpSpPr/>
                            <wpg:grpSpPr>
                              <a:xfrm>
                                <a:off x="0" y="0"/>
                                <a:ext cx="434975" cy="1365250"/>
                                <a:chOff x="5999" y="1282647"/>
                                <a:chExt cx="685" cy="2150"/>
                              </a:xfrm>
                            </wpg:grpSpPr>
                            <wps:wsp>
                              <wps:cNvPr id="39" name="文本框 5"/>
                              <wps:cNvSpPr txBox="1"/>
                              <wps:spPr>
                                <a:xfrm>
                                  <a:off x="6082" y="1284373"/>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D0374">
                                    <w:pPr>
                                      <w:ind w:firstLine="0" w:firstLineChars="0"/>
                                      <w:rPr>
                                        <w:color w:val="FF0000"/>
                                        <w:sz w:val="18"/>
                                        <w:szCs w:val="18"/>
                                      </w:rPr>
                                    </w:pPr>
                                    <w:r>
                                      <w:rPr>
                                        <w:rFonts w:hint="eastAsia"/>
                                        <w:color w:val="FF0000"/>
                                        <w:sz w:val="18"/>
                                        <w:szCs w:val="18"/>
                                      </w:rPr>
                                      <w:t>C2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9" name="文本框 7"/>
                              <wps:cNvSpPr txBox="1"/>
                              <wps:spPr>
                                <a:xfrm>
                                  <a:off x="6098" y="1283603"/>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2D8CB7">
                                    <w:pPr>
                                      <w:ind w:firstLine="0" w:firstLineChars="0"/>
                                      <w:rPr>
                                        <w:color w:val="FF0000"/>
                                        <w:sz w:val="18"/>
                                        <w:szCs w:val="18"/>
                                      </w:rPr>
                                    </w:pPr>
                                    <w:r>
                                      <w:rPr>
                                        <w:rFonts w:hint="eastAsia"/>
                                        <w:color w:val="FF0000"/>
                                        <w:sz w:val="18"/>
                                        <w:szCs w:val="18"/>
                                      </w:rPr>
                                      <w:t>A2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8"/>
                              <wps:cNvSpPr txBox="1"/>
                              <wps:spPr>
                                <a:xfrm>
                                  <a:off x="5999" y="1282647"/>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C5132">
                                    <w:pPr>
                                      <w:ind w:firstLine="0" w:firstLineChars="0"/>
                                      <w:rPr>
                                        <w:color w:val="FF0000"/>
                                        <w:sz w:val="18"/>
                                        <w:szCs w:val="18"/>
                                      </w:rPr>
                                    </w:pPr>
                                    <w:r>
                                      <w:rPr>
                                        <w:rFonts w:hint="eastAsia"/>
                                        <w:color w:val="FF0000"/>
                                        <w:sz w:val="18"/>
                                        <w:szCs w:val="18"/>
                                      </w:rPr>
                                      <w:t>B2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15.3pt;margin-top:59.65pt;height:107.5pt;width:34.25pt;z-index:251668480;mso-width-relative:page;mso-height-relative:page;" coordorigin="5999,1282647" coordsize="685,2150" o:gfxdata="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">
                      <o:lock v:ext="edit" aspectratio="f"/>
                      <v:shape id="文本框 5" o:spid="_x0000_s1026" o:spt="202" type="#_x0000_t202" style="position:absolute;left:6082;top:1284373;height:424;width:586;" filled="f" stroked="f" coordsize="21600,21600" o:gfxdata="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u8f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BDD0374">
                              <w:pPr>
                                <w:ind w:firstLine="0" w:firstLineChars="0"/>
                                <w:rPr>
                                  <w:color w:val="FF0000"/>
                                  <w:sz w:val="18"/>
                                  <w:szCs w:val="18"/>
                                </w:rPr>
                              </w:pPr>
                              <w:r>
                                <w:rPr>
                                  <w:rFonts w:hint="eastAsia"/>
                                  <w:color w:val="FF0000"/>
                                  <w:sz w:val="18"/>
                                  <w:szCs w:val="18"/>
                                </w:rPr>
                                <w:t>C2</w:t>
                              </w:r>
                            </w:p>
                          </w:txbxContent>
                        </v:textbox>
                      </v:shape>
                      <v:shape id="文本框 7" o:spid="_x0000_s1026" o:spt="202" type="#_x0000_t202" style="position:absolute;left:6098;top:1283603;height:424;width:586;" filled="f" stroked="f" coordsize="21600,21600" o:gfxdata="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a3PA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462D8CB7">
                              <w:pPr>
                                <w:ind w:firstLine="0" w:firstLineChars="0"/>
                                <w:rPr>
                                  <w:color w:val="FF0000"/>
                                  <w:sz w:val="18"/>
                                  <w:szCs w:val="18"/>
                                </w:rPr>
                              </w:pPr>
                              <w:r>
                                <w:rPr>
                                  <w:rFonts w:hint="eastAsia"/>
                                  <w:color w:val="FF0000"/>
                                  <w:sz w:val="18"/>
                                  <w:szCs w:val="18"/>
                                </w:rPr>
                                <w:t>A2</w:t>
                              </w:r>
                            </w:p>
                          </w:txbxContent>
                        </v:textbox>
                      </v:shape>
                      <v:shape id="文本框 8" o:spid="_x0000_s1026" o:spt="202" type="#_x0000_t202" style="position:absolute;left:5999;top:1282647;height:424;width:586;" filled="f" stroked="f" coordsize="21600,21600" o:gfxdata="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U7wQL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14:paraId="219C5132">
                              <w:pPr>
                                <w:ind w:firstLine="0" w:firstLineChars="0"/>
                                <w:rPr>
                                  <w:color w:val="FF0000"/>
                                  <w:sz w:val="18"/>
                                  <w:szCs w:val="18"/>
                                </w:rPr>
                              </w:pPr>
                              <w:r>
                                <w:rPr>
                                  <w:rFonts w:hint="eastAsia"/>
                                  <w:color w:val="FF0000"/>
                                  <w:sz w:val="18"/>
                                  <w:szCs w:val="18"/>
                                </w:rPr>
                                <w:t>B2</w:t>
                              </w:r>
                            </w:p>
                          </w:txbxContent>
                        </v:textbox>
                      </v:shape>
                    </v:group>
                  </w:pict>
                </mc:Fallback>
              </mc:AlternateContent>
            </w:r>
            <w:r>
              <w:rPr>
                <w:color w:val="000000" w:themeColor="text1"/>
                <w:sz w:val="21"/>
                <w14:textFill>
                  <w14:solidFill>
                    <w14:schemeClr w14:val="tx1"/>
                  </w14:solidFill>
                </w14:textFill>
              </w:rPr>
              <mc:AlternateContent>
                <mc:Choice Requires="wpg">
                  <w:drawing>
                    <wp:anchor distT="0" distB="0" distL="114300" distR="114300" simplePos="0" relativeHeight="251667456" behindDoc="0" locked="0" layoutInCell="1" allowOverlap="1">
                      <wp:simplePos x="0" y="0"/>
                      <wp:positionH relativeFrom="column">
                        <wp:posOffset>106045</wp:posOffset>
                      </wp:positionH>
                      <wp:positionV relativeFrom="paragraph">
                        <wp:posOffset>738505</wp:posOffset>
                      </wp:positionV>
                      <wp:extent cx="424815" cy="1342390"/>
                      <wp:effectExtent l="0" t="0" r="0" b="0"/>
                      <wp:wrapNone/>
                      <wp:docPr id="51" name="组合 51"/>
                      <wp:cNvGraphicFramePr/>
                      <a:graphic xmlns:a="http://schemas.openxmlformats.org/drawingml/2006/main">
                        <a:graphicData uri="http://schemas.microsoft.com/office/word/2010/wordprocessingGroup">
                          <wpg:wgp>
                            <wpg:cNvGrpSpPr/>
                            <wpg:grpSpPr>
                              <a:xfrm>
                                <a:off x="0" y="0"/>
                                <a:ext cx="424815" cy="1342390"/>
                                <a:chOff x="5934" y="1282683"/>
                                <a:chExt cx="669" cy="2114"/>
                              </a:xfrm>
                            </wpg:grpSpPr>
                            <wps:wsp>
                              <wps:cNvPr id="52" name="文本框 5"/>
                              <wps:cNvSpPr txBox="1"/>
                              <wps:spPr>
                                <a:xfrm>
                                  <a:off x="5978" y="1284440"/>
                                  <a:ext cx="586" cy="3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64DE5">
                                    <w:pPr>
                                      <w:ind w:firstLine="0" w:firstLineChars="0"/>
                                      <w:rPr>
                                        <w:color w:val="FF0000"/>
                                        <w:sz w:val="18"/>
                                        <w:szCs w:val="18"/>
                                      </w:rPr>
                                    </w:pPr>
                                    <w:r>
                                      <w:rPr>
                                        <w:rFonts w:hint="eastAsia"/>
                                        <w:color w:val="FF0000"/>
                                        <w:sz w:val="18"/>
                                        <w:szCs w:val="18"/>
                                      </w:rPr>
                                      <w:t>C1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文本框 7"/>
                              <wps:cNvSpPr txBox="1"/>
                              <wps:spPr>
                                <a:xfrm>
                                  <a:off x="5934" y="1283627"/>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692D5">
                                    <w:pPr>
                                      <w:ind w:firstLine="0" w:firstLineChars="0"/>
                                      <w:rPr>
                                        <w:color w:val="FF0000"/>
                                        <w:sz w:val="18"/>
                                        <w:szCs w:val="18"/>
                                      </w:rPr>
                                    </w:pPr>
                                    <w:r>
                                      <w:rPr>
                                        <w:rFonts w:hint="eastAsia"/>
                                        <w:color w:val="FF0000"/>
                                        <w:sz w:val="18"/>
                                        <w:szCs w:val="18"/>
                                      </w:rPr>
                                      <w:t>A1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 name="文本框 8"/>
                              <wps:cNvSpPr txBox="1"/>
                              <wps:spPr>
                                <a:xfrm>
                                  <a:off x="6017" y="1282683"/>
                                  <a:ext cx="586" cy="42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B9698">
                                    <w:pPr>
                                      <w:ind w:firstLine="0" w:firstLineChars="0"/>
                                      <w:rPr>
                                        <w:color w:val="FF0000"/>
                                        <w:sz w:val="18"/>
                                        <w:szCs w:val="18"/>
                                      </w:rPr>
                                    </w:pPr>
                                    <w:r>
                                      <w:rPr>
                                        <w:rFonts w:hint="eastAsia"/>
                                        <w:color w:val="FF0000"/>
                                        <w:sz w:val="18"/>
                                        <w:szCs w:val="18"/>
                                      </w:rPr>
                                      <w:t>B1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8.35pt;margin-top:58.15pt;height:105.7pt;width:33.45pt;z-index:251667456;mso-width-relative:page;mso-height-relative:page;" coordorigin="5934,1282683" coordsize="669,2114" o:gfxdata="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i2cP&#10;R9kAAAAJAQAADwAAAAAAAAABACAAAAAiAAAAZHJzL2Rvd25yZXYueG1sUEsBAhQAFAAAAAgAh07i&#10;QOnCWzAFAwAAswoAAA4AAAAAAAAAAQAgAAAAKAEAAGRycy9lMm9Eb2MueG1sUEsFBgAAAAAGAAYA&#10;WQEAAJ8GAAAAAA==&#10;">
                      <o:lock v:ext="edit" aspectratio="f"/>
                      <v:shape id="文本框 5" o:spid="_x0000_s1026" o:spt="202" type="#_x0000_t202" style="position:absolute;left:5978;top:1284440;height:357;width:586;" filled="f" stroked="f" coordsize="21600,21600" o:gfxdata="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tDLr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DD64DE5">
                              <w:pPr>
                                <w:ind w:firstLine="0" w:firstLineChars="0"/>
                                <w:rPr>
                                  <w:color w:val="FF0000"/>
                                  <w:sz w:val="18"/>
                                  <w:szCs w:val="18"/>
                                </w:rPr>
                              </w:pPr>
                              <w:r>
                                <w:rPr>
                                  <w:rFonts w:hint="eastAsia"/>
                                  <w:color w:val="FF0000"/>
                                  <w:sz w:val="18"/>
                                  <w:szCs w:val="18"/>
                                </w:rPr>
                                <w:t>C1</w:t>
                              </w:r>
                            </w:p>
                          </w:txbxContent>
                        </v:textbox>
                      </v:shape>
                      <v:shape id="文本框 7" o:spid="_x0000_s1026" o:spt="202" type="#_x0000_t202" style="position:absolute;left:5934;top:1283627;height:424;width:586;" filled="f" stroked="f" coordsize="21600,21600" o:gfxdata="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2cbje/&#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06692D5">
                              <w:pPr>
                                <w:ind w:firstLine="0" w:firstLineChars="0"/>
                                <w:rPr>
                                  <w:color w:val="FF0000"/>
                                  <w:sz w:val="18"/>
                                  <w:szCs w:val="18"/>
                                </w:rPr>
                              </w:pPr>
                              <w:r>
                                <w:rPr>
                                  <w:rFonts w:hint="eastAsia"/>
                                  <w:color w:val="FF0000"/>
                                  <w:sz w:val="18"/>
                                  <w:szCs w:val="18"/>
                                </w:rPr>
                                <w:t>A1</w:t>
                              </w:r>
                            </w:p>
                          </w:txbxContent>
                        </v:textbox>
                      </v:shape>
                      <v:shape id="文本框 8" o:spid="_x0000_s1026" o:spt="202" type="#_x0000_t202" style="position:absolute;left:6017;top:1282683;height:424;width:586;" filled="f" stroked="f" coordsize="21600,21600" o:gfxdata="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19kO/&#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6BB9698">
                              <w:pPr>
                                <w:ind w:firstLine="0" w:firstLineChars="0"/>
                                <w:rPr>
                                  <w:color w:val="FF0000"/>
                                  <w:sz w:val="18"/>
                                  <w:szCs w:val="18"/>
                                </w:rPr>
                              </w:pPr>
                              <w:r>
                                <w:rPr>
                                  <w:rFonts w:hint="eastAsia"/>
                                  <w:color w:val="FF0000"/>
                                  <w:sz w:val="18"/>
                                  <w:szCs w:val="18"/>
                                </w:rPr>
                                <w:t>B1</w:t>
                              </w:r>
                            </w:p>
                          </w:txbxContent>
                        </v:textbox>
                      </v:shape>
                    </v:group>
                  </w:pict>
                </mc:Fallback>
              </mc:AlternateContent>
            </w:r>
            <w:r>
              <w:rPr>
                <w:color w:val="000000" w:themeColor="text1"/>
                <w14:textFill>
                  <w14:solidFill>
                    <w14:schemeClr w14:val="tx1"/>
                  </w14:solidFill>
                </w14:textFill>
              </w:rPr>
              <w:drawing>
                <wp:inline distT="0" distB="0" distL="114300" distR="114300">
                  <wp:extent cx="1951355" cy="2023110"/>
                  <wp:effectExtent l="0" t="0" r="10795" b="15240"/>
                  <wp:docPr id="15" name="图片 2"/>
                  <wp:cNvGraphicFramePr/>
                  <a:graphic xmlns:a="http://schemas.openxmlformats.org/drawingml/2006/main">
                    <a:graphicData uri="http://schemas.openxmlformats.org/drawingml/2006/picture">
                      <pic:pic xmlns:pic="http://schemas.openxmlformats.org/drawingml/2006/picture">
                        <pic:nvPicPr>
                          <pic:cNvPr id="15" name="图片 2"/>
                          <pic:cNvPicPr/>
                        </pic:nvPicPr>
                        <pic:blipFill>
                          <a:blip r:embed="rId54"/>
                          <a:stretch>
                            <a:fillRect/>
                          </a:stretch>
                        </pic:blipFill>
                        <pic:spPr>
                          <a:xfrm>
                            <a:off x="0" y="0"/>
                            <a:ext cx="1951355" cy="202311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1951355" cy="2023110"/>
                  <wp:effectExtent l="0" t="0" r="10795" b="1524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54"/>
                          <a:stretch>
                            <a:fillRect/>
                          </a:stretch>
                        </pic:blipFill>
                        <pic:spPr>
                          <a:xfrm>
                            <a:off x="0" y="0"/>
                            <a:ext cx="1951355" cy="2023110"/>
                          </a:xfrm>
                          <a:prstGeom prst="rect">
                            <a:avLst/>
                          </a:prstGeom>
                          <a:noFill/>
                          <a:ln>
                            <a:noFill/>
                          </a:ln>
                        </pic:spPr>
                      </pic:pic>
                    </a:graphicData>
                  </a:graphic>
                </wp:inline>
              </w:drawing>
            </w:r>
          </w:p>
        </w:tc>
      </w:tr>
      <w:tr w14:paraId="0AD7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702A4A61">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子导线外径</w:t>
            </w:r>
          </w:p>
        </w:tc>
        <w:tc>
          <w:tcPr>
            <w:tcW w:w="6659" w:type="dxa"/>
            <w:gridSpan w:val="2"/>
            <w:vAlign w:val="center"/>
          </w:tcPr>
          <w:p w14:paraId="21746F1D">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27.6mm</w:t>
            </w:r>
          </w:p>
        </w:tc>
      </w:tr>
      <w:tr w14:paraId="4B03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07589A3E">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分裂型式</w:t>
            </w:r>
          </w:p>
        </w:tc>
        <w:tc>
          <w:tcPr>
            <w:tcW w:w="6659" w:type="dxa"/>
            <w:gridSpan w:val="2"/>
            <w:vAlign w:val="center"/>
          </w:tcPr>
          <w:p w14:paraId="6D21F6BE">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6</w:t>
            </w:r>
            <w:r>
              <w:rPr>
                <w:rFonts w:hint="eastAsia" w:ascii="宋体" w:hAnsi="宋体" w:cs="宋体"/>
                <w:color w:val="000000" w:themeColor="text1"/>
                <w:kern w:val="0"/>
                <w:sz w:val="21"/>
                <w:szCs w:val="21"/>
                <w:lang w:bidi="ar"/>
                <w14:textFill>
                  <w14:solidFill>
                    <w14:schemeClr w14:val="tx1"/>
                  </w14:solidFill>
                </w14:textFill>
              </w:rPr>
              <w:t>分裂</w:t>
            </w:r>
          </w:p>
        </w:tc>
      </w:tr>
      <w:tr w14:paraId="3524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686B3708">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分裂间距</w:t>
            </w:r>
          </w:p>
        </w:tc>
        <w:tc>
          <w:tcPr>
            <w:tcW w:w="6659" w:type="dxa"/>
            <w:gridSpan w:val="2"/>
            <w:vAlign w:val="center"/>
          </w:tcPr>
          <w:p w14:paraId="742B1DD9">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400mm</w:t>
            </w:r>
          </w:p>
        </w:tc>
      </w:tr>
      <w:tr w14:paraId="1892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65FAAAA8">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地线型式</w:t>
            </w:r>
          </w:p>
        </w:tc>
        <w:tc>
          <w:tcPr>
            <w:tcW w:w="6659" w:type="dxa"/>
            <w:gridSpan w:val="2"/>
            <w:vAlign w:val="center"/>
          </w:tcPr>
          <w:p w14:paraId="5C71E604">
            <w:pPr>
              <w:snapToGrid w:val="0"/>
              <w:spacing w:line="240" w:lineRule="auto"/>
              <w:ind w:firstLine="420"/>
              <w:jc w:val="center"/>
              <w:rPr>
                <w:rFonts w:hint="eastAsia" w:eastAsia="宋体"/>
                <w:color w:val="000000" w:themeColor="text1"/>
                <w:sz w:val="21"/>
                <w:szCs w:val="21"/>
                <w:lang w:eastAsia="zh-CN"/>
                <w14:textFill>
                  <w14:solidFill>
                    <w14:schemeClr w14:val="tx1"/>
                  </w14:solidFill>
                </w14:textFill>
              </w:rPr>
            </w:pPr>
            <w:r>
              <w:rPr>
                <w:color w:val="000000" w:themeColor="text1"/>
                <w:kern w:val="0"/>
                <w:sz w:val="21"/>
                <w:szCs w:val="21"/>
                <w:lang w:bidi="ar"/>
                <w14:textFill>
                  <w14:solidFill>
                    <w14:schemeClr w14:val="tx1"/>
                  </w14:solidFill>
                </w14:textFill>
              </w:rPr>
              <w:t>OPGW-17-150-</w:t>
            </w:r>
            <w:r>
              <w:rPr>
                <w:rFonts w:hint="eastAsia"/>
                <w:color w:val="000000" w:themeColor="text1"/>
                <w:kern w:val="0"/>
                <w:sz w:val="21"/>
                <w:szCs w:val="21"/>
                <w:lang w:bidi="ar"/>
                <w14:textFill>
                  <w14:solidFill>
                    <w14:schemeClr w14:val="tx1"/>
                  </w14:solidFill>
                </w14:textFill>
              </w:rPr>
              <w:t>4</w:t>
            </w:r>
            <w:r>
              <w:rPr>
                <w:rFonts w:hint="eastAsia"/>
                <w:color w:val="000000" w:themeColor="text1"/>
                <w:kern w:val="0"/>
                <w:sz w:val="21"/>
                <w:szCs w:val="21"/>
                <w:lang w:eastAsia="zh-CN"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JLB40-150</w:t>
            </w:r>
          </w:p>
        </w:tc>
      </w:tr>
      <w:tr w14:paraId="66D2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36D7CE6F">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输送功率</w:t>
            </w:r>
          </w:p>
        </w:tc>
        <w:tc>
          <w:tcPr>
            <w:tcW w:w="6659" w:type="dxa"/>
            <w:gridSpan w:val="2"/>
            <w:vAlign w:val="center"/>
          </w:tcPr>
          <w:p w14:paraId="10173ED6">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单回输送功率</w:t>
            </w:r>
            <w:r>
              <w:rPr>
                <w:color w:val="000000" w:themeColor="text1"/>
                <w:kern w:val="0"/>
                <w:sz w:val="21"/>
                <w:szCs w:val="21"/>
                <w:lang w:bidi="ar"/>
                <w14:textFill>
                  <w14:solidFill>
                    <w14:schemeClr w14:val="tx1"/>
                  </w14:solidFill>
                </w14:textFill>
              </w:rPr>
              <w:t>2300MW</w:t>
            </w:r>
          </w:p>
        </w:tc>
      </w:tr>
      <w:tr w14:paraId="4194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2C2C5A10">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输送电流</w:t>
            </w:r>
          </w:p>
        </w:tc>
        <w:tc>
          <w:tcPr>
            <w:tcW w:w="6659" w:type="dxa"/>
            <w:gridSpan w:val="2"/>
            <w:vAlign w:val="center"/>
          </w:tcPr>
          <w:p w14:paraId="3C87D21B">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单回输送电流</w:t>
            </w:r>
            <w:r>
              <w:rPr>
                <w:color w:val="000000" w:themeColor="text1"/>
                <w:kern w:val="0"/>
                <w:sz w:val="21"/>
                <w:szCs w:val="21"/>
                <w:lang w:bidi="ar"/>
                <w14:textFill>
                  <w14:solidFill>
                    <w14:schemeClr w14:val="tx1"/>
                  </w14:solidFill>
                </w14:textFill>
              </w:rPr>
              <w:t>1</w:t>
            </w:r>
            <w:r>
              <w:rPr>
                <w:rFonts w:hint="eastAsia"/>
                <w:color w:val="000000" w:themeColor="text1"/>
                <w:kern w:val="0"/>
                <w:sz w:val="21"/>
                <w:szCs w:val="21"/>
                <w:lang w:bidi="ar"/>
                <w14:textFill>
                  <w14:solidFill>
                    <w14:schemeClr w14:val="tx1"/>
                  </w14:solidFill>
                </w14:textFill>
              </w:rPr>
              <w:t>863</w:t>
            </w:r>
            <w:r>
              <w:rPr>
                <w:color w:val="000000" w:themeColor="text1"/>
                <w:kern w:val="0"/>
                <w:sz w:val="21"/>
                <w:szCs w:val="21"/>
                <w:lang w:bidi="ar"/>
                <w14:textFill>
                  <w14:solidFill>
                    <w14:schemeClr w14:val="tx1"/>
                  </w14:solidFill>
                </w14:textFill>
              </w:rPr>
              <w:t>A</w:t>
            </w:r>
          </w:p>
        </w:tc>
      </w:tr>
      <w:tr w14:paraId="0768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6EC67006">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预测电压</w:t>
            </w:r>
          </w:p>
        </w:tc>
        <w:tc>
          <w:tcPr>
            <w:tcW w:w="6659" w:type="dxa"/>
            <w:gridSpan w:val="2"/>
            <w:vAlign w:val="center"/>
          </w:tcPr>
          <w:p w14:paraId="4DC4867F">
            <w:pPr>
              <w:snapToGrid w:val="0"/>
              <w:spacing w:line="240" w:lineRule="auto"/>
              <w:ind w:firstLine="42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787.5</w:t>
            </w:r>
            <w:r>
              <w:rPr>
                <w:rFonts w:hint="eastAsia"/>
                <w:color w:val="000000" w:themeColor="text1"/>
                <w:kern w:val="0"/>
                <w:sz w:val="21"/>
                <w:szCs w:val="21"/>
                <w:lang w:bidi="ar"/>
                <w14:textFill>
                  <w14:solidFill>
                    <w14:schemeClr w14:val="tx1"/>
                  </w14:solidFill>
                </w14:textFill>
              </w:rPr>
              <w:t>kV</w:t>
            </w:r>
          </w:p>
        </w:tc>
      </w:tr>
      <w:tr w14:paraId="69AE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530628DE">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计算原点</w:t>
            </w:r>
            <w:r>
              <w:rPr>
                <w:i/>
                <w:iCs/>
                <w:color w:val="000000" w:themeColor="text1"/>
                <w14:textFill>
                  <w14:solidFill>
                    <w14:schemeClr w14:val="tx1"/>
                  </w14:solidFill>
                </w14:textFill>
              </w:rPr>
              <w:t>O</w:t>
            </w:r>
            <w:r>
              <w:rPr>
                <w:rFonts w:hint="eastAsia" w:ascii="宋体" w:hAnsi="宋体" w:cs="宋体"/>
                <w:color w:val="000000" w:themeColor="text1"/>
                <w:kern w:val="0"/>
                <w:sz w:val="21"/>
                <w:szCs w:val="21"/>
                <w:lang w:bidi="ar"/>
                <w14:textFill>
                  <w14:solidFill>
                    <w14:schemeClr w14:val="tx1"/>
                  </w14:solidFill>
                </w14:textFill>
              </w:rPr>
              <w:t>（</w:t>
            </w:r>
            <w:r>
              <w:rPr>
                <w:color w:val="000000" w:themeColor="text1"/>
                <w:kern w:val="0"/>
                <w:sz w:val="21"/>
                <w:szCs w:val="21"/>
                <w:lang w:bidi="ar"/>
                <w14:textFill>
                  <w14:solidFill>
                    <w14:schemeClr w14:val="tx1"/>
                  </w14:solidFill>
                </w14:textFill>
              </w:rPr>
              <w:t>0，0</w:t>
            </w:r>
            <w:r>
              <w:rPr>
                <w:rFonts w:hint="eastAsia" w:ascii="宋体" w:hAnsi="宋体" w:cs="宋体"/>
                <w:color w:val="000000" w:themeColor="text1"/>
                <w:kern w:val="0"/>
                <w:sz w:val="21"/>
                <w:szCs w:val="21"/>
                <w:lang w:bidi="ar"/>
                <w14:textFill>
                  <w14:solidFill>
                    <w14:schemeClr w14:val="tx1"/>
                  </w14:solidFill>
                </w14:textFill>
              </w:rPr>
              <w:t>）</w:t>
            </w:r>
          </w:p>
        </w:tc>
        <w:tc>
          <w:tcPr>
            <w:tcW w:w="6659" w:type="dxa"/>
            <w:gridSpan w:val="2"/>
            <w:vAlign w:val="center"/>
          </w:tcPr>
          <w:p w14:paraId="2E5ABA6B">
            <w:pPr>
              <w:snapToGrid w:val="0"/>
              <w:spacing w:line="240" w:lineRule="auto"/>
              <w:ind w:firstLine="42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线路走廊中心</w:t>
            </w:r>
          </w:p>
        </w:tc>
      </w:tr>
      <w:tr w14:paraId="1A92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655894EF">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计算距离</w:t>
            </w:r>
          </w:p>
        </w:tc>
        <w:tc>
          <w:tcPr>
            <w:tcW w:w="6659" w:type="dxa"/>
            <w:gridSpan w:val="2"/>
            <w:vAlign w:val="center"/>
          </w:tcPr>
          <w:p w14:paraId="125679FB">
            <w:pPr>
              <w:snapToGrid w:val="0"/>
              <w:spacing w:line="240" w:lineRule="auto"/>
              <w:ind w:firstLine="420"/>
              <w:jc w:val="center"/>
              <w:rPr>
                <w:rFonts w:hint="default" w:eastAsia="宋体"/>
                <w:color w:val="000000" w:themeColor="text1"/>
                <w:kern w:val="0"/>
                <w:sz w:val="21"/>
                <w:szCs w:val="21"/>
                <w:highlight w:val="green"/>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bidi="ar"/>
                <w14:textFill>
                  <w14:solidFill>
                    <w14:schemeClr w14:val="tx1"/>
                  </w14:solidFill>
                </w14:textFill>
              </w:rPr>
              <w:t>1</w:t>
            </w:r>
            <w:r>
              <w:rPr>
                <w:rFonts w:hint="eastAsia"/>
                <w:color w:val="000000" w:themeColor="text1"/>
                <w:kern w:val="0"/>
                <w:sz w:val="21"/>
                <w:szCs w:val="21"/>
                <w:lang w:val="en-US" w:eastAsia="zh-CN" w:bidi="ar"/>
                <w14:textFill>
                  <w14:solidFill>
                    <w14:schemeClr w14:val="tx1"/>
                  </w14:solidFill>
                </w14:textFill>
              </w:rPr>
              <w:t>22</w:t>
            </w: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bidi="ar"/>
                <w14:textFill>
                  <w14:solidFill>
                    <w14:schemeClr w14:val="tx1"/>
                  </w14:solidFill>
                </w14:textFill>
              </w:rPr>
              <w:t>1</w:t>
            </w:r>
            <w:r>
              <w:rPr>
                <w:rFonts w:hint="eastAsia"/>
                <w:color w:val="000000" w:themeColor="text1"/>
                <w:kern w:val="0"/>
                <w:sz w:val="21"/>
                <w:szCs w:val="21"/>
                <w:lang w:val="en-US" w:eastAsia="zh-CN" w:bidi="ar"/>
                <w14:textFill>
                  <w14:solidFill>
                    <w14:schemeClr w14:val="tx1"/>
                  </w14:solidFill>
                </w14:textFill>
              </w:rPr>
              <w:t>22</w:t>
            </w:r>
          </w:p>
        </w:tc>
      </w:tr>
      <w:tr w14:paraId="628A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79C367D6">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预测塔型</w:t>
            </w:r>
          </w:p>
        </w:tc>
        <w:tc>
          <w:tcPr>
            <w:tcW w:w="6659" w:type="dxa"/>
            <w:gridSpan w:val="2"/>
            <w:vAlign w:val="center"/>
          </w:tcPr>
          <w:p w14:paraId="58738389">
            <w:pPr>
              <w:snapToGrid w:val="0"/>
              <w:spacing w:line="240" w:lineRule="auto"/>
              <w:ind w:firstLine="42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导线相间距最大塔型（750-SDJ）</w:t>
            </w:r>
          </w:p>
        </w:tc>
      </w:tr>
      <w:tr w14:paraId="584C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gridSpan w:val="2"/>
            <w:vAlign w:val="center"/>
          </w:tcPr>
          <w:p w14:paraId="66859721">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坐标</w:t>
            </w:r>
          </w:p>
        </w:tc>
        <w:tc>
          <w:tcPr>
            <w:tcW w:w="3295" w:type="dxa"/>
            <w:vAlign w:val="center"/>
          </w:tcPr>
          <w:p w14:paraId="2E03B810">
            <w:pPr>
              <w:snapToGrid w:val="0"/>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lang w:bidi="ar"/>
                <w14:textFill>
                  <w14:solidFill>
                    <w14:schemeClr w14:val="tx1"/>
                  </w14:solidFill>
                </w14:textFill>
              </w:rPr>
              <w:t>X</w:t>
            </w:r>
          </w:p>
        </w:tc>
        <w:tc>
          <w:tcPr>
            <w:tcW w:w="3364" w:type="dxa"/>
            <w:vAlign w:val="center"/>
          </w:tcPr>
          <w:p w14:paraId="5FB906F1">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Y</w:t>
            </w:r>
          </w:p>
        </w:tc>
      </w:tr>
      <w:tr w14:paraId="7D14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restart"/>
            <w:vAlign w:val="center"/>
          </w:tcPr>
          <w:p w14:paraId="7DE12C60">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非居民区15.5m</w:t>
            </w:r>
          </w:p>
        </w:tc>
        <w:tc>
          <w:tcPr>
            <w:tcW w:w="823" w:type="dxa"/>
            <w:vAlign w:val="center"/>
          </w:tcPr>
          <w:p w14:paraId="42704CA5">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vAlign w:val="center"/>
          </w:tcPr>
          <w:p w14:paraId="693933D3">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-71.99</w:t>
            </w:r>
          </w:p>
        </w:tc>
        <w:tc>
          <w:tcPr>
            <w:tcW w:w="3364" w:type="dxa"/>
            <w:vAlign w:val="center"/>
          </w:tcPr>
          <w:p w14:paraId="52861658">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30.7</w:t>
            </w:r>
          </w:p>
        </w:tc>
      </w:tr>
      <w:tr w14:paraId="6946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05905576">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vAlign w:val="center"/>
          </w:tcPr>
          <w:p w14:paraId="0D2B370F">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vAlign w:val="center"/>
          </w:tcPr>
          <w:p w14:paraId="4DEBEDD9">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-68.38</w:t>
            </w:r>
          </w:p>
        </w:tc>
        <w:tc>
          <w:tcPr>
            <w:tcW w:w="3364" w:type="dxa"/>
            <w:vAlign w:val="center"/>
          </w:tcPr>
          <w:p w14:paraId="6F108EE5">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47.4</w:t>
            </w:r>
          </w:p>
        </w:tc>
      </w:tr>
      <w:tr w14:paraId="2D27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60B4B906">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vAlign w:val="center"/>
          </w:tcPr>
          <w:p w14:paraId="102B10D2">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vAlign w:val="center"/>
          </w:tcPr>
          <w:p w14:paraId="5F310282">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-69.</w:t>
            </w:r>
            <w:r>
              <w:rPr>
                <w:rFonts w:hint="eastAsia"/>
                <w:color w:val="000000" w:themeColor="text1"/>
                <w:kern w:val="0"/>
                <w:sz w:val="21"/>
                <w:szCs w:val="21"/>
                <w:lang w:val="en-US" w:eastAsia="zh-CN" w:bidi="ar"/>
                <w14:textFill>
                  <w14:solidFill>
                    <w14:schemeClr w14:val="tx1"/>
                  </w14:solidFill>
                </w14:textFill>
              </w:rPr>
              <w:t>6</w:t>
            </w:r>
            <w:r>
              <w:rPr>
                <w:rFonts w:hint="eastAsia"/>
                <w:color w:val="000000" w:themeColor="text1"/>
                <w:kern w:val="0"/>
                <w:sz w:val="21"/>
                <w:szCs w:val="21"/>
                <w:lang w:bidi="ar"/>
                <w14:textFill>
                  <w14:solidFill>
                    <w14:schemeClr w14:val="tx1"/>
                  </w14:solidFill>
                </w14:textFill>
              </w:rPr>
              <w:t>9</w:t>
            </w:r>
          </w:p>
        </w:tc>
        <w:tc>
          <w:tcPr>
            <w:tcW w:w="3364" w:type="dxa"/>
            <w:vAlign w:val="center"/>
          </w:tcPr>
          <w:p w14:paraId="763A143C">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76C9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523378C0">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1BAC4CCC">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vAlign w:val="center"/>
          </w:tcPr>
          <w:p w14:paraId="3C0AE8E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-28.01</w:t>
            </w:r>
          </w:p>
        </w:tc>
        <w:tc>
          <w:tcPr>
            <w:tcW w:w="3364" w:type="dxa"/>
            <w:vAlign w:val="center"/>
          </w:tcPr>
          <w:p w14:paraId="0996BC7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30.7</w:t>
            </w:r>
          </w:p>
        </w:tc>
      </w:tr>
      <w:tr w14:paraId="360AC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3C798767">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1D4C4679">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vAlign w:val="center"/>
          </w:tcPr>
          <w:p w14:paraId="12385173">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-31.62</w:t>
            </w:r>
          </w:p>
        </w:tc>
        <w:tc>
          <w:tcPr>
            <w:tcW w:w="3364" w:type="dxa"/>
            <w:vAlign w:val="center"/>
          </w:tcPr>
          <w:p w14:paraId="159952D1">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47.4</w:t>
            </w:r>
          </w:p>
        </w:tc>
      </w:tr>
      <w:tr w14:paraId="0850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5730DAAF">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08425753">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vAlign w:val="center"/>
          </w:tcPr>
          <w:p w14:paraId="741CC645">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w:t>
            </w:r>
            <w:r>
              <w:rPr>
                <w:rFonts w:hint="eastAsia"/>
                <w:color w:val="000000" w:themeColor="text1"/>
                <w:kern w:val="0"/>
                <w:sz w:val="21"/>
                <w:szCs w:val="21"/>
                <w:lang w:val="en-US" w:eastAsia="zh-CN" w:bidi="ar"/>
                <w14:textFill>
                  <w14:solidFill>
                    <w14:schemeClr w14:val="tx1"/>
                  </w14:solidFill>
                </w14:textFill>
              </w:rPr>
              <w:t>0.31</w:t>
            </w:r>
          </w:p>
        </w:tc>
        <w:tc>
          <w:tcPr>
            <w:tcW w:w="3364" w:type="dxa"/>
            <w:vAlign w:val="center"/>
          </w:tcPr>
          <w:p w14:paraId="0EEF2AF9">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40DE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0AC5B16E">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5D3486C6">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vAlign w:val="center"/>
          </w:tcPr>
          <w:p w14:paraId="43235483">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30.</w:t>
            </w:r>
            <w:r>
              <w:rPr>
                <w:rFonts w:hint="eastAsia"/>
                <w:color w:val="000000" w:themeColor="text1"/>
                <w:kern w:val="0"/>
                <w:sz w:val="21"/>
                <w:szCs w:val="21"/>
                <w:lang w:val="en-US" w:eastAsia="zh-CN" w:bidi="ar"/>
                <w14:textFill>
                  <w14:solidFill>
                    <w14:schemeClr w14:val="tx1"/>
                  </w14:solidFill>
                </w14:textFill>
              </w:rPr>
              <w:t>3</w:t>
            </w:r>
            <w:r>
              <w:rPr>
                <w:rFonts w:hint="eastAsia"/>
                <w:color w:val="000000" w:themeColor="text1"/>
                <w:kern w:val="0"/>
                <w:sz w:val="21"/>
                <w:szCs w:val="21"/>
                <w:lang w:bidi="ar"/>
                <w14:textFill>
                  <w14:solidFill>
                    <w14:schemeClr w14:val="tx1"/>
                  </w14:solidFill>
                </w14:textFill>
              </w:rPr>
              <w:t>1</w:t>
            </w:r>
          </w:p>
        </w:tc>
        <w:tc>
          <w:tcPr>
            <w:tcW w:w="3364" w:type="dxa"/>
            <w:vAlign w:val="center"/>
          </w:tcPr>
          <w:p w14:paraId="3D6E05B9">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4A0F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2EF30F0F">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3D9579C8">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vAlign w:val="center"/>
          </w:tcPr>
          <w:p w14:paraId="2A6DC480">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31.62</w:t>
            </w:r>
          </w:p>
        </w:tc>
        <w:tc>
          <w:tcPr>
            <w:tcW w:w="3364" w:type="dxa"/>
            <w:vAlign w:val="center"/>
          </w:tcPr>
          <w:p w14:paraId="501829FB">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47.4</w:t>
            </w:r>
          </w:p>
        </w:tc>
      </w:tr>
      <w:tr w14:paraId="1194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4BEDD0F8">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D769F9E">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vAlign w:val="center"/>
          </w:tcPr>
          <w:p w14:paraId="4AD67552">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28.01</w:t>
            </w:r>
          </w:p>
        </w:tc>
        <w:tc>
          <w:tcPr>
            <w:tcW w:w="3364" w:type="dxa"/>
            <w:vAlign w:val="center"/>
          </w:tcPr>
          <w:p w14:paraId="205FAD9F">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30.7</w:t>
            </w:r>
          </w:p>
        </w:tc>
      </w:tr>
      <w:tr w14:paraId="104E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07984F2B">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921D313">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4</w:t>
            </w:r>
            <w:r>
              <w:rPr>
                <w:color w:val="000000" w:themeColor="text1"/>
                <w:kern w:val="0"/>
                <w:sz w:val="21"/>
                <w:szCs w:val="21"/>
                <w:lang w:bidi="ar"/>
                <w14:textFill>
                  <w14:solidFill>
                    <w14:schemeClr w14:val="tx1"/>
                  </w14:solidFill>
                </w14:textFill>
              </w:rPr>
              <w:t>相</w:t>
            </w:r>
          </w:p>
        </w:tc>
        <w:tc>
          <w:tcPr>
            <w:tcW w:w="3295" w:type="dxa"/>
            <w:vAlign w:val="center"/>
          </w:tcPr>
          <w:p w14:paraId="21AB716C">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71.99</w:t>
            </w:r>
          </w:p>
        </w:tc>
        <w:tc>
          <w:tcPr>
            <w:tcW w:w="3364" w:type="dxa"/>
            <w:vAlign w:val="center"/>
          </w:tcPr>
          <w:p w14:paraId="492AF6E7">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30.7</w:t>
            </w:r>
          </w:p>
        </w:tc>
      </w:tr>
      <w:tr w14:paraId="6D1E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3CB5D647">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26EA2D9F">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4</w:t>
            </w:r>
            <w:r>
              <w:rPr>
                <w:color w:val="000000" w:themeColor="text1"/>
                <w:kern w:val="0"/>
                <w:sz w:val="21"/>
                <w:szCs w:val="21"/>
                <w:lang w:bidi="ar"/>
                <w14:textFill>
                  <w14:solidFill>
                    <w14:schemeClr w14:val="tx1"/>
                  </w14:solidFill>
                </w14:textFill>
              </w:rPr>
              <w:t>相</w:t>
            </w:r>
          </w:p>
        </w:tc>
        <w:tc>
          <w:tcPr>
            <w:tcW w:w="3295" w:type="dxa"/>
            <w:vAlign w:val="center"/>
          </w:tcPr>
          <w:p w14:paraId="00E4FFB6">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68.38</w:t>
            </w:r>
          </w:p>
        </w:tc>
        <w:tc>
          <w:tcPr>
            <w:tcW w:w="3364" w:type="dxa"/>
            <w:vAlign w:val="center"/>
          </w:tcPr>
          <w:p w14:paraId="6C329F83">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47.4</w:t>
            </w:r>
          </w:p>
        </w:tc>
      </w:tr>
      <w:tr w14:paraId="1DCF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414FE591">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3126CE82">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4</w:t>
            </w:r>
            <w:r>
              <w:rPr>
                <w:color w:val="000000" w:themeColor="text1"/>
                <w:kern w:val="0"/>
                <w:sz w:val="21"/>
                <w:szCs w:val="21"/>
                <w:lang w:bidi="ar"/>
                <w14:textFill>
                  <w14:solidFill>
                    <w14:schemeClr w14:val="tx1"/>
                  </w14:solidFill>
                </w14:textFill>
              </w:rPr>
              <w:t>相</w:t>
            </w:r>
          </w:p>
        </w:tc>
        <w:tc>
          <w:tcPr>
            <w:tcW w:w="3295" w:type="dxa"/>
            <w:vAlign w:val="center"/>
          </w:tcPr>
          <w:p w14:paraId="38CD1B1B">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6</w:t>
            </w:r>
            <w:r>
              <w:rPr>
                <w:rFonts w:hint="eastAsia"/>
                <w:color w:val="000000" w:themeColor="text1"/>
                <w:kern w:val="0"/>
                <w:sz w:val="21"/>
                <w:szCs w:val="21"/>
                <w:lang w:val="en-US" w:eastAsia="zh-CN" w:bidi="ar"/>
                <w14:textFill>
                  <w14:solidFill>
                    <w14:schemeClr w14:val="tx1"/>
                  </w14:solidFill>
                </w14:textFill>
              </w:rPr>
              <w:t>9</w:t>
            </w:r>
            <w:r>
              <w:rPr>
                <w:rFonts w:hint="eastAsia"/>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6</w:t>
            </w:r>
            <w:r>
              <w:rPr>
                <w:rFonts w:hint="eastAsia"/>
                <w:color w:val="000000" w:themeColor="text1"/>
                <w:kern w:val="0"/>
                <w:sz w:val="21"/>
                <w:szCs w:val="21"/>
                <w:lang w:bidi="ar"/>
                <w14:textFill>
                  <w14:solidFill>
                    <w14:schemeClr w14:val="tx1"/>
                  </w14:solidFill>
                </w14:textFill>
              </w:rPr>
              <w:t>9</w:t>
            </w:r>
          </w:p>
        </w:tc>
        <w:tc>
          <w:tcPr>
            <w:tcW w:w="3364" w:type="dxa"/>
            <w:vAlign w:val="center"/>
          </w:tcPr>
          <w:p w14:paraId="2F95B865">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15.5</w:t>
            </w:r>
          </w:p>
        </w:tc>
      </w:tr>
      <w:tr w14:paraId="2084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restart"/>
            <w:vAlign w:val="center"/>
          </w:tcPr>
          <w:p w14:paraId="48589FBE">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居民区</w:t>
            </w:r>
            <w:r>
              <w:rPr>
                <w:rFonts w:hint="eastAsia"/>
                <w:color w:val="000000" w:themeColor="text1"/>
                <w:kern w:val="0"/>
                <w:sz w:val="21"/>
                <w:szCs w:val="21"/>
                <w:lang w:bidi="ar"/>
                <w14:textFill>
                  <w14:solidFill>
                    <w14:schemeClr w14:val="tx1"/>
                  </w14:solidFill>
                </w14:textFill>
              </w:rPr>
              <w:t>19.5</w:t>
            </w:r>
            <w:r>
              <w:rPr>
                <w:color w:val="000000" w:themeColor="text1"/>
                <w:kern w:val="0"/>
                <w:sz w:val="21"/>
                <w:szCs w:val="21"/>
                <w:lang w:bidi="ar"/>
                <w14:textFill>
                  <w14:solidFill>
                    <w14:schemeClr w14:val="tx1"/>
                  </w14:solidFill>
                </w14:textFill>
              </w:rPr>
              <w:t>m</w:t>
            </w:r>
          </w:p>
        </w:tc>
        <w:tc>
          <w:tcPr>
            <w:tcW w:w="823" w:type="dxa"/>
            <w:shd w:val="clear" w:color="auto" w:fill="auto"/>
            <w:vAlign w:val="center"/>
          </w:tcPr>
          <w:p w14:paraId="0AF51CFC">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7865A4AB">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-71.99</w:t>
            </w:r>
          </w:p>
        </w:tc>
        <w:tc>
          <w:tcPr>
            <w:tcW w:w="3364" w:type="dxa"/>
            <w:vAlign w:val="center"/>
          </w:tcPr>
          <w:p w14:paraId="6E6B2C01">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34.7</w:t>
            </w:r>
          </w:p>
        </w:tc>
      </w:tr>
      <w:tr w14:paraId="0A8F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0606FF42">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557B3295">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72507364">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-68.38</w:t>
            </w:r>
          </w:p>
        </w:tc>
        <w:tc>
          <w:tcPr>
            <w:tcW w:w="3364" w:type="dxa"/>
            <w:vAlign w:val="center"/>
          </w:tcPr>
          <w:p w14:paraId="1367A76F">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51.4</w:t>
            </w:r>
          </w:p>
        </w:tc>
      </w:tr>
      <w:tr w14:paraId="0A16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2EFB5DA8">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C44D137">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1</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771B2D5A">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-69.</w:t>
            </w:r>
            <w:r>
              <w:rPr>
                <w:rFonts w:hint="eastAsia"/>
                <w:color w:val="000000" w:themeColor="text1"/>
                <w:kern w:val="0"/>
                <w:sz w:val="21"/>
                <w:szCs w:val="21"/>
                <w:lang w:val="en-US" w:eastAsia="zh-CN" w:bidi="ar"/>
                <w14:textFill>
                  <w14:solidFill>
                    <w14:schemeClr w14:val="tx1"/>
                  </w14:solidFill>
                </w14:textFill>
              </w:rPr>
              <w:t>6</w:t>
            </w:r>
            <w:r>
              <w:rPr>
                <w:rFonts w:hint="eastAsia"/>
                <w:color w:val="000000" w:themeColor="text1"/>
                <w:kern w:val="0"/>
                <w:sz w:val="21"/>
                <w:szCs w:val="21"/>
                <w:lang w:bidi="ar"/>
                <w14:textFill>
                  <w14:solidFill>
                    <w14:schemeClr w14:val="tx1"/>
                  </w14:solidFill>
                </w14:textFill>
              </w:rPr>
              <w:t>9</w:t>
            </w:r>
          </w:p>
        </w:tc>
        <w:tc>
          <w:tcPr>
            <w:tcW w:w="3364" w:type="dxa"/>
            <w:vAlign w:val="center"/>
          </w:tcPr>
          <w:p w14:paraId="68A7D7F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692B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0ED6C146">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5FC148A9">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150D5802">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-28.01</w:t>
            </w:r>
          </w:p>
        </w:tc>
        <w:tc>
          <w:tcPr>
            <w:tcW w:w="3364" w:type="dxa"/>
            <w:vAlign w:val="center"/>
          </w:tcPr>
          <w:p w14:paraId="3BF60BAF">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34.7</w:t>
            </w:r>
          </w:p>
        </w:tc>
      </w:tr>
      <w:tr w14:paraId="4499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34825D47">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08412957">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46DB9917">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-31.62</w:t>
            </w:r>
          </w:p>
        </w:tc>
        <w:tc>
          <w:tcPr>
            <w:tcW w:w="3364" w:type="dxa"/>
            <w:vAlign w:val="center"/>
          </w:tcPr>
          <w:p w14:paraId="718CE0D1">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51.4</w:t>
            </w:r>
          </w:p>
        </w:tc>
      </w:tr>
      <w:tr w14:paraId="2FC0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56A135C1">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01980070">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2</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3F557B90">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w:t>
            </w:r>
            <w:r>
              <w:rPr>
                <w:rFonts w:hint="eastAsia"/>
                <w:color w:val="000000" w:themeColor="text1"/>
                <w:kern w:val="0"/>
                <w:sz w:val="21"/>
                <w:szCs w:val="21"/>
                <w:lang w:val="en-US" w:eastAsia="zh-CN" w:bidi="ar"/>
                <w14:textFill>
                  <w14:solidFill>
                    <w14:schemeClr w14:val="tx1"/>
                  </w14:solidFill>
                </w14:textFill>
              </w:rPr>
              <w:t>0.31</w:t>
            </w:r>
          </w:p>
        </w:tc>
        <w:tc>
          <w:tcPr>
            <w:tcW w:w="3364" w:type="dxa"/>
            <w:vAlign w:val="center"/>
          </w:tcPr>
          <w:p w14:paraId="4D7229F7">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28E7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11CCC304">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7762214E">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0AA497AA">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30.</w:t>
            </w:r>
            <w:r>
              <w:rPr>
                <w:rFonts w:hint="eastAsia"/>
                <w:color w:val="000000" w:themeColor="text1"/>
                <w:kern w:val="0"/>
                <w:sz w:val="21"/>
                <w:szCs w:val="21"/>
                <w:lang w:val="en-US" w:eastAsia="zh-CN" w:bidi="ar"/>
                <w14:textFill>
                  <w14:solidFill>
                    <w14:schemeClr w14:val="tx1"/>
                  </w14:solidFill>
                </w14:textFill>
              </w:rPr>
              <w:t>3</w:t>
            </w:r>
            <w:r>
              <w:rPr>
                <w:rFonts w:hint="eastAsia"/>
                <w:color w:val="000000" w:themeColor="text1"/>
                <w:kern w:val="0"/>
                <w:sz w:val="21"/>
                <w:szCs w:val="21"/>
                <w:lang w:bidi="ar"/>
                <w14:textFill>
                  <w14:solidFill>
                    <w14:schemeClr w14:val="tx1"/>
                  </w14:solidFill>
                </w14:textFill>
              </w:rPr>
              <w:t>1</w:t>
            </w:r>
          </w:p>
        </w:tc>
        <w:tc>
          <w:tcPr>
            <w:tcW w:w="3364" w:type="dxa"/>
            <w:vAlign w:val="center"/>
          </w:tcPr>
          <w:p w14:paraId="675AFEA4">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r w14:paraId="4736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5EF15DFA">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6CAF2AD1">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170A7C74">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31.62</w:t>
            </w:r>
          </w:p>
        </w:tc>
        <w:tc>
          <w:tcPr>
            <w:tcW w:w="3364" w:type="dxa"/>
            <w:vAlign w:val="center"/>
          </w:tcPr>
          <w:p w14:paraId="0855309B">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51.4</w:t>
            </w:r>
          </w:p>
        </w:tc>
      </w:tr>
      <w:tr w14:paraId="2EBF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0C625211">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32F2FC3E">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3</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2EC3947E">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28.01</w:t>
            </w:r>
          </w:p>
        </w:tc>
        <w:tc>
          <w:tcPr>
            <w:tcW w:w="3364" w:type="dxa"/>
            <w:vAlign w:val="center"/>
          </w:tcPr>
          <w:p w14:paraId="20246192">
            <w:pPr>
              <w:snapToGrid w:val="0"/>
              <w:spacing w:line="240" w:lineRule="auto"/>
              <w:ind w:firstLine="0" w:firstLineChars="0"/>
              <w:jc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34.7</w:t>
            </w:r>
          </w:p>
        </w:tc>
      </w:tr>
      <w:tr w14:paraId="1423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0F8AC9FE">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5A73C05B">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A</w:t>
            </w:r>
            <w:r>
              <w:rPr>
                <w:rFonts w:hint="eastAsia"/>
                <w:color w:val="000000" w:themeColor="text1"/>
                <w:kern w:val="0"/>
                <w:sz w:val="21"/>
                <w:szCs w:val="21"/>
                <w:lang w:bidi="ar"/>
                <w14:textFill>
                  <w14:solidFill>
                    <w14:schemeClr w14:val="tx1"/>
                  </w14:solidFill>
                </w14:textFill>
              </w:rPr>
              <w:t>4</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25A74DE9">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71.99</w:t>
            </w:r>
          </w:p>
        </w:tc>
        <w:tc>
          <w:tcPr>
            <w:tcW w:w="3364" w:type="dxa"/>
            <w:vAlign w:val="center"/>
          </w:tcPr>
          <w:p w14:paraId="1E6497DF">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34.7</w:t>
            </w:r>
          </w:p>
        </w:tc>
      </w:tr>
      <w:tr w14:paraId="6459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20423A1F">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27BC893C">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B</w:t>
            </w:r>
            <w:r>
              <w:rPr>
                <w:rFonts w:hint="eastAsia"/>
                <w:color w:val="000000" w:themeColor="text1"/>
                <w:kern w:val="0"/>
                <w:sz w:val="21"/>
                <w:szCs w:val="21"/>
                <w:lang w:bidi="ar"/>
                <w14:textFill>
                  <w14:solidFill>
                    <w14:schemeClr w14:val="tx1"/>
                  </w14:solidFill>
                </w14:textFill>
              </w:rPr>
              <w:t>4</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06E991B3">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68.38</w:t>
            </w:r>
          </w:p>
        </w:tc>
        <w:tc>
          <w:tcPr>
            <w:tcW w:w="3364" w:type="dxa"/>
            <w:vAlign w:val="center"/>
          </w:tcPr>
          <w:p w14:paraId="49873DC5">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51.4</w:t>
            </w:r>
          </w:p>
        </w:tc>
      </w:tr>
      <w:tr w14:paraId="1FFF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vMerge w:val="continue"/>
            <w:vAlign w:val="center"/>
          </w:tcPr>
          <w:p w14:paraId="57EFE52E">
            <w:pPr>
              <w:widowControl/>
              <w:spacing w:line="240" w:lineRule="auto"/>
              <w:ind w:firstLine="0" w:firstLineChars="0"/>
              <w:jc w:val="center"/>
              <w:rPr>
                <w:rFonts w:hint="eastAsia" w:ascii="宋体" w:hAnsi="宋体" w:cs="宋体"/>
                <w:color w:val="000000" w:themeColor="text1"/>
                <w:kern w:val="0"/>
                <w:sz w:val="21"/>
                <w:szCs w:val="21"/>
                <w:lang w:bidi="ar"/>
                <w14:textFill>
                  <w14:solidFill>
                    <w14:schemeClr w14:val="tx1"/>
                  </w14:solidFill>
                </w14:textFill>
              </w:rPr>
            </w:pPr>
          </w:p>
        </w:tc>
        <w:tc>
          <w:tcPr>
            <w:tcW w:w="823" w:type="dxa"/>
            <w:shd w:val="clear" w:color="auto" w:fill="auto"/>
            <w:vAlign w:val="center"/>
          </w:tcPr>
          <w:p w14:paraId="2937F0E6">
            <w:pPr>
              <w:widowControl/>
              <w:spacing w:line="240" w:lineRule="auto"/>
              <w:ind w:firstLine="0" w:firstLineChars="0"/>
              <w:jc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C</w:t>
            </w:r>
            <w:r>
              <w:rPr>
                <w:rFonts w:hint="eastAsia"/>
                <w:color w:val="000000" w:themeColor="text1"/>
                <w:kern w:val="0"/>
                <w:sz w:val="21"/>
                <w:szCs w:val="21"/>
                <w:lang w:bidi="ar"/>
                <w14:textFill>
                  <w14:solidFill>
                    <w14:schemeClr w14:val="tx1"/>
                  </w14:solidFill>
                </w14:textFill>
              </w:rPr>
              <w:t>4</w:t>
            </w:r>
            <w:r>
              <w:rPr>
                <w:color w:val="000000" w:themeColor="text1"/>
                <w:kern w:val="0"/>
                <w:sz w:val="21"/>
                <w:szCs w:val="21"/>
                <w:lang w:bidi="ar"/>
                <w14:textFill>
                  <w14:solidFill>
                    <w14:schemeClr w14:val="tx1"/>
                  </w14:solidFill>
                </w14:textFill>
              </w:rPr>
              <w:t>相</w:t>
            </w:r>
          </w:p>
        </w:tc>
        <w:tc>
          <w:tcPr>
            <w:tcW w:w="3295" w:type="dxa"/>
            <w:shd w:val="clear" w:color="auto" w:fill="auto"/>
            <w:vAlign w:val="center"/>
          </w:tcPr>
          <w:p w14:paraId="62218391">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6</w:t>
            </w:r>
            <w:r>
              <w:rPr>
                <w:rFonts w:hint="eastAsia"/>
                <w:color w:val="000000" w:themeColor="text1"/>
                <w:kern w:val="0"/>
                <w:sz w:val="21"/>
                <w:szCs w:val="21"/>
                <w:lang w:val="en-US" w:eastAsia="zh-CN" w:bidi="ar"/>
                <w14:textFill>
                  <w14:solidFill>
                    <w14:schemeClr w14:val="tx1"/>
                  </w14:solidFill>
                </w14:textFill>
              </w:rPr>
              <w:t>9</w:t>
            </w:r>
            <w:r>
              <w:rPr>
                <w:rFonts w:hint="eastAsia"/>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6</w:t>
            </w:r>
            <w:r>
              <w:rPr>
                <w:rFonts w:hint="eastAsia"/>
                <w:color w:val="000000" w:themeColor="text1"/>
                <w:kern w:val="0"/>
                <w:sz w:val="21"/>
                <w:szCs w:val="21"/>
                <w:lang w:bidi="ar"/>
                <w14:textFill>
                  <w14:solidFill>
                    <w14:schemeClr w14:val="tx1"/>
                  </w14:solidFill>
                </w14:textFill>
              </w:rPr>
              <w:t>9</w:t>
            </w:r>
          </w:p>
        </w:tc>
        <w:tc>
          <w:tcPr>
            <w:tcW w:w="3364" w:type="dxa"/>
            <w:vAlign w:val="center"/>
          </w:tcPr>
          <w:p w14:paraId="3AC12D9D">
            <w:pPr>
              <w:snapToGrid w:val="0"/>
              <w:spacing w:line="240" w:lineRule="auto"/>
              <w:ind w:firstLine="0" w:firstLineChars="0"/>
              <w:jc w:val="center"/>
              <w:rPr>
                <w:color w:val="000000" w:themeColor="text1"/>
                <w:kern w:val="0"/>
                <w:sz w:val="21"/>
                <w:szCs w:val="21"/>
                <w:lang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19.5</w:t>
            </w:r>
          </w:p>
        </w:tc>
      </w:tr>
    </w:tbl>
    <w:p w14:paraId="2FCFC074">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6.1.4预测结果</w:t>
      </w:r>
    </w:p>
    <w:p w14:paraId="5016FADB">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6.1.4.1单回路线路预测结果</w:t>
      </w:r>
    </w:p>
    <w:p w14:paraId="1CA27FCC">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对本工程单回路线路按照经过居民区、非居民区时导线对地最低高度</w:t>
      </w:r>
      <w:r>
        <w:rPr>
          <w:color w:val="000000" w:themeColor="text1"/>
          <w:kern w:val="0"/>
          <w:lang w:bidi="ar"/>
          <w14:textFill>
            <w14:solidFill>
              <w14:schemeClr w14:val="tx1"/>
            </w14:solidFill>
          </w14:textFill>
        </w:rPr>
        <w:t>19.5m</w:t>
      </w: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15.5m</w:t>
      </w:r>
      <w:r>
        <w:rPr>
          <w:rFonts w:hint="eastAsia" w:ascii="宋体" w:hAnsi="宋体" w:cs="宋体"/>
          <w:color w:val="000000" w:themeColor="text1"/>
          <w:kern w:val="0"/>
          <w:lang w:bidi="ar"/>
          <w14:textFill>
            <w14:solidFill>
              <w14:schemeClr w14:val="tx1"/>
            </w14:solidFill>
          </w14:textFill>
        </w:rPr>
        <w:t>要求进行电磁预测，工频电场强度计算结果见表</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4</w:t>
      </w:r>
      <w:r>
        <w:rPr>
          <w:rFonts w:hint="eastAsia" w:ascii="宋体" w:hAnsi="宋体" w:cs="宋体"/>
          <w:color w:val="000000" w:themeColor="text1"/>
          <w:kern w:val="0"/>
          <w:lang w:bidi="ar"/>
          <w14:textFill>
            <w14:solidFill>
              <w14:schemeClr w14:val="tx1"/>
            </w14:solidFill>
          </w14:textFill>
        </w:rPr>
        <w:t>及图</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6</w:t>
      </w:r>
      <w:r>
        <w:rPr>
          <w:rFonts w:hint="eastAsia" w:ascii="宋体" w:hAnsi="宋体" w:cs="宋体"/>
          <w:color w:val="000000" w:themeColor="text1"/>
          <w:kern w:val="0"/>
          <w:lang w:bidi="ar"/>
          <w14:textFill>
            <w14:solidFill>
              <w14:schemeClr w14:val="tx1"/>
            </w14:solidFill>
          </w14:textFill>
        </w:rPr>
        <w:t>。</w:t>
      </w:r>
    </w:p>
    <w:p w14:paraId="210D7F97">
      <w:pPr>
        <w:snapToGrid w:val="0"/>
        <w:ind w:firstLine="0" w:firstLineChars="0"/>
        <w:jc w:val="center"/>
        <w:rPr>
          <w:rFonts w:hint="eastAsia"/>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表6.1-</w:t>
      </w:r>
      <w:r>
        <w:rPr>
          <w:rFonts w:hint="eastAsia"/>
          <w:b/>
          <w:bCs/>
          <w:color w:val="000000" w:themeColor="text1"/>
          <w:sz w:val="21"/>
          <w:szCs w:val="21"/>
          <w14:textFill>
            <w14:solidFill>
              <w14:schemeClr w14:val="tx1"/>
            </w14:solidFill>
          </w14:textFill>
        </w:rPr>
        <w:t>4</w:t>
      </w:r>
      <w:r>
        <w:rPr>
          <w:b/>
          <w:bCs/>
          <w:color w:val="000000" w:themeColor="text1"/>
          <w:sz w:val="21"/>
          <w:szCs w:val="21"/>
          <w14:textFill>
            <w14:solidFill>
              <w14:schemeClr w14:val="tx1"/>
            </w14:solidFill>
          </w14:textFill>
        </w:rPr>
        <w:t xml:space="preserve">  单回输电线路工频电场强度、工频磁感应强度预测结</w:t>
      </w:r>
      <w:r>
        <w:rPr>
          <w:rFonts w:hint="eastAsia"/>
          <w:b/>
          <w:bCs/>
          <w:color w:val="000000" w:themeColor="text1"/>
          <w:sz w:val="21"/>
          <w:szCs w:val="21"/>
          <w14:textFill>
            <w14:solidFill>
              <w14:schemeClr w14:val="tx1"/>
            </w14:solidFill>
          </w14:textFill>
        </w:rPr>
        <w:t>果</w:t>
      </w:r>
    </w:p>
    <w:tbl>
      <w:tblPr>
        <w:tblStyle w:val="2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7"/>
        <w:gridCol w:w="947"/>
        <w:gridCol w:w="867"/>
        <w:gridCol w:w="867"/>
        <w:gridCol w:w="873"/>
        <w:gridCol w:w="948"/>
        <w:gridCol w:w="948"/>
        <w:gridCol w:w="948"/>
        <w:gridCol w:w="953"/>
      </w:tblGrid>
      <w:tr w14:paraId="2EDF2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5" w:hRule="atLeast"/>
        </w:trPr>
        <w:tc>
          <w:tcPr>
            <w:tcW w:w="477" w:type="pct"/>
            <w:vMerge w:val="restart"/>
            <w:tcBorders>
              <w:top w:val="single" w:color="000000" w:sz="4" w:space="0"/>
              <w:left w:val="single" w:color="000000" w:sz="4" w:space="0"/>
              <w:right w:val="single" w:color="000000" w:sz="4" w:space="0"/>
            </w:tcBorders>
            <w:shd w:val="clear" w:color="auto" w:fill="auto"/>
            <w:vAlign w:val="center"/>
          </w:tcPr>
          <w:p w14:paraId="5E13AA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到线路走廊中心的距离（m）</w:t>
            </w:r>
          </w:p>
        </w:tc>
        <w:tc>
          <w:tcPr>
            <w:tcW w:w="219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C6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工频电场强度（单位：kV/m）</w:t>
            </w:r>
          </w:p>
        </w:tc>
        <w:tc>
          <w:tcPr>
            <w:tcW w:w="23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4458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工频磁感应强度（单位：μT）</w:t>
            </w:r>
          </w:p>
        </w:tc>
      </w:tr>
      <w:tr w14:paraId="4B5A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vMerge w:val="continue"/>
            <w:tcBorders>
              <w:left w:val="single" w:color="000000" w:sz="4" w:space="0"/>
              <w:bottom w:val="single" w:color="000000" w:sz="4" w:space="0"/>
              <w:right w:val="single" w:color="000000" w:sz="4" w:space="0"/>
            </w:tcBorders>
            <w:shd w:val="clear" w:color="auto" w:fill="auto"/>
            <w:vAlign w:val="center"/>
          </w:tcPr>
          <w:p w14:paraId="618788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78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线高15.5m</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3CE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线高17.1m</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2AA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线高19.5m</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956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线高30.6m</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D42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线高15.5m</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5D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线高17.1m</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3D1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线高19.5m</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64B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线高30.6m</w:t>
            </w:r>
          </w:p>
        </w:tc>
      </w:tr>
      <w:tr w14:paraId="76EE5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79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B19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0.6516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707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0.6946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762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0.7524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BFB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0.9156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963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69A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590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DF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2.2393</w:t>
            </w:r>
          </w:p>
        </w:tc>
      </w:tr>
      <w:tr w14:paraId="23C11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AAA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44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0.6796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239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0.7239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CE4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0.7832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53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0.9472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C80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821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9A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F23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2.2943</w:t>
            </w:r>
          </w:p>
        </w:tc>
      </w:tr>
      <w:tr w14:paraId="2574F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BF5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5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0.7092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583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0.7549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B9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0.8157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24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F4A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D1F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458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E4D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2.3512</w:t>
            </w:r>
          </w:p>
        </w:tc>
      </w:tr>
      <w:tr w14:paraId="2EC07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220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22D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0.7405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908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0.7876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4CC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15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20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F71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2.7464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B2F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36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2.4102</w:t>
            </w:r>
          </w:p>
        </w:tc>
      </w:tr>
      <w:tr w14:paraId="4C39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E1E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65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0.7738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BA9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D4E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0.8862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F3B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D0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D5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2.8272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493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58B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2.4712</w:t>
            </w:r>
          </w:p>
        </w:tc>
      </w:tr>
      <w:tr w14:paraId="40697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68B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CCA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726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5A4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0.9245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442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FC7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2.9466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C6F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2.9115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328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E7E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2.5343</w:t>
            </w:r>
          </w:p>
        </w:tc>
      </w:tr>
      <w:tr w14:paraId="6E61A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08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FD0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0.8464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98D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0.8978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A4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0.9649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86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3B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BA0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2.9996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C4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2.9383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982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2.5998</w:t>
            </w:r>
          </w:p>
        </w:tc>
      </w:tr>
      <w:tr w14:paraId="557AD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CF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76C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0.8861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AE6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0.9391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6B1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1.0077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369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886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3.1318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385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3.0918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0F3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3.0264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30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2.6676</w:t>
            </w:r>
          </w:p>
        </w:tc>
      </w:tr>
      <w:tr w14:paraId="0364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B53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053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0.9283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3B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536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1.0529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7D4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094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67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3.1883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B8F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CC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2.7378</w:t>
            </w:r>
          </w:p>
        </w:tc>
      </w:tr>
      <w:tr w14:paraId="2AD2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DF2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74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0.9733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A65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1.0293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056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1.1009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B4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44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B99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3.2894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862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38B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2.8106</w:t>
            </w:r>
          </w:p>
        </w:tc>
      </w:tr>
      <w:tr w14:paraId="2366B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E0A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43D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BCE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1F2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1.1516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CF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B5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3.4442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B8B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3.3953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8F5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3.3156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E8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2.886</w:t>
            </w:r>
          </w:p>
        </w:tc>
      </w:tr>
      <w:tr w14:paraId="351B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3D2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9B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56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66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1.2055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EA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34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3.5588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E9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3.5064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D8C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D86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2.9643</w:t>
            </w:r>
          </w:p>
        </w:tc>
      </w:tr>
      <w:tr w14:paraId="6A82F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888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742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B8A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30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1.2626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02C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3D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3.6793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941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3.6229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532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3.5314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EA4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3.0453</w:t>
            </w:r>
          </w:p>
        </w:tc>
      </w:tr>
      <w:tr w14:paraId="1B24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FB8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00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3C9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968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1.3232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33B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B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3.8059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06F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FE5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3.6472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D7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3.1294</w:t>
            </w:r>
          </w:p>
        </w:tc>
      </w:tr>
      <w:tr w14:paraId="7CEB1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F9F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676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20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A9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1.3875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E4E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7B3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3.9392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B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3E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3.7685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76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3.2166</w:t>
            </w:r>
          </w:p>
        </w:tc>
      </w:tr>
      <w:tr w14:paraId="0A04B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272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6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21C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1.3782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16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10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FC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5C8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B04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3.8959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2B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3.307</w:t>
            </w:r>
          </w:p>
        </w:tc>
      </w:tr>
      <w:tr w14:paraId="243A5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50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774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10E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AA2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1.5287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EEF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C68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4.2276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2BD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4.1517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1D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4.0296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239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3.4008</w:t>
            </w:r>
          </w:p>
        </w:tc>
      </w:tr>
      <w:tr w14:paraId="490B3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A06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3AB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8E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B0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1.6061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75A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1B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4.3838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B6C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4.3017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5CC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D0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3.4981</w:t>
            </w:r>
          </w:p>
        </w:tc>
      </w:tr>
      <w:tr w14:paraId="00338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36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5B7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78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151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1.6885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15C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694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4.5487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9CA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4.4599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670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4.3176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031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3.5989</w:t>
            </w:r>
          </w:p>
        </w:tc>
      </w:tr>
      <w:tr w14:paraId="20DB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2B8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52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A76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719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1.7762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9E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625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4.7231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956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567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4.4728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DE0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3.7035</w:t>
            </w:r>
          </w:p>
        </w:tc>
      </w:tr>
      <w:tr w14:paraId="48707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CBD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E99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851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A15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1.8696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CD9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64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4.9075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F0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4.8028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FF1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4.6362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1C5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3.812</w:t>
            </w:r>
          </w:p>
        </w:tc>
      </w:tr>
      <w:tr w14:paraId="40236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54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FBC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283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1.8965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709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1.9692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7F7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CA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5.1028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85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21E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4.8082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1A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3.9244</w:t>
            </w:r>
          </w:p>
        </w:tc>
      </w:tr>
      <w:tr w14:paraId="6F077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FF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D95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F03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2.0058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48D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2.0754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F8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BC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5.3098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1E2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5.1857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9F6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AC6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4.041</w:t>
            </w:r>
          </w:p>
        </w:tc>
      </w:tr>
      <w:tr w14:paraId="51BA8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CFB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A9D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2.0555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C0A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97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2.1887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4C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62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5.5294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2F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5.3939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592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5.1805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50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4.1618</w:t>
            </w:r>
          </w:p>
        </w:tc>
      </w:tr>
      <w:tr w14:paraId="52EDB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F51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EDD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A1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A48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2.3094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176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2.1741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3DE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5.7627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45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5.6145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67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287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4.287</w:t>
            </w:r>
          </w:p>
        </w:tc>
      </w:tr>
      <w:tr w14:paraId="5A6EC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00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788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56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2.3847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50A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2.4382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83D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C68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6.0106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EDB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5.8482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1E8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5.5946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275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4.4166</w:t>
            </w:r>
          </w:p>
        </w:tc>
      </w:tr>
      <w:tr w14:paraId="3C82A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AA6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86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651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6B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2.5756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38C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E15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6.2744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336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6.0961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ECA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23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4.5508</w:t>
            </w:r>
          </w:p>
        </w:tc>
      </w:tr>
      <w:tr w14:paraId="58A7C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F2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8F7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C42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8D1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2.722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93A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E3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6.5553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141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6.3592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6C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6.0559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6D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4.6897</w:t>
            </w:r>
          </w:p>
        </w:tc>
      </w:tr>
      <w:tr w14:paraId="0EFC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B7E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28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99A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CC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2.8781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A87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01F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6.8547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673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784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6.3062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08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4.8332</w:t>
            </w:r>
          </w:p>
        </w:tc>
      </w:tr>
      <w:tr w14:paraId="4FE5B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F5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D7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2.9955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62B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23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3.0444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BD3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E57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7.1742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B19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4D9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1D9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4.9816</w:t>
            </w:r>
          </w:p>
        </w:tc>
      </w:tr>
      <w:tr w14:paraId="79F2A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D01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A7B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3.2005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7F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91C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3.2214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DF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420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AA6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7.2512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65F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C3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5.1347</w:t>
            </w:r>
          </w:p>
        </w:tc>
      </w:tr>
      <w:tr w14:paraId="1A3F9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FD9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B92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2E6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3.4419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481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3.4096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78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2.7818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81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7.8797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E43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CA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7.1452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2EF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5.2927</w:t>
            </w:r>
          </w:p>
        </w:tc>
      </w:tr>
      <w:tr w14:paraId="0A35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B1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CE6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3.6634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8F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3.6674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0B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3.6094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6AE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2.875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CD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8.2694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4A8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7.9442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BEB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7.4571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099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5.4555</w:t>
            </w:r>
          </w:p>
        </w:tc>
      </w:tr>
      <w:tr w14:paraId="7591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A2E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BC3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3.9243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BEF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3.9095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F66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3.8212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0A1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29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8.6863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E33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8.3244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51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3A9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5.623</w:t>
            </w:r>
          </w:p>
        </w:tc>
      </w:tr>
      <w:tr w14:paraId="53286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BD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31F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4.2068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C04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6DC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4.0451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9A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579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9.1325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EF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8.7289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F89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8.1342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1D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5.7953</w:t>
            </w:r>
          </w:p>
        </w:tc>
      </w:tr>
      <w:tr w14:paraId="137C5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FD8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2C1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14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4.4471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A9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4.2813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99D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3.1562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DF7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DA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9.1593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370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8.5009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DAC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5.972</w:t>
            </w:r>
          </w:p>
        </w:tc>
      </w:tr>
      <w:tr w14:paraId="61958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C3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4AA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4.8423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ECD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4.744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8E2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4.5295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691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3.2487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7BE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10.1214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40E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E0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8.8874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2C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6.1532</w:t>
            </w:r>
          </w:p>
        </w:tc>
      </w:tr>
      <w:tr w14:paraId="123B8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4EF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F4E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5.198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2E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18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4.7894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77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3.3396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695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10.6686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443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10.1033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72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9.2942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439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6.3385</w:t>
            </w:r>
          </w:p>
        </w:tc>
      </w:tr>
      <w:tr w14:paraId="7C0B7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79D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17E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5.5802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3C5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5.3953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62C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5.0601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E3E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3EF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11.2537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D32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10.6193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98E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9.7216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B2D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6.5277</w:t>
            </w:r>
          </w:p>
        </w:tc>
      </w:tr>
      <w:tr w14:paraId="68C9E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29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427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5.9894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1D6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5.7492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BD3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5.3405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9F0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C37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11.8788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760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11.1662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F7E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10.1697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E81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6.7205</w:t>
            </w:r>
          </w:p>
        </w:tc>
      </w:tr>
      <w:tr w14:paraId="7728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081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0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6.4253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71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6.1207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544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5.6288</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791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3.5945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93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12.5453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FDF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11.7444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CB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10.6385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D95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6.9164</w:t>
            </w:r>
          </w:p>
        </w:tc>
      </w:tr>
      <w:tr w14:paraId="41969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B55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C5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6.8868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EED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6.5077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259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5.9226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12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A15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13.2546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FB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F4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11.1272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14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7.1151</w:t>
            </w:r>
          </w:p>
        </w:tc>
      </w:tr>
      <w:tr w14:paraId="7CD5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305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0B2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908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6.9072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383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6.2191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5D3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42D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14.0068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868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12.9946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687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3C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7.316</w:t>
            </w:r>
          </w:p>
        </w:tc>
      </w:tr>
      <w:tr w14:paraId="6F54E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A0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375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7.8756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104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7.3152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9C5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6.5145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5FA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3.8036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5F1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14.8013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37F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13.6648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15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12.1602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C1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7.5186</w:t>
            </w:r>
          </w:p>
        </w:tc>
      </w:tr>
      <w:tr w14:paraId="5313D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FF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60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8.3932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D2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DF7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6.8043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08D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3.8585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E9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15.6363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195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14.3623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358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12.7009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EC1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7.7222</w:t>
            </w:r>
          </w:p>
        </w:tc>
      </w:tr>
      <w:tr w14:paraId="3E29B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EC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F7A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8.9161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8EB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8.1325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00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7.0831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3A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3.9043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1D3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16.5079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582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15.0836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8C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13.2541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E7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7.9263</w:t>
            </w:r>
          </w:p>
        </w:tc>
      </w:tr>
      <w:tr w14:paraId="4AFA5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CC6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32A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9.4338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77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8.5261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1D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7.345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ED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3.9399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B9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17.4105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F0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15.8237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25D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13.8165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524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8.1299</w:t>
            </w:r>
          </w:p>
        </w:tc>
      </w:tr>
      <w:tr w14:paraId="08620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93B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152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9.9329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EE2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8.8966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DBA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7.5834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5F9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EFB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18.3359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5A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16.5766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576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14.3838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05A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8.3325</w:t>
            </w:r>
          </w:p>
        </w:tc>
      </w:tr>
      <w:tr w14:paraId="305D0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83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04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10.3978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9EC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9.2327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C0A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7.7911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BA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3.9773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CEA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19.2737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732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17.3345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1C6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14.9513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53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8.5333</w:t>
            </w:r>
          </w:p>
        </w:tc>
      </w:tr>
      <w:tr w14:paraId="12915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50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76C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10.8106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4A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A9A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7.9613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79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3.9776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5A9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B1E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18.0884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84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15.5137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20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8.7314</w:t>
            </w:r>
          </w:p>
        </w:tc>
      </w:tr>
      <w:tr w14:paraId="4276A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127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7BA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11.1525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17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9.7522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3E8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8.087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069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AB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21.1326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BED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18.8284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4E7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16.0653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DCE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8.9261</w:t>
            </w:r>
          </w:p>
        </w:tc>
      </w:tr>
      <w:tr w14:paraId="5CF68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7D8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015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B22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9.9116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056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8.1623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92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B9E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22.0223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465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622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16.6004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4B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9.1166</w:t>
            </w:r>
          </w:p>
        </w:tc>
      </w:tr>
      <w:tr w14:paraId="2FB7B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B1D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C44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11.5516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11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9.9902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708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8.1825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7F7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3.8989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B1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22.8636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AE6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20.2249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1A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17.1135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E02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9.3022</w:t>
            </w:r>
          </w:p>
        </w:tc>
      </w:tr>
      <w:tr w14:paraId="7DED4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EBD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32F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11.5796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82F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84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8.1444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F70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3.8459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358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23.6412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6F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20.8616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127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17.5994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49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9.4821</w:t>
            </w:r>
          </w:p>
        </w:tc>
      </w:tr>
      <w:tr w14:paraId="32488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05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C6C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11.4823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95A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9.8806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1F4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8.0471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FA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3.7799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99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24.3425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CB7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21.4462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E03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18.0538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E0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9.6558</w:t>
            </w:r>
          </w:p>
        </w:tc>
      </w:tr>
      <w:tr w14:paraId="25DA9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85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8AE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11.2598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41E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171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7.8924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D64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3.7018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3A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24.9587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7CA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21.9729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A79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18.4735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781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9.8226</w:t>
            </w:r>
          </w:p>
        </w:tc>
      </w:tr>
      <w:tr w14:paraId="254FF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831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F3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10.9197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E6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9.4153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7B1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7.6846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049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3.6124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A78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25.4858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01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68E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18.8563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B8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9.9821</w:t>
            </w:r>
          </w:p>
        </w:tc>
      </w:tr>
      <w:tr w14:paraId="7925D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31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673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10.4774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062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9.0676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DB6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7.4308</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880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36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25.9245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2C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22.8431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96E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19.2013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641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10.1337</w:t>
            </w:r>
          </w:p>
        </w:tc>
      </w:tr>
      <w:tr w14:paraId="5F699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D9C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B9C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9.9556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D7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8.6627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95E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7.1411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D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BA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26.2804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9A6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23.1884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E1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19.5089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C3A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10.2772</w:t>
            </w:r>
          </w:p>
        </w:tc>
      </w:tr>
      <w:tr w14:paraId="44BD4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56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CD7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BB6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8.2209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01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6.8281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C4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16F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26.5625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5EF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23.4793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68D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19.7807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9DE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10.4123</w:t>
            </w:r>
          </w:p>
        </w:tc>
      </w:tr>
      <w:tr w14:paraId="1005E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BB2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42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8.7929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69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7.7666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811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6.5069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405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3.1729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AE4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26.7824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D20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23.7219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EE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20.0189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F96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10.5388</w:t>
            </w:r>
          </w:p>
        </w:tc>
      </w:tr>
      <w:tr w14:paraId="0A0F1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6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5CD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8.2246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47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7.3274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976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6.1943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CBF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3.0521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5F3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9BE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23.9234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65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20.2266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7F7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10.6566</w:t>
            </w:r>
          </w:p>
        </w:tc>
      </w:tr>
      <w:tr w14:paraId="307E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5EC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5CC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7.7194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5ED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390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5.9084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6A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2.9315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5BD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27.0871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1E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24.0913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10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20.4073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C74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10.7657</w:t>
            </w:r>
          </w:p>
        </w:tc>
      </w:tr>
      <w:tr w14:paraId="65B46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BCD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9B9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222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6.6131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EE9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5.6669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7F8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61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27.1967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D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451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20.5644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A8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10.866</w:t>
            </w:r>
          </w:p>
        </w:tc>
      </w:tr>
      <w:tr w14:paraId="5EBBF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1E0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2B8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7.0605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09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6.3936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A3C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5.4851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992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C4D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27.2922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B73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24.3552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8D4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20.7012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5F2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10.9576</w:t>
            </w:r>
          </w:p>
        </w:tc>
      </w:tr>
      <w:tr w14:paraId="62AF5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6D2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1A0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6.9679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95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6.2915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ED5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5.3737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D30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A1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27.3818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D6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24.4633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9B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20.8209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402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11.0406</w:t>
            </w:r>
          </w:p>
        </w:tc>
      </w:tr>
      <w:tr w14:paraId="6953A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35B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B3E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7.0456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F5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6.3111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1D6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5.3363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8D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CA4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27.4714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B26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24.5618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355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20.926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A5D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11.1151</w:t>
            </w:r>
          </w:p>
        </w:tc>
      </w:tr>
      <w:tr w14:paraId="6EF2E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923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AA6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7.2759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04B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6.4416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F08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5.3686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3B7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745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27.5643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44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24.6534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F7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21.0185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7BD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11.1813</w:t>
            </w:r>
          </w:p>
        </w:tc>
      </w:tr>
      <w:tr w14:paraId="1C391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BB6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93B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7.6238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1FC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6.6601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4B9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5.4588</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C0B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67C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27.6615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D5E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24.7395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85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21.0999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81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11.2393</w:t>
            </w:r>
          </w:p>
        </w:tc>
      </w:tr>
      <w:tr w14:paraId="4A5AC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4D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26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8.0453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E23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673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3F0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4C5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27.7612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42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24.8203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D28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21.1709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716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11.2892</w:t>
            </w:r>
          </w:p>
        </w:tc>
      </w:tr>
      <w:tr w14:paraId="1F214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9CF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93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8.4941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998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7.2363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438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5.7429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F76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A3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27.8601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B76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24.8945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280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21.2318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E8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11.3312</w:t>
            </w:r>
          </w:p>
        </w:tc>
      </w:tr>
      <w:tr w14:paraId="4BED5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80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1C0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8.9273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13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7.5297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814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5.8981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1E0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2.1723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FE4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27.9529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C9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24.9603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0E2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21.2826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509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11.3653</w:t>
            </w:r>
          </w:p>
        </w:tc>
      </w:tr>
      <w:tr w14:paraId="44825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AD2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1B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9.3067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62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7.7884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25D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6.0382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73B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DF9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28.0339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36B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25.0152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48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21.3229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457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11.3918</w:t>
            </w:r>
          </w:p>
        </w:tc>
      </w:tr>
      <w:tr w14:paraId="6612E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B10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A75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9.6014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A6B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C87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6.149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4C0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932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28.0969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B4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25.0567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393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21.3522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BA4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11.4106</w:t>
            </w:r>
          </w:p>
        </w:tc>
      </w:tr>
      <w:tr w14:paraId="707E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1C6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90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9.7879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FD7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8.1178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2A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6.2198</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41D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650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28.1371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D14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25.0826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123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AA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11.4219</w:t>
            </w:r>
          </w:p>
        </w:tc>
      </w:tr>
      <w:tr w14:paraId="0C9D7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F80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8E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9.8517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E7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8.1616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584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6.2441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69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327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28.1508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93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25.0914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5C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21.3759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B8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11.4257</w:t>
            </w:r>
          </w:p>
        </w:tc>
      </w:tr>
      <w:tr w14:paraId="50D13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706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00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9.7879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933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8.1178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0B4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6.2198</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2AB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48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28.1371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EB5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25.0826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A79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7A6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11.4219</w:t>
            </w:r>
          </w:p>
        </w:tc>
      </w:tr>
      <w:tr w14:paraId="107E8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CF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54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9.6014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DD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9AD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6.149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81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31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28.0969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7D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25.0567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816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21.3522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7DE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11.4106</w:t>
            </w:r>
          </w:p>
        </w:tc>
      </w:tr>
      <w:tr w14:paraId="54ABD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DC6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A31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9.3067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B7D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7.7884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8F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6.0382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878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749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28.0339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B3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25.0152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A23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21.3229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C3A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11.3918</w:t>
            </w:r>
          </w:p>
        </w:tc>
      </w:tr>
      <w:tr w14:paraId="673C6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141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E0E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8.9273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295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7.5297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530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5.8981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346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2.1723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BB9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27.9529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9EE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24.9603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145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21.2826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24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11.3653</w:t>
            </w:r>
          </w:p>
        </w:tc>
      </w:tr>
      <w:tr w14:paraId="2F8E2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FE3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4B6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8.4941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F68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7.2363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5D7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5.7429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4F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A6E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27.8601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EC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24.8945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7E2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21.2318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52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11.3312</w:t>
            </w:r>
          </w:p>
        </w:tc>
      </w:tr>
      <w:tr w14:paraId="53C6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648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460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8.0453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906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01F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5EF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78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27.7612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895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24.8203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6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21.1709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87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11.2892</w:t>
            </w:r>
          </w:p>
        </w:tc>
      </w:tr>
      <w:tr w14:paraId="46053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BF2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5DC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7.6238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994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6.6601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B8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5.4588</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9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C8E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27.6615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683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24.7395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497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21.0999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90B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11.2393</w:t>
            </w:r>
          </w:p>
        </w:tc>
      </w:tr>
      <w:tr w14:paraId="4DA00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685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3A1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7.2759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A6F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6.4416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49F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5.3686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52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172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27.5643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B03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24.6534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9A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21.0185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2BF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11.1813</w:t>
            </w:r>
          </w:p>
        </w:tc>
      </w:tr>
      <w:tr w14:paraId="7CF70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C6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A7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7.0456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46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6.3111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2A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5.3363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34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B81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27.4714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EE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24.5618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BD7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20.926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29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11.1151</w:t>
            </w:r>
          </w:p>
        </w:tc>
      </w:tr>
      <w:tr w14:paraId="5B1AB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58D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876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6.9679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92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6.2915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85B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5.3737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40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28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27.3818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45D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24.4633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7D1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20.8209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7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11.0406</w:t>
            </w:r>
          </w:p>
        </w:tc>
      </w:tr>
      <w:tr w14:paraId="30AAA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12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406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7.0605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056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6.3936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2C8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5.4851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AFB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392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27.2922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79A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24.3552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0B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20.7012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71B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10.9576</w:t>
            </w:r>
          </w:p>
        </w:tc>
      </w:tr>
      <w:tr w14:paraId="5495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AE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439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E22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6.6131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C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5.6669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1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D21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27.1967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B05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4CF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20.5644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CB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10.866</w:t>
            </w:r>
          </w:p>
        </w:tc>
      </w:tr>
      <w:tr w14:paraId="39640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CB6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C02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7.7194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4C5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BF1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5.9084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117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2.9315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CD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27.0871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B2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24.0913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43B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20.4073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BF6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10.7657</w:t>
            </w:r>
          </w:p>
        </w:tc>
      </w:tr>
      <w:tr w14:paraId="262B7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AC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9D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8.2246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2CA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7.3274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68B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6.1943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8F3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3.0521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9BF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FC4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23.9234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024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20.2266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1DF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10.6566</w:t>
            </w:r>
          </w:p>
        </w:tc>
      </w:tr>
      <w:tr w14:paraId="76FC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C4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2AF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8.7929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3E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7.7666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061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6.5069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92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3.1729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89C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26.7824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361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23.7219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FBD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20.0189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EC8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10.5388</w:t>
            </w:r>
          </w:p>
        </w:tc>
      </w:tr>
      <w:tr w14:paraId="4B78D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080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597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9.3827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57F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8.2209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14D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6.8281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AAC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16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26.5625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3F1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23.4793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90A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19.7807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387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10.4123</w:t>
            </w:r>
          </w:p>
        </w:tc>
      </w:tr>
      <w:tr w14:paraId="7F652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6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C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9.9556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7A6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8.6627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F5C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7.1411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38C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190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26.2804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16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23.1884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05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19.5089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16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10.2772</w:t>
            </w:r>
          </w:p>
        </w:tc>
      </w:tr>
      <w:tr w14:paraId="1100F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EA5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2F3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10.4774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64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9.0676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692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7.4308</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11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FC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25.9245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523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22.8431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F2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19.2013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08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10.1337</w:t>
            </w:r>
          </w:p>
        </w:tc>
      </w:tr>
      <w:tr w14:paraId="285BA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6BF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4F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10.9197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66C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9.4153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2BC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7.6846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D2E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3.6124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D1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25.4858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D9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91C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18.8563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4CA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9.9821</w:t>
            </w:r>
          </w:p>
        </w:tc>
      </w:tr>
      <w:tr w14:paraId="0FE5B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FBB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20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11.2598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01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52C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7.8924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195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3.7018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3DC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24.9587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F5F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21.9729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585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18.4735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BA6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9.8226</w:t>
            </w:r>
          </w:p>
        </w:tc>
      </w:tr>
      <w:tr w14:paraId="15EDB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4B4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82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11.4823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C55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9.8806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27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8.0471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0A8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3.7799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EA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24.3425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44E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21.4462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298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18.0538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98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9.6558</w:t>
            </w:r>
          </w:p>
        </w:tc>
      </w:tr>
      <w:tr w14:paraId="403F6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61C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3A7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11.5796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301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A2F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8.1444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279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3.8459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EDB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23.6412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FB9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20.8616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D9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17.5994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7F4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9.4821</w:t>
            </w:r>
          </w:p>
        </w:tc>
      </w:tr>
      <w:tr w14:paraId="1B140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906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AC9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11.5516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DAA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9.9902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9D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8.1825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E46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3.8989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37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22.8636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236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20.2249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B9B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17.1135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5F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9.3022</w:t>
            </w:r>
          </w:p>
        </w:tc>
      </w:tr>
      <w:tr w14:paraId="24E73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87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B5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69A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9.9116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A6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8.1623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DC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B0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22.0223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991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12F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16.6004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138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9.1166</w:t>
            </w:r>
          </w:p>
        </w:tc>
      </w:tr>
      <w:tr w14:paraId="35EA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749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BFD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11.1525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1B1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9.7522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F9F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8.087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94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0C6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21.1326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3DA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18.8284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324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16.0653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D9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8.9261</w:t>
            </w:r>
          </w:p>
        </w:tc>
      </w:tr>
      <w:tr w14:paraId="76D34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678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AD5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10.8106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11D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CC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7.9613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C9F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3.9776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970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FE4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18.0884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7B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15.5137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E5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8.7314</w:t>
            </w:r>
          </w:p>
        </w:tc>
      </w:tr>
      <w:tr w14:paraId="45C76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5D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3F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10.3978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6D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9.2327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BE9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7.7911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C5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3.9773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D6D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19.2737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37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17.3345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BC1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14.9513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FDF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8.5333</w:t>
            </w:r>
          </w:p>
        </w:tc>
      </w:tr>
      <w:tr w14:paraId="65E3E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12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6EB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9.9329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B5E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8.8966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D8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7.5834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0C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A08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18.3359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F8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16.5766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B43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14.3838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C5B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8.3325</w:t>
            </w:r>
          </w:p>
        </w:tc>
      </w:tr>
      <w:tr w14:paraId="2FE0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EE1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AAE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9.4338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FC6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8.5261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27D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7.345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6B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3.9399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1D7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17.4105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C18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15.8237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A85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13.8165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42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8.1299</w:t>
            </w:r>
          </w:p>
        </w:tc>
      </w:tr>
      <w:tr w14:paraId="3836C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666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003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8.9161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A7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8.1325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A6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7.0831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1B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3.9043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610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16.5079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41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15.0836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135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13.2541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C31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7.9263</w:t>
            </w:r>
          </w:p>
        </w:tc>
      </w:tr>
      <w:tr w14:paraId="1643A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B6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1D3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8.3932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D1C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703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6.8043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119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3.8585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883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15.6363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415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14.3623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A90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12.7009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C27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7.7222</w:t>
            </w:r>
          </w:p>
        </w:tc>
      </w:tr>
      <w:tr w14:paraId="6508E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5B8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5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7.8756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F8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7.3152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961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6.5145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48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3.8036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DD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14.8013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B0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13.6648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BD6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12.1602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F74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7.5186</w:t>
            </w:r>
          </w:p>
        </w:tc>
      </w:tr>
      <w:tr w14:paraId="6F8E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204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42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1E9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6.9072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7B9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6.2191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9E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26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14.0068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2C7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12.9946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6BA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756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7.316</w:t>
            </w:r>
          </w:p>
        </w:tc>
      </w:tr>
      <w:tr w14:paraId="6A487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E0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1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6.8868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BA4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6.5077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4A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5.9226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7AC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985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13.2546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2C2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4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11.1272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2B9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7.1151</w:t>
            </w:r>
          </w:p>
        </w:tc>
      </w:tr>
      <w:tr w14:paraId="51C0A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09F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F9D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6.4253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1AC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6.1207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ADC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5.6288</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6F4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3.5945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89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12.5453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57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11.7444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470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10.6385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097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6.9164</w:t>
            </w:r>
          </w:p>
        </w:tc>
      </w:tr>
      <w:tr w14:paraId="70323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976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02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5.9894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E9C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5.7492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D35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5.3405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63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57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11.8788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481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11.1662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2E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10.1697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CC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6.7205</w:t>
            </w:r>
          </w:p>
        </w:tc>
      </w:tr>
      <w:tr w14:paraId="0B684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D5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88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5.5802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BE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5.3953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F94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5.0601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43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770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11.2537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40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10.6193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504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9.7216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45E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6.5277</w:t>
            </w:r>
          </w:p>
        </w:tc>
      </w:tr>
      <w:tr w14:paraId="1E896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53F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4F0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5.198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C99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B09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4.7894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9A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3.3396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91E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10.6686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C9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10.1033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74D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9.2942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62C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6.3385</w:t>
            </w:r>
          </w:p>
        </w:tc>
      </w:tr>
      <w:tr w14:paraId="2C9E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02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E7E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4.8423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E3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4.744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3E6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4.5295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31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3.2487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E1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10.1214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028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07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8.8874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367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6.1532</w:t>
            </w:r>
          </w:p>
        </w:tc>
      </w:tr>
      <w:tr w14:paraId="35639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89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9E0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586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4.4471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D3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4.2813</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EAF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3.1562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CA2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149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9.1593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392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8.5009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AE3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5.972</w:t>
            </w:r>
          </w:p>
        </w:tc>
      </w:tr>
      <w:tr w14:paraId="443A2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C0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89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4.2068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330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84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4.0451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C41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F26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9.1325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3B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8.7289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D45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8.1342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E48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5.7953</w:t>
            </w:r>
          </w:p>
        </w:tc>
      </w:tr>
      <w:tr w14:paraId="77396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84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AFE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3.9243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CB5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3.9095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B6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3.8212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16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BA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8.6863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E07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8.3244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92B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DF9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5.623</w:t>
            </w:r>
          </w:p>
        </w:tc>
      </w:tr>
      <w:tr w14:paraId="05203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93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72A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3.6634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C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3.6674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B8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3.6094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623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2.875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C2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8.2694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8D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7.9442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AC9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7.4571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DA8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5.4555</w:t>
            </w:r>
          </w:p>
        </w:tc>
      </w:tr>
      <w:tr w14:paraId="167A0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EF4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08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613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3.4419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F1A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3.4096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5C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2.7818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EB2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7.8797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04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360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7.1452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92A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5.2927</w:t>
            </w:r>
          </w:p>
        </w:tc>
      </w:tr>
      <w:tr w14:paraId="2D436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48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CF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3.2005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8F7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9AF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3.2214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16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634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E99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7.2512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D6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5B6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5.1347</w:t>
            </w:r>
          </w:p>
        </w:tc>
      </w:tr>
      <w:tr w14:paraId="284F4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5F0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A77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2.9955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85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7C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3.0444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57A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17A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7.1742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FC3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323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44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4.9816</w:t>
            </w:r>
          </w:p>
        </w:tc>
      </w:tr>
      <w:tr w14:paraId="5F3BC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71F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EF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2.8063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ACA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3DA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2.8781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D4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28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6.8547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35C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CFF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6.3062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0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4.8332</w:t>
            </w:r>
          </w:p>
        </w:tc>
      </w:tr>
      <w:tr w14:paraId="45833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125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40F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1F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15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2.722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4D5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9CE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6.5553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7A4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6.3592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45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6.0559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E2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4.6897</w:t>
            </w:r>
          </w:p>
        </w:tc>
      </w:tr>
      <w:tr w14:paraId="44077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FEA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F4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91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7ED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2.5756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6E3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07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6.2744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EFF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6.0961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12D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A6E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4.5508</w:t>
            </w:r>
          </w:p>
        </w:tc>
      </w:tr>
      <w:tr w14:paraId="4743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F0F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90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07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2.3847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79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2.4382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A7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86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6.0106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4C8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5.8482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B8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5.5946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1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4.4166</w:t>
            </w:r>
          </w:p>
        </w:tc>
      </w:tr>
      <w:tr w14:paraId="42C7D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3D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37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3C1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29C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2.3094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60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2.1741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D0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5.7627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9B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5.6145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10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9E8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4.287</w:t>
            </w:r>
          </w:p>
        </w:tc>
      </w:tr>
      <w:tr w14:paraId="4CC89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A3C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8F9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2.0555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C4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6AA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2.1887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823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3E8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5.5294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969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5.3939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C4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5.1805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4C3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4.1618</w:t>
            </w:r>
          </w:p>
        </w:tc>
      </w:tr>
      <w:tr w14:paraId="130B6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117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75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592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2.0058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549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2.0754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00A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BA8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5.3098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DB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5.1857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85B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FB8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4.041</w:t>
            </w:r>
          </w:p>
        </w:tc>
      </w:tr>
      <w:tr w14:paraId="43014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69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93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EB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1.8965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E6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1.9692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5F4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558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5.1028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0C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4.9889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46C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4.8082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DE5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3.9244</w:t>
            </w:r>
          </w:p>
        </w:tc>
      </w:tr>
      <w:tr w14:paraId="00A26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EA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579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184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6D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1.8696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759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C51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4.9075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1FD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4.8028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3E1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4.6362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A19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3.812</w:t>
            </w:r>
          </w:p>
        </w:tc>
      </w:tr>
      <w:tr w14:paraId="0828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D3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2F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17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7A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1.7762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4D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D0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4.7231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0C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D6B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4.4728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280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3.7035</w:t>
            </w:r>
          </w:p>
        </w:tc>
      </w:tr>
      <w:tr w14:paraId="29EB7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1C3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41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7E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2C5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1.6885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22F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D80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4.5487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62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4.4599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D84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4.3176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803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3.5989</w:t>
            </w:r>
          </w:p>
        </w:tc>
      </w:tr>
      <w:tr w14:paraId="760E5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851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9D0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B2F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7D0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1.6061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C8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2A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4.3838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D36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4.3017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720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2E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3.4981</w:t>
            </w:r>
          </w:p>
        </w:tc>
      </w:tr>
      <w:tr w14:paraId="45120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98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02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F1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B9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1.5287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C83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45B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4.2276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A34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4.1517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E0A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4.0296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60D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3.4008</w:t>
            </w:r>
          </w:p>
        </w:tc>
      </w:tr>
      <w:tr w14:paraId="46F31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D46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27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D80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1.3782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1F9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F14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70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95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EE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3.8959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C32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3.307</w:t>
            </w:r>
          </w:p>
        </w:tc>
      </w:tr>
      <w:tr w14:paraId="7445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FC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9B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63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8B5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1.3875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7EE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035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3.9392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F88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D5E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3.7685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C1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3.2166</w:t>
            </w:r>
          </w:p>
        </w:tc>
      </w:tr>
      <w:tr w14:paraId="33D37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FCD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B5E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432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91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1.3232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D8A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B7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3.8059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8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1A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3.6472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DF7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3.1294</w:t>
            </w:r>
          </w:p>
        </w:tc>
      </w:tr>
      <w:tr w14:paraId="62B05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E7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54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781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098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1.2626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DBA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28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3.6793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22F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3.6229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0F7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3.5314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AA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3.0453</w:t>
            </w:r>
          </w:p>
        </w:tc>
      </w:tr>
      <w:tr w14:paraId="1322F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567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D51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CF8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11E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1.2055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0D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FC4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3.5588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7BF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3.5064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5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DE3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2.9643</w:t>
            </w:r>
          </w:p>
        </w:tc>
      </w:tr>
      <w:tr w14:paraId="74FF4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A51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6D5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097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4AD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1.1516</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F6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C7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3.4442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A22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3.3953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BCE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3.3156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077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2.886</w:t>
            </w:r>
          </w:p>
        </w:tc>
      </w:tr>
      <w:tr w14:paraId="17436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C7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C0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0.9733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33D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1.0293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8A7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1.1009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D85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26A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518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3.2894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C1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F5F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2.8106</w:t>
            </w:r>
          </w:p>
        </w:tc>
      </w:tr>
      <w:tr w14:paraId="4D64E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BC5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E39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0.9283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B7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F15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1.0529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93C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DB8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C1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3.1883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A6F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412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2.7378</w:t>
            </w:r>
          </w:p>
        </w:tc>
      </w:tr>
      <w:tr w14:paraId="25884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E39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1E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0.8861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501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0.9391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766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1.0077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4B4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CCD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3.1318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A2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3.0918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C01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3.0264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74D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2.6676</w:t>
            </w:r>
          </w:p>
        </w:tc>
      </w:tr>
      <w:tr w14:paraId="5450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AAE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FA2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0.8464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BF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0.8978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1CE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0.9649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37F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56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D8E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2.9996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1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2.9383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1EB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2.5998</w:t>
            </w:r>
          </w:p>
        </w:tc>
      </w:tr>
      <w:tr w14:paraId="5A28A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3F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3E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3F8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4D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0.9245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98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2C5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2.9466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82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2.9115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84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F4E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2.5343</w:t>
            </w:r>
          </w:p>
        </w:tc>
      </w:tr>
      <w:tr w14:paraId="27F58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67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67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0.7738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C8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89A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0.8862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D4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425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31C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2.8272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19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B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2.4712</w:t>
            </w:r>
          </w:p>
        </w:tc>
      </w:tr>
      <w:tr w14:paraId="3F314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A1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35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0.7405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C04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0.7876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1DE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C1D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EEC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F96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2.7464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57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F8F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2.4102</w:t>
            </w:r>
          </w:p>
        </w:tc>
      </w:tr>
      <w:tr w14:paraId="212F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3C2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DA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0.7092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E3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0.7549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E5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0.8157</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C9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4E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87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8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F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2.3512</w:t>
            </w:r>
          </w:p>
        </w:tc>
      </w:tr>
      <w:tr w14:paraId="69B90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CB1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0EB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0.6796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65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0.7239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7AC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0.7832</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006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0.9472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51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E69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8FC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E64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2.2943</w:t>
            </w:r>
          </w:p>
        </w:tc>
      </w:tr>
      <w:tr w14:paraId="6ED1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13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A1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0.6516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F67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0.6946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1E6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0.7524</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6C8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0.9156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C1F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8EE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5F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6BD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2.2393</w:t>
            </w:r>
          </w:p>
        </w:tc>
      </w:tr>
      <w:tr w14:paraId="3A855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8B72C2">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最大值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A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11.5796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6F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9.9902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4D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8.1825</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10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3.9776</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07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28.1508</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D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25.0914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80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21.3759</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AF0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11.4257</w:t>
            </w:r>
          </w:p>
        </w:tc>
      </w:tr>
      <w:tr w14:paraId="6AF79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6E56">
            <w:pPr>
              <w:pStyle w:val="40"/>
              <w:ind w:firstLine="0" w:firstLineChars="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b w:val="0"/>
                <w:bCs/>
                <w:color w:val="000000" w:themeColor="text1"/>
                <w:szCs w:val="21"/>
                <w:highlight w:val="none"/>
                <w14:textFill>
                  <w14:solidFill>
                    <w14:schemeClr w14:val="tx1"/>
                  </w14:solidFill>
                </w14:textFill>
              </w:rPr>
              <w:t>边导线位置的值（</w:t>
            </w:r>
            <w:r>
              <w:rPr>
                <w:rFonts w:hint="eastAsia"/>
                <w:b w:val="0"/>
                <w:bCs/>
                <w:color w:val="000000" w:themeColor="text1"/>
                <w:szCs w:val="21"/>
                <w:highlight w:val="none"/>
                <w:lang w:val="en-US" w:eastAsia="zh-CN"/>
                <w14:textFill>
                  <w14:solidFill>
                    <w14:schemeClr w14:val="tx1"/>
                  </w14:solidFill>
                </w14:textFill>
              </w:rPr>
              <w:t>21.1</w:t>
            </w:r>
            <w:r>
              <w:rPr>
                <w:rFonts w:hint="eastAsia"/>
                <w:b w:val="0"/>
                <w:bCs/>
                <w:color w:val="000000" w:themeColor="text1"/>
                <w:szCs w:val="21"/>
                <w:highlight w:val="none"/>
                <w14:textFill>
                  <w14:solidFill>
                    <w14:schemeClr w14:val="tx1"/>
                  </w14:solidFill>
                </w14:textFill>
              </w:rPr>
              <w:t>m，按</w:t>
            </w:r>
            <w:r>
              <w:rPr>
                <w:rFonts w:hint="eastAsia"/>
                <w:b w:val="0"/>
                <w:bCs/>
                <w:color w:val="000000" w:themeColor="text1"/>
                <w:szCs w:val="21"/>
                <w:highlight w:val="none"/>
                <w:lang w:val="en-US" w:eastAsia="zh-CN"/>
                <w14:textFill>
                  <w14:solidFill>
                    <w14:schemeClr w14:val="tx1"/>
                  </w14:solidFill>
                </w14:textFill>
              </w:rPr>
              <w:t>21.5</w:t>
            </w:r>
            <w:r>
              <w:rPr>
                <w:rFonts w:hint="eastAsia"/>
                <w:b w:val="0"/>
                <w:bCs/>
                <w:color w:val="000000" w:themeColor="text1"/>
                <w:szCs w:val="21"/>
                <w:highlight w:val="none"/>
                <w14:textFill>
                  <w14:solidFill>
                    <w14:schemeClr w14:val="tx1"/>
                  </w14:solidFill>
                </w14:textFill>
              </w:rPr>
              <w:t>m选取）</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17A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11.5468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09D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9.9422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C81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8.1031</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7D6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B2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24.0021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02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21.1609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B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17.8308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4F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9.5698</w:t>
            </w:r>
          </w:p>
        </w:tc>
      </w:tr>
      <w:tr w14:paraId="2A5DF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5E57">
            <w:pPr>
              <w:pStyle w:val="40"/>
              <w:ind w:firstLine="0" w:firstLineChars="0"/>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b w:val="0"/>
                <w:bCs/>
                <w:color w:val="000000" w:themeColor="text1"/>
                <w:szCs w:val="21"/>
                <w:highlight w:val="none"/>
                <w14:textFill>
                  <w14:solidFill>
                    <w14:schemeClr w14:val="tx1"/>
                  </w14:solidFill>
                </w14:textFill>
              </w:rPr>
              <w:t>边导线地面投影外两侧各50m范围的值（</w:t>
            </w:r>
            <w:r>
              <w:rPr>
                <w:rFonts w:hint="eastAsia"/>
                <w:b w:val="0"/>
                <w:bCs/>
                <w:color w:val="000000" w:themeColor="text1"/>
                <w:szCs w:val="21"/>
                <w:highlight w:val="none"/>
                <w:lang w:val="en-US" w:eastAsia="zh-CN"/>
                <w14:textFill>
                  <w14:solidFill>
                    <w14:schemeClr w14:val="tx1"/>
                  </w14:solidFill>
                </w14:textFill>
              </w:rPr>
              <w:t>71.1</w:t>
            </w:r>
            <w:r>
              <w:rPr>
                <w:rFonts w:hint="eastAsia"/>
                <w:b w:val="0"/>
                <w:bCs/>
                <w:color w:val="000000" w:themeColor="text1"/>
                <w:szCs w:val="21"/>
                <w:highlight w:val="none"/>
                <w14:textFill>
                  <w14:solidFill>
                    <w14:schemeClr w14:val="tx1"/>
                  </w14:solidFill>
                </w14:textFill>
              </w:rPr>
              <w:t>m，按7</w:t>
            </w:r>
            <w:r>
              <w:rPr>
                <w:rFonts w:hint="eastAsia"/>
                <w:b w:val="0"/>
                <w:bCs/>
                <w:color w:val="000000" w:themeColor="text1"/>
                <w:szCs w:val="21"/>
                <w:highlight w:val="none"/>
                <w:lang w:val="en-US" w:eastAsia="zh-CN"/>
                <w14:textFill>
                  <w14:solidFill>
                    <w14:schemeClr w14:val="tx1"/>
                  </w14:solidFill>
                </w14:textFill>
              </w:rPr>
              <w:t>1.5</w:t>
            </w:r>
            <w:r>
              <w:rPr>
                <w:rFonts w:hint="eastAsia"/>
                <w:b w:val="0"/>
                <w:bCs/>
                <w:color w:val="000000" w:themeColor="text1"/>
                <w:szCs w:val="21"/>
                <w:highlight w:val="none"/>
                <w14:textFill>
                  <w14:solidFill>
                    <w14:schemeClr w14:val="tx1"/>
                  </w14:solidFill>
                </w14:textFill>
              </w:rPr>
              <w:t>m选取）</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9ED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0.7569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0D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0.8047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72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0.8679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D7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87E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F8D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2.7864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0DC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2.7338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206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2.4404</w:t>
            </w:r>
          </w:p>
        </w:tc>
      </w:tr>
      <w:tr w14:paraId="1959A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63E6F9">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标准限值</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5054E9">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3B6380">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5B0F81">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4</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DB769C">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4</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102B75">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6331FF">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A2F559">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83F19A">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r>
    </w:tbl>
    <w:p w14:paraId="5989C7B7">
      <w:pPr>
        <w:snapToGrid w:val="0"/>
        <w:ind w:firstLine="482"/>
        <w:rPr>
          <w:b/>
          <w:bCs/>
          <w:color w:val="000000" w:themeColor="text1"/>
          <w14:textFill>
            <w14:solidFill>
              <w14:schemeClr w14:val="tx1"/>
            </w14:solidFill>
          </w14:textFill>
        </w:rPr>
      </w:pPr>
    </w:p>
    <w:tbl>
      <w:tblPr>
        <w:tblStyle w:val="2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6"/>
        <w:gridCol w:w="4253"/>
      </w:tblGrid>
      <w:tr w14:paraId="00CB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2" w:type="pct"/>
          </w:tcPr>
          <w:p w14:paraId="15BF9FC9">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7780" cy="1508125"/>
                  <wp:effectExtent l="0" t="0" r="13970" b="1587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55"/>
                          <a:stretch>
                            <a:fillRect/>
                          </a:stretch>
                        </pic:blipFill>
                        <pic:spPr>
                          <a:xfrm>
                            <a:off x="0" y="0"/>
                            <a:ext cx="2557780" cy="1508125"/>
                          </a:xfrm>
                          <a:prstGeom prst="rect">
                            <a:avLst/>
                          </a:prstGeom>
                          <a:noFill/>
                          <a:ln>
                            <a:noFill/>
                          </a:ln>
                        </pic:spPr>
                      </pic:pic>
                    </a:graphicData>
                  </a:graphic>
                </wp:inline>
              </w:drawing>
            </w:r>
          </w:p>
        </w:tc>
        <w:tc>
          <w:tcPr>
            <w:tcW w:w="2497" w:type="pct"/>
          </w:tcPr>
          <w:p w14:paraId="73618F80">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46985" cy="1508125"/>
                  <wp:effectExtent l="0" t="0" r="5715" b="15875"/>
                  <wp:docPr id="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56"/>
                          <a:stretch>
                            <a:fillRect/>
                          </a:stretch>
                        </pic:blipFill>
                        <pic:spPr>
                          <a:xfrm>
                            <a:off x="0" y="0"/>
                            <a:ext cx="2546985" cy="1508125"/>
                          </a:xfrm>
                          <a:prstGeom prst="rect">
                            <a:avLst/>
                          </a:prstGeom>
                          <a:noFill/>
                          <a:ln>
                            <a:noFill/>
                          </a:ln>
                        </pic:spPr>
                      </pic:pic>
                    </a:graphicData>
                  </a:graphic>
                </wp:inline>
              </w:drawing>
            </w:r>
          </w:p>
        </w:tc>
      </w:tr>
      <w:tr w14:paraId="37CF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2" w:type="pct"/>
            <w:vAlign w:val="center"/>
          </w:tcPr>
          <w:p w14:paraId="0791997D">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2497" w:type="pct"/>
            <w:vAlign w:val="center"/>
          </w:tcPr>
          <w:p w14:paraId="77BA0E99">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4ECF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1C2B93BC">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color w:val="000000" w:themeColor="text1"/>
                <w:kern w:val="0"/>
                <w:sz w:val="21"/>
                <w:szCs w:val="21"/>
                <w:lang w:bidi="ar"/>
                <w14:textFill>
                  <w14:solidFill>
                    <w14:schemeClr w14:val="tx1"/>
                  </w14:solidFill>
                </w14:textFill>
              </w:rPr>
              <w:t>15.5m</w:t>
            </w:r>
            <w:r>
              <w:rPr>
                <w:rFonts w:hint="eastAsia" w:ascii="宋体" w:hAnsi="宋体" w:cs="宋体"/>
                <w:color w:val="000000" w:themeColor="text1"/>
                <w:kern w:val="0"/>
                <w:sz w:val="21"/>
                <w:szCs w:val="21"/>
                <w:lang w:bidi="ar"/>
                <w14:textFill>
                  <w14:solidFill>
                    <w14:schemeClr w14:val="tx1"/>
                  </w14:solidFill>
                </w14:textFill>
              </w:rPr>
              <w:t>时（非居民区）地面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r w14:paraId="1CEE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2502" w:type="pct"/>
          </w:tcPr>
          <w:p w14:paraId="0025D3C1">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4605" cy="1508125"/>
                  <wp:effectExtent l="0" t="0" r="17145" b="15875"/>
                  <wp:docPr id="5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8"/>
                          <pic:cNvPicPr>
                            <a:picLocks noChangeAspect="1"/>
                          </pic:cNvPicPr>
                        </pic:nvPicPr>
                        <pic:blipFill>
                          <a:blip r:embed="rId57"/>
                          <a:stretch>
                            <a:fillRect/>
                          </a:stretch>
                        </pic:blipFill>
                        <pic:spPr>
                          <a:xfrm>
                            <a:off x="0" y="0"/>
                            <a:ext cx="2554605" cy="1508125"/>
                          </a:xfrm>
                          <a:prstGeom prst="rect">
                            <a:avLst/>
                          </a:prstGeom>
                          <a:noFill/>
                          <a:ln>
                            <a:noFill/>
                          </a:ln>
                        </pic:spPr>
                      </pic:pic>
                    </a:graphicData>
                  </a:graphic>
                </wp:inline>
              </w:drawing>
            </w:r>
          </w:p>
        </w:tc>
        <w:tc>
          <w:tcPr>
            <w:tcW w:w="2497" w:type="pct"/>
          </w:tcPr>
          <w:p w14:paraId="46393D39">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0795" cy="1508125"/>
                  <wp:effectExtent l="0" t="0" r="1905" b="15875"/>
                  <wp:docPr id="5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9"/>
                          <pic:cNvPicPr>
                            <a:picLocks noChangeAspect="1"/>
                          </pic:cNvPicPr>
                        </pic:nvPicPr>
                        <pic:blipFill>
                          <a:blip r:embed="rId58"/>
                          <a:stretch>
                            <a:fillRect/>
                          </a:stretch>
                        </pic:blipFill>
                        <pic:spPr>
                          <a:xfrm>
                            <a:off x="0" y="0"/>
                            <a:ext cx="2550795" cy="1508125"/>
                          </a:xfrm>
                          <a:prstGeom prst="rect">
                            <a:avLst/>
                          </a:prstGeom>
                          <a:noFill/>
                          <a:ln>
                            <a:noFill/>
                          </a:ln>
                        </pic:spPr>
                      </pic:pic>
                    </a:graphicData>
                  </a:graphic>
                </wp:inline>
              </w:drawing>
            </w:r>
          </w:p>
        </w:tc>
      </w:tr>
      <w:tr w14:paraId="3F23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2" w:type="pct"/>
            <w:vAlign w:val="center"/>
          </w:tcPr>
          <w:p w14:paraId="0731CE7D">
            <w:pPr>
              <w:widowControl/>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2497" w:type="pct"/>
            <w:vAlign w:val="center"/>
          </w:tcPr>
          <w:p w14:paraId="1CCB5260">
            <w:pPr>
              <w:snapToGrid w:val="0"/>
              <w:spacing w:line="240" w:lineRule="auto"/>
              <w:ind w:firstLine="0" w:firstLineChars="0"/>
              <w:jc w:val="center"/>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70B8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tcPr>
          <w:p w14:paraId="6128AE6C">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rFonts w:hint="eastAsia"/>
                <w:color w:val="000000" w:themeColor="text1"/>
                <w:kern w:val="0"/>
                <w:sz w:val="21"/>
                <w:szCs w:val="21"/>
                <w:lang w:val="en-US" w:eastAsia="zh-CN" w:bidi="ar"/>
                <w14:textFill>
                  <w14:solidFill>
                    <w14:schemeClr w14:val="tx1"/>
                  </w14:solidFill>
                </w14:textFill>
              </w:rPr>
              <w:t>17.1</w:t>
            </w:r>
            <w:r>
              <w:rPr>
                <w:color w:val="000000" w:themeColor="text1"/>
                <w:kern w:val="0"/>
                <w:sz w:val="21"/>
                <w:szCs w:val="21"/>
                <w:lang w:bidi="ar"/>
                <w14:textFill>
                  <w14:solidFill>
                    <w14:schemeClr w14:val="tx1"/>
                  </w14:solidFill>
                </w14:textFill>
              </w:rPr>
              <w:t>m</w:t>
            </w:r>
            <w:r>
              <w:rPr>
                <w:rFonts w:hint="eastAsia" w:ascii="宋体" w:hAnsi="宋体" w:cs="宋体"/>
                <w:color w:val="000000" w:themeColor="text1"/>
                <w:kern w:val="0"/>
                <w:sz w:val="21"/>
                <w:szCs w:val="21"/>
                <w:lang w:bidi="ar"/>
                <w14:textFill>
                  <w14:solidFill>
                    <w14:schemeClr w14:val="tx1"/>
                  </w14:solidFill>
                </w14:textFill>
              </w:rPr>
              <w:t>时地面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r w14:paraId="5C2E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2" w:type="pct"/>
            <w:shd w:val="clear" w:color="auto" w:fill="auto"/>
          </w:tcPr>
          <w:p w14:paraId="69F64F70">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41905" cy="1508125"/>
                  <wp:effectExtent l="0" t="0" r="10795" b="15875"/>
                  <wp:docPr id="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pic:cNvPicPr>
                            <a:picLocks noChangeAspect="1"/>
                          </pic:cNvPicPr>
                        </pic:nvPicPr>
                        <pic:blipFill>
                          <a:blip r:embed="rId59"/>
                          <a:stretch>
                            <a:fillRect/>
                          </a:stretch>
                        </pic:blipFill>
                        <pic:spPr>
                          <a:xfrm>
                            <a:off x="0" y="0"/>
                            <a:ext cx="2541905" cy="1508125"/>
                          </a:xfrm>
                          <a:prstGeom prst="rect">
                            <a:avLst/>
                          </a:prstGeom>
                          <a:noFill/>
                          <a:ln>
                            <a:noFill/>
                          </a:ln>
                        </pic:spPr>
                      </pic:pic>
                    </a:graphicData>
                  </a:graphic>
                </wp:inline>
              </w:drawing>
            </w:r>
          </w:p>
        </w:tc>
        <w:tc>
          <w:tcPr>
            <w:tcW w:w="2497" w:type="pct"/>
            <w:shd w:val="clear" w:color="auto" w:fill="auto"/>
          </w:tcPr>
          <w:p w14:paraId="29527A65">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44445" cy="1508125"/>
                  <wp:effectExtent l="0" t="0" r="8255" b="15875"/>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60"/>
                          <a:stretch>
                            <a:fillRect/>
                          </a:stretch>
                        </pic:blipFill>
                        <pic:spPr>
                          <a:xfrm>
                            <a:off x="0" y="0"/>
                            <a:ext cx="2544445" cy="1508125"/>
                          </a:xfrm>
                          <a:prstGeom prst="rect">
                            <a:avLst/>
                          </a:prstGeom>
                          <a:noFill/>
                          <a:ln>
                            <a:noFill/>
                          </a:ln>
                        </pic:spPr>
                      </pic:pic>
                    </a:graphicData>
                  </a:graphic>
                </wp:inline>
              </w:drawing>
            </w:r>
          </w:p>
        </w:tc>
      </w:tr>
      <w:tr w14:paraId="5673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2" w:type="pct"/>
            <w:shd w:val="clear" w:color="auto" w:fill="auto"/>
            <w:vAlign w:val="center"/>
          </w:tcPr>
          <w:p w14:paraId="72AAE113">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2497" w:type="pct"/>
            <w:shd w:val="clear" w:color="auto" w:fill="auto"/>
            <w:vAlign w:val="center"/>
          </w:tcPr>
          <w:p w14:paraId="20898300">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295F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shd w:val="clear" w:color="auto" w:fill="auto"/>
          </w:tcPr>
          <w:p w14:paraId="22AEDCF5">
            <w:pPr>
              <w:snapToGrid w:val="0"/>
              <w:spacing w:line="240" w:lineRule="auto"/>
              <w:ind w:firstLine="0" w:firstLineChars="0"/>
              <w:jc w:val="center"/>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导线高度19.5m时（居民区）地面1.5m高度处</w:t>
            </w:r>
          </w:p>
        </w:tc>
      </w:tr>
      <w:tr w14:paraId="0994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2" w:type="pct"/>
          </w:tcPr>
          <w:p w14:paraId="4AB630A6">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43810" cy="1508125"/>
                  <wp:effectExtent l="0" t="0" r="8890" b="15875"/>
                  <wp:docPr id="7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0"/>
                          <pic:cNvPicPr>
                            <a:picLocks noChangeAspect="1"/>
                          </pic:cNvPicPr>
                        </pic:nvPicPr>
                        <pic:blipFill>
                          <a:blip r:embed="rId61"/>
                          <a:stretch>
                            <a:fillRect/>
                          </a:stretch>
                        </pic:blipFill>
                        <pic:spPr>
                          <a:xfrm>
                            <a:off x="0" y="0"/>
                            <a:ext cx="2543810" cy="1508125"/>
                          </a:xfrm>
                          <a:prstGeom prst="rect">
                            <a:avLst/>
                          </a:prstGeom>
                          <a:noFill/>
                          <a:ln>
                            <a:noFill/>
                          </a:ln>
                        </pic:spPr>
                      </pic:pic>
                    </a:graphicData>
                  </a:graphic>
                </wp:inline>
              </w:drawing>
            </w:r>
          </w:p>
        </w:tc>
        <w:tc>
          <w:tcPr>
            <w:tcW w:w="2497" w:type="pct"/>
          </w:tcPr>
          <w:p w14:paraId="4A751ADC">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43810" cy="1508125"/>
                  <wp:effectExtent l="0" t="0" r="8890" b="15875"/>
                  <wp:docPr id="8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1"/>
                          <pic:cNvPicPr>
                            <a:picLocks noChangeAspect="1"/>
                          </pic:cNvPicPr>
                        </pic:nvPicPr>
                        <pic:blipFill>
                          <a:blip r:embed="rId62"/>
                          <a:stretch>
                            <a:fillRect/>
                          </a:stretch>
                        </pic:blipFill>
                        <pic:spPr>
                          <a:xfrm>
                            <a:off x="0" y="0"/>
                            <a:ext cx="2543810" cy="1508125"/>
                          </a:xfrm>
                          <a:prstGeom prst="rect">
                            <a:avLst/>
                          </a:prstGeom>
                          <a:noFill/>
                          <a:ln>
                            <a:noFill/>
                          </a:ln>
                        </pic:spPr>
                      </pic:pic>
                    </a:graphicData>
                  </a:graphic>
                </wp:inline>
              </w:drawing>
            </w:r>
          </w:p>
        </w:tc>
      </w:tr>
      <w:tr w14:paraId="14E4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2" w:type="pct"/>
            <w:vAlign w:val="center"/>
          </w:tcPr>
          <w:p w14:paraId="166E933B">
            <w:pPr>
              <w:widowControl/>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2497" w:type="pct"/>
            <w:vAlign w:val="center"/>
          </w:tcPr>
          <w:p w14:paraId="2B130CF6">
            <w:pPr>
              <w:snapToGrid w:val="0"/>
              <w:spacing w:line="240" w:lineRule="auto"/>
              <w:ind w:firstLine="0" w:firstLineChars="0"/>
              <w:jc w:val="center"/>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7032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tcPr>
          <w:p w14:paraId="2F6FD459">
            <w:pPr>
              <w:snapToGrid w:val="0"/>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rFonts w:hint="eastAsia"/>
                <w:color w:val="000000" w:themeColor="text1"/>
                <w:kern w:val="0"/>
                <w:sz w:val="21"/>
                <w:szCs w:val="21"/>
                <w:lang w:val="en-US" w:eastAsia="zh-CN" w:bidi="ar"/>
                <w14:textFill>
                  <w14:solidFill>
                    <w14:schemeClr w14:val="tx1"/>
                  </w14:solidFill>
                </w14:textFill>
              </w:rPr>
              <w:t>30.6</w:t>
            </w:r>
            <w:r>
              <w:rPr>
                <w:color w:val="000000" w:themeColor="text1"/>
                <w:kern w:val="0"/>
                <w:sz w:val="21"/>
                <w:szCs w:val="21"/>
                <w:lang w:bidi="ar"/>
                <w14:textFill>
                  <w14:solidFill>
                    <w14:schemeClr w14:val="tx1"/>
                  </w14:solidFill>
                </w14:textFill>
              </w:rPr>
              <w:t>m</w:t>
            </w:r>
            <w:r>
              <w:rPr>
                <w:rFonts w:hint="eastAsia" w:ascii="宋体" w:hAnsi="宋体" w:cs="宋体"/>
                <w:color w:val="000000" w:themeColor="text1"/>
                <w:kern w:val="0"/>
                <w:sz w:val="21"/>
                <w:szCs w:val="21"/>
                <w:lang w:bidi="ar"/>
                <w14:textFill>
                  <w14:solidFill>
                    <w14:schemeClr w14:val="tx1"/>
                  </w14:solidFill>
                </w14:textFill>
              </w:rPr>
              <w:t>时地面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bl>
    <w:p w14:paraId="4C904121">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 xml:space="preserve">6 </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单回路线路工频电场强度、磁感应强度分布图（750-PD22D-ZB2塔型）</w:t>
      </w:r>
    </w:p>
    <w:p w14:paraId="551F5EF0">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控制线下工频电场强度小于10kV/m所需最低线高</w:t>
      </w:r>
    </w:p>
    <w:p w14:paraId="2F89EFC3">
      <w:pPr>
        <w:ind w:firstLine="480"/>
        <w:rPr>
          <w:color w:val="000000" w:themeColor="text1"/>
          <w14:textFill>
            <w14:solidFill>
              <w14:schemeClr w14:val="tx1"/>
            </w14:solidFill>
          </w14:textFill>
        </w:rPr>
      </w:pPr>
      <w:r>
        <w:rPr>
          <w:color w:val="000000" w:themeColor="text1"/>
          <w14:textFill>
            <w14:solidFill>
              <w14:schemeClr w14:val="tx1"/>
            </w14:solidFill>
          </w14:textFill>
        </w:rPr>
        <w:t>根据《电磁环境控制限值》</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GB8702-2014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，线路经过耕地、园地、牧草地、畜禽饲养地、道路等场所时，需控制地面1.5m高度处工频电场强度小于10kV/m。经预测，为使线下地面1.5m高度处工频电场强度小于10kV/m控制限值，相间距最</w:t>
      </w:r>
      <w:r>
        <w:rPr>
          <w:rFonts w:hint="eastAsia"/>
          <w:color w:val="000000" w:themeColor="text1"/>
          <w14:textFill>
            <w14:solidFill>
              <w14:schemeClr w14:val="tx1"/>
            </w14:solidFill>
          </w14:textFill>
        </w:rPr>
        <w:t>大</w:t>
      </w:r>
      <w:r>
        <w:rPr>
          <w:color w:val="000000" w:themeColor="text1"/>
          <w14:textFill>
            <w14:solidFill>
              <w14:schemeClr w14:val="tx1"/>
            </w14:solidFill>
          </w14:textFill>
        </w:rPr>
        <w:t>塔型导线最小对地高度需达到</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7.1</w:t>
      </w:r>
      <w:r>
        <w:rPr>
          <w:color w:val="000000" w:themeColor="text1"/>
          <w14:textFill>
            <w14:solidFill>
              <w14:schemeClr w14:val="tx1"/>
            </w14:solidFill>
          </w14:textFill>
        </w:rPr>
        <w:t>m。相应线高工频电场强度、预测结果见表6.1</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w:t>
      </w:r>
    </w:p>
    <w:p w14:paraId="59BFC5C2">
      <w:pPr>
        <w:pStyle w:val="38"/>
        <w:ind w:firstLine="0" w:firstLineChars="0"/>
        <w:rPr>
          <w:color w:val="000000" w:themeColor="text1"/>
          <w14:textFill>
            <w14:solidFill>
              <w14:schemeClr w14:val="tx1"/>
            </w14:solidFill>
          </w14:textFill>
        </w:rPr>
      </w:pPr>
      <w:r>
        <w:rPr>
          <w:bCs/>
          <w:color w:val="000000" w:themeColor="text1"/>
          <w14:textFill>
            <w14:solidFill>
              <w14:schemeClr w14:val="tx1"/>
            </w14:solidFill>
          </w14:textFill>
        </w:rPr>
        <w:t>表6.1</w:t>
      </w:r>
      <w:r>
        <w:rPr>
          <w:rFonts w:hint="eastAsia"/>
          <w:bCs/>
          <w:color w:val="000000" w:themeColor="text1"/>
          <w14:textFill>
            <w14:solidFill>
              <w14:schemeClr w14:val="tx1"/>
            </w14:solidFill>
          </w14:textFill>
        </w:rPr>
        <w:t xml:space="preserve">-5  </w:t>
      </w:r>
      <w:r>
        <w:rPr>
          <w:bCs/>
          <w:color w:val="000000" w:themeColor="text1"/>
          <w14:textFill>
            <w14:solidFill>
              <w14:schemeClr w14:val="tx1"/>
            </w14:solidFill>
          </w14:textFill>
        </w:rPr>
        <w:t>控制工频电场强度小于10kV/m对应线高的工频电场强度预测结果</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3"/>
        <w:gridCol w:w="4195"/>
      </w:tblGrid>
      <w:tr w14:paraId="7BC9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2D128CFA">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计算直线塔型</w:t>
            </w:r>
          </w:p>
        </w:tc>
        <w:tc>
          <w:tcPr>
            <w:tcW w:w="2462" w:type="pct"/>
          </w:tcPr>
          <w:p w14:paraId="3BB72312">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相间距最大塔型（</w:t>
            </w:r>
            <w:r>
              <w:rPr>
                <w:b w:val="0"/>
                <w:color w:val="000000" w:themeColor="text1"/>
                <w:szCs w:val="21"/>
                <w14:textFill>
                  <w14:solidFill>
                    <w14:schemeClr w14:val="tx1"/>
                  </w14:solidFill>
                </w14:textFill>
              </w:rPr>
              <w:t>750-PD22D-ZB2</w:t>
            </w:r>
            <w:r>
              <w:rPr>
                <w:rFonts w:hint="eastAsia"/>
                <w:color w:val="000000" w:themeColor="text1"/>
                <w14:textFill>
                  <w14:solidFill>
                    <w14:schemeClr w14:val="tx1"/>
                  </w14:solidFill>
                </w14:textFill>
              </w:rPr>
              <w:t>）</w:t>
            </w:r>
          </w:p>
        </w:tc>
      </w:tr>
      <w:tr w14:paraId="050E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shd w:val="clear" w:color="auto" w:fill="auto"/>
          </w:tcPr>
          <w:p w14:paraId="7081708F">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10kV/m对于最低线高，m</w:t>
            </w:r>
          </w:p>
        </w:tc>
        <w:tc>
          <w:tcPr>
            <w:tcW w:w="2462" w:type="pct"/>
            <w:shd w:val="clear" w:color="auto" w:fill="auto"/>
          </w:tcPr>
          <w:p w14:paraId="30C80906">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17.1</w:t>
            </w:r>
          </w:p>
        </w:tc>
      </w:tr>
      <w:tr w14:paraId="2E55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29C23F3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最大值，kV/m</w:t>
            </w:r>
          </w:p>
        </w:tc>
        <w:tc>
          <w:tcPr>
            <w:tcW w:w="2462" w:type="pct"/>
          </w:tcPr>
          <w:p w14:paraId="1C35B00A">
            <w:pPr>
              <w:pStyle w:val="40"/>
              <w:rPr>
                <w:rFonts w:hint="default"/>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9.9902</w:t>
            </w:r>
          </w:p>
        </w:tc>
      </w:tr>
      <w:tr w14:paraId="39F8F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2841A6DD">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最大值点位置与边导线距离，m</w:t>
            </w:r>
          </w:p>
        </w:tc>
        <w:tc>
          <w:tcPr>
            <w:tcW w:w="2462" w:type="pct"/>
          </w:tcPr>
          <w:p w14:paraId="79AB4167">
            <w:pPr>
              <w:pStyle w:val="40"/>
              <w:rPr>
                <w:rFonts w:hint="default"/>
                <w:b w:val="0"/>
                <w:bCs/>
                <w:color w:val="000000" w:themeColor="text1"/>
                <w:lang w:val="en-US"/>
                <w14:textFill>
                  <w14:solidFill>
                    <w14:schemeClr w14:val="tx1"/>
                  </w14:solidFill>
                </w14:textFill>
              </w:rPr>
            </w:pPr>
            <w:r>
              <w:rPr>
                <w:rFonts w:hint="eastAsia"/>
                <w:b w:val="0"/>
                <w:bCs/>
                <w:color w:val="000000" w:themeColor="text1"/>
                <w:lang w:val="en-US" w:eastAsia="zh-CN"/>
                <w14:textFill>
                  <w14:solidFill>
                    <w14:schemeClr w14:val="tx1"/>
                  </w14:solidFill>
                </w14:textFill>
              </w:rPr>
              <w:t>1.9</w:t>
            </w:r>
          </w:p>
        </w:tc>
      </w:tr>
    </w:tbl>
    <w:p w14:paraId="1EA02CF7">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10kV</w:t>
      </w:r>
      <w:r>
        <w:rPr>
          <w:rFonts w:hint="eastAsia"/>
          <w:color w:val="000000" w:themeColor="text1"/>
          <w14:textFill>
            <w14:solidFill>
              <w14:schemeClr w14:val="tx1"/>
            </w14:solidFill>
          </w14:textFill>
        </w:rPr>
        <w:t>等值线</w:t>
      </w:r>
    </w:p>
    <w:p w14:paraId="01E9BD53">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本次评价对线下离地</w:t>
      </w:r>
      <w:r>
        <w:rPr>
          <w:color w:val="000000" w:themeColor="text1"/>
          <w14:textFill>
            <w14:solidFill>
              <w14:schemeClr w14:val="tx1"/>
            </w14:solidFill>
          </w14:textFill>
        </w:rPr>
        <w:t>1.5m</w:t>
      </w:r>
      <w:r>
        <w:rPr>
          <w:rFonts w:hint="eastAsia"/>
          <w:color w:val="000000" w:themeColor="text1"/>
          <w14:textFill>
            <w14:solidFill>
              <w14:schemeClr w14:val="tx1"/>
            </w14:solidFill>
          </w14:textFill>
        </w:rPr>
        <w:t>处工频电场强度</w:t>
      </w:r>
      <w:r>
        <w:rPr>
          <w:color w:val="000000" w:themeColor="text1"/>
          <w14:textFill>
            <w14:solidFill>
              <w14:schemeClr w14:val="tx1"/>
            </w14:solidFill>
          </w14:textFill>
        </w:rPr>
        <w:t>10kV/m</w:t>
      </w:r>
      <w:r>
        <w:rPr>
          <w:rFonts w:hint="eastAsia"/>
          <w:color w:val="000000" w:themeColor="text1"/>
          <w14:textFill>
            <w14:solidFill>
              <w14:schemeClr w14:val="tx1"/>
            </w14:solidFill>
          </w14:textFill>
        </w:rPr>
        <w:t>等值线进行预测，以最保守角度选择，相间距最大塔型，并行线路距离</w:t>
      </w:r>
      <w:r>
        <w:rPr>
          <w:color w:val="000000" w:themeColor="text1"/>
          <w14:textFill>
            <w14:solidFill>
              <w14:schemeClr w14:val="tx1"/>
            </w14:solidFill>
          </w14:textFill>
        </w:rPr>
        <w:t>100m</w:t>
      </w:r>
      <w:r>
        <w:rPr>
          <w:rFonts w:hint="eastAsia"/>
          <w:color w:val="000000" w:themeColor="text1"/>
          <w14:textFill>
            <w14:solidFill>
              <w14:schemeClr w14:val="tx1"/>
            </w14:solidFill>
          </w14:textFill>
        </w:rPr>
        <w:t>进行预测。详见表</w:t>
      </w:r>
      <w:r>
        <w:rPr>
          <w:color w:val="000000" w:themeColor="text1"/>
          <w14:textFill>
            <w14:solidFill>
              <w14:schemeClr w14:val="tx1"/>
            </w14:solidFill>
          </w14:textFill>
        </w:rPr>
        <w:t>6.1-</w:t>
      </w:r>
      <w:r>
        <w:rPr>
          <w:rFonts w:hint="eastAsia"/>
          <w:color w:val="000000" w:themeColor="text1"/>
          <w14:textFill>
            <w14:solidFill>
              <w14:schemeClr w14:val="tx1"/>
            </w14:solidFill>
          </w14:textFill>
        </w:rPr>
        <w:t>6及图</w:t>
      </w:r>
      <w:r>
        <w:rPr>
          <w:color w:val="000000" w:themeColor="text1"/>
          <w14:textFill>
            <w14:solidFill>
              <w14:schemeClr w14:val="tx1"/>
            </w14:solidFill>
          </w14:textFill>
        </w:rPr>
        <w:t>6.1-</w:t>
      </w:r>
      <w:r>
        <w:rPr>
          <w:rFonts w:hint="eastAsia"/>
          <w:color w:val="000000" w:themeColor="text1"/>
          <w14:textFill>
            <w14:solidFill>
              <w14:schemeClr w14:val="tx1"/>
            </w14:solidFill>
          </w14:textFill>
        </w:rPr>
        <w:t>7。</w:t>
      </w:r>
    </w:p>
    <w:p w14:paraId="7F10D877">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6</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 xml:space="preserve"> 相间距最大塔型工频电场强度</w:t>
      </w:r>
      <w:r>
        <w:rPr>
          <w:b/>
          <w:bCs/>
          <w:color w:val="000000" w:themeColor="text1"/>
          <w:sz w:val="21"/>
          <w:szCs w:val="21"/>
          <w14:textFill>
            <w14:solidFill>
              <w14:schemeClr w14:val="tx1"/>
            </w14:solidFill>
          </w14:textFill>
        </w:rPr>
        <w:t>10kV/m</w:t>
      </w:r>
      <w:r>
        <w:rPr>
          <w:rFonts w:hint="eastAsia"/>
          <w:b/>
          <w:bCs/>
          <w:color w:val="000000" w:themeColor="text1"/>
          <w:sz w:val="21"/>
          <w:szCs w:val="21"/>
          <w14:textFill>
            <w14:solidFill>
              <w14:schemeClr w14:val="tx1"/>
            </w14:solidFill>
          </w14:textFill>
        </w:rPr>
        <w:t>等值线预测结果</w:t>
      </w:r>
    </w:p>
    <w:tbl>
      <w:tblPr>
        <w:tblStyle w:val="59"/>
        <w:tblW w:w="50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86"/>
        <w:gridCol w:w="2085"/>
        <w:gridCol w:w="2089"/>
        <w:gridCol w:w="2092"/>
      </w:tblGrid>
      <w:tr w14:paraId="32A0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1249" w:type="pct"/>
            <w:vMerge w:val="restart"/>
            <w:shd w:val="clear" w:color="auto" w:fill="auto"/>
            <w:vAlign w:val="center"/>
          </w:tcPr>
          <w:p w14:paraId="444D39BB">
            <w:pPr>
              <w:pStyle w:val="4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导线对地最小线高（m）</w:t>
            </w:r>
          </w:p>
        </w:tc>
        <w:tc>
          <w:tcPr>
            <w:tcW w:w="3750" w:type="pct"/>
            <w:gridSpan w:val="3"/>
            <w:shd w:val="clear" w:color="auto" w:fill="auto"/>
            <w:vAlign w:val="center"/>
          </w:tcPr>
          <w:p w14:paraId="61AC8616">
            <w:pPr>
              <w:pStyle w:val="4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地面</w:t>
            </w:r>
            <w:r>
              <w:rPr>
                <w:b/>
                <w:bCs w:val="0"/>
                <w:color w:val="000000" w:themeColor="text1"/>
                <w14:textFill>
                  <w14:solidFill>
                    <w14:schemeClr w14:val="tx1"/>
                  </w14:solidFill>
                </w14:textFill>
              </w:rPr>
              <w:t>1.5m</w:t>
            </w:r>
            <w:r>
              <w:rPr>
                <w:rFonts w:hint="eastAsia"/>
                <w:b/>
                <w:bCs w:val="0"/>
                <w:color w:val="000000" w:themeColor="text1"/>
                <w14:textFill>
                  <w14:solidFill>
                    <w14:schemeClr w14:val="tx1"/>
                  </w14:solidFill>
                </w14:textFill>
              </w:rPr>
              <w:t>高度处</w:t>
            </w:r>
          </w:p>
        </w:tc>
      </w:tr>
      <w:tr w14:paraId="46B0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1249" w:type="pct"/>
            <w:vMerge w:val="continue"/>
            <w:shd w:val="clear" w:color="auto" w:fill="auto"/>
            <w:vAlign w:val="center"/>
          </w:tcPr>
          <w:p w14:paraId="5FFC77C3">
            <w:pPr>
              <w:pStyle w:val="40"/>
              <w:rPr>
                <w:b/>
                <w:bCs w:val="0"/>
                <w:color w:val="000000" w:themeColor="text1"/>
                <w14:textFill>
                  <w14:solidFill>
                    <w14:schemeClr w14:val="tx1"/>
                  </w14:solidFill>
                </w14:textFill>
              </w:rPr>
            </w:pPr>
          </w:p>
        </w:tc>
        <w:tc>
          <w:tcPr>
            <w:tcW w:w="3750" w:type="pct"/>
            <w:gridSpan w:val="3"/>
            <w:shd w:val="clear" w:color="auto" w:fill="auto"/>
            <w:vAlign w:val="center"/>
          </w:tcPr>
          <w:p w14:paraId="738B6BB9">
            <w:pPr>
              <w:pStyle w:val="4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满足10</w:t>
            </w:r>
            <w:r>
              <w:rPr>
                <w:b/>
                <w:bCs w:val="0"/>
                <w:color w:val="000000" w:themeColor="text1"/>
                <w14:textFill>
                  <w14:solidFill>
                    <w14:schemeClr w14:val="tx1"/>
                  </w14:solidFill>
                </w14:textFill>
              </w:rPr>
              <w:t>kV/m</w:t>
            </w:r>
            <w:r>
              <w:rPr>
                <w:rFonts w:hint="eastAsia"/>
                <w:b/>
                <w:bCs w:val="0"/>
                <w:color w:val="000000" w:themeColor="text1"/>
                <w14:textFill>
                  <w14:solidFill>
                    <w14:schemeClr w14:val="tx1"/>
                  </w14:solidFill>
                </w14:textFill>
              </w:rPr>
              <w:t>最小距离</w:t>
            </w:r>
          </w:p>
        </w:tc>
      </w:tr>
      <w:tr w14:paraId="0823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1249" w:type="pct"/>
            <w:vMerge w:val="continue"/>
            <w:vAlign w:val="center"/>
          </w:tcPr>
          <w:p w14:paraId="7DABDEB8">
            <w:pPr>
              <w:pStyle w:val="40"/>
              <w:rPr>
                <w:b/>
                <w:bCs w:val="0"/>
                <w:color w:val="000000" w:themeColor="text1"/>
                <w14:textFill>
                  <w14:solidFill>
                    <w14:schemeClr w14:val="tx1"/>
                  </w14:solidFill>
                </w14:textFill>
              </w:rPr>
            </w:pPr>
          </w:p>
        </w:tc>
        <w:tc>
          <w:tcPr>
            <w:tcW w:w="2498" w:type="pct"/>
            <w:gridSpan w:val="2"/>
            <w:shd w:val="clear" w:color="auto" w:fill="auto"/>
            <w:vAlign w:val="center"/>
          </w:tcPr>
          <w:p w14:paraId="458C312E">
            <w:pPr>
              <w:pStyle w:val="4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距塔杆中心（</w:t>
            </w:r>
            <w:r>
              <w:rPr>
                <w:b/>
                <w:bCs w:val="0"/>
                <w:color w:val="000000" w:themeColor="text1"/>
                <w14:textFill>
                  <w14:solidFill>
                    <w14:schemeClr w14:val="tx1"/>
                  </w14:solidFill>
                </w14:textFill>
              </w:rPr>
              <w:t>m</w:t>
            </w:r>
            <w:r>
              <w:rPr>
                <w:rFonts w:hint="eastAsia"/>
                <w:b/>
                <w:bCs w:val="0"/>
                <w:color w:val="000000" w:themeColor="text1"/>
                <w14:textFill>
                  <w14:solidFill>
                    <w14:schemeClr w14:val="tx1"/>
                  </w14:solidFill>
                </w14:textFill>
              </w:rPr>
              <w:t>）</w:t>
            </w:r>
          </w:p>
        </w:tc>
        <w:tc>
          <w:tcPr>
            <w:tcW w:w="1251" w:type="pct"/>
            <w:shd w:val="clear" w:color="auto" w:fill="auto"/>
            <w:vAlign w:val="center"/>
          </w:tcPr>
          <w:p w14:paraId="2E4780C3">
            <w:pPr>
              <w:pStyle w:val="40"/>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距边导线（</w:t>
            </w:r>
            <w:r>
              <w:rPr>
                <w:b/>
                <w:bCs w:val="0"/>
                <w:color w:val="000000" w:themeColor="text1"/>
                <w14:textFill>
                  <w14:solidFill>
                    <w14:schemeClr w14:val="tx1"/>
                  </w14:solidFill>
                </w14:textFill>
              </w:rPr>
              <w:t>m</w:t>
            </w:r>
            <w:r>
              <w:rPr>
                <w:rFonts w:hint="eastAsia"/>
                <w:b/>
                <w:bCs w:val="0"/>
                <w:color w:val="000000" w:themeColor="text1"/>
                <w14:textFill>
                  <w14:solidFill>
                    <w14:schemeClr w14:val="tx1"/>
                  </w14:solidFill>
                </w14:textFill>
              </w:rPr>
              <w:t>）</w:t>
            </w:r>
          </w:p>
        </w:tc>
      </w:tr>
      <w:tr w14:paraId="72C7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shd w:val="clear" w:color="auto" w:fill="auto"/>
            <w:vAlign w:val="center"/>
          </w:tcPr>
          <w:p w14:paraId="559FA75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15.5</w:t>
            </w:r>
          </w:p>
        </w:tc>
        <w:tc>
          <w:tcPr>
            <w:tcW w:w="1248" w:type="pct"/>
            <w:shd w:val="clear" w:color="auto" w:fill="auto"/>
            <w:vAlign w:val="bottom"/>
          </w:tcPr>
          <w:p w14:paraId="68E30027">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-2</w:t>
            </w:r>
            <w:r>
              <w:rPr>
                <w:rFonts w:hint="eastAsia"/>
                <w:b w:val="0"/>
                <w:bCs/>
                <w:color w:val="000000" w:themeColor="text1"/>
                <w:lang w:val="en-US" w:eastAsia="zh-CN"/>
                <w14:textFill>
                  <w14:solidFill>
                    <w14:schemeClr w14:val="tx1"/>
                  </w14:solidFill>
                </w14:textFill>
              </w:rPr>
              <w:t>7.7</w:t>
            </w:r>
          </w:p>
        </w:tc>
        <w:tc>
          <w:tcPr>
            <w:tcW w:w="1250" w:type="pct"/>
            <w:shd w:val="clear" w:color="auto" w:fill="auto"/>
            <w:vAlign w:val="bottom"/>
          </w:tcPr>
          <w:p w14:paraId="6789D2AC">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27.7</w:t>
            </w:r>
          </w:p>
        </w:tc>
        <w:tc>
          <w:tcPr>
            <w:tcW w:w="1251" w:type="pct"/>
            <w:shd w:val="clear" w:color="auto" w:fill="auto"/>
            <w:vAlign w:val="center"/>
          </w:tcPr>
          <w:p w14:paraId="2D641004">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6.6</w:t>
            </w:r>
          </w:p>
        </w:tc>
      </w:tr>
      <w:tr w14:paraId="7FDC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shd w:val="clear" w:color="auto" w:fill="auto"/>
            <w:vAlign w:val="center"/>
          </w:tcPr>
          <w:p w14:paraId="5C8DDE0B">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15.9</w:t>
            </w:r>
          </w:p>
        </w:tc>
        <w:tc>
          <w:tcPr>
            <w:tcW w:w="1248" w:type="pct"/>
            <w:shd w:val="clear" w:color="auto" w:fill="auto"/>
            <w:vAlign w:val="bottom"/>
          </w:tcPr>
          <w:p w14:paraId="498C3D36">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-2</w:t>
            </w:r>
            <w:r>
              <w:rPr>
                <w:rFonts w:hint="eastAsia"/>
                <w:b w:val="0"/>
                <w:bCs/>
                <w:color w:val="000000" w:themeColor="text1"/>
                <w:lang w:val="en-US" w:eastAsia="zh-CN"/>
                <w14:textFill>
                  <w14:solidFill>
                    <w14:schemeClr w14:val="tx1"/>
                  </w14:solidFill>
                </w14:textFill>
              </w:rPr>
              <w:t>7.1</w:t>
            </w:r>
          </w:p>
        </w:tc>
        <w:tc>
          <w:tcPr>
            <w:tcW w:w="1250" w:type="pct"/>
            <w:shd w:val="clear" w:color="auto" w:fill="auto"/>
            <w:vAlign w:val="bottom"/>
          </w:tcPr>
          <w:p w14:paraId="24152C11">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27.1</w:t>
            </w:r>
          </w:p>
        </w:tc>
        <w:tc>
          <w:tcPr>
            <w:tcW w:w="1251" w:type="pct"/>
            <w:shd w:val="clear" w:color="auto" w:fill="auto"/>
            <w:vAlign w:val="center"/>
          </w:tcPr>
          <w:p w14:paraId="5B484DC8">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6</w:t>
            </w:r>
          </w:p>
        </w:tc>
      </w:tr>
      <w:tr w14:paraId="3505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shd w:val="clear" w:color="auto" w:fill="auto"/>
            <w:vAlign w:val="center"/>
          </w:tcPr>
          <w:p w14:paraId="58BEC789">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16.3</w:t>
            </w:r>
          </w:p>
        </w:tc>
        <w:tc>
          <w:tcPr>
            <w:tcW w:w="1248" w:type="pct"/>
            <w:shd w:val="clear" w:color="auto" w:fill="auto"/>
            <w:vAlign w:val="bottom"/>
          </w:tcPr>
          <w:p w14:paraId="29F9AF02">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-2</w:t>
            </w:r>
            <w:r>
              <w:rPr>
                <w:rFonts w:hint="eastAsia"/>
                <w:b w:val="0"/>
                <w:bCs/>
                <w:color w:val="000000" w:themeColor="text1"/>
                <w:lang w:val="en-US" w:eastAsia="zh-CN"/>
                <w14:textFill>
                  <w14:solidFill>
                    <w14:schemeClr w14:val="tx1"/>
                  </w14:solidFill>
                </w14:textFill>
              </w:rPr>
              <w:t>6.2</w:t>
            </w:r>
          </w:p>
        </w:tc>
        <w:tc>
          <w:tcPr>
            <w:tcW w:w="1250" w:type="pct"/>
            <w:shd w:val="clear" w:color="auto" w:fill="auto"/>
            <w:vAlign w:val="bottom"/>
          </w:tcPr>
          <w:p w14:paraId="6ABBAA34">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26.2</w:t>
            </w:r>
          </w:p>
        </w:tc>
        <w:tc>
          <w:tcPr>
            <w:tcW w:w="1251" w:type="pct"/>
            <w:shd w:val="clear" w:color="auto" w:fill="auto"/>
            <w:vAlign w:val="center"/>
          </w:tcPr>
          <w:p w14:paraId="3C7D7BDC">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5.1</w:t>
            </w:r>
          </w:p>
        </w:tc>
      </w:tr>
      <w:tr w14:paraId="6F8C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shd w:val="clear" w:color="auto" w:fill="auto"/>
            <w:vAlign w:val="center"/>
          </w:tcPr>
          <w:p w14:paraId="2F37E9DE">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16.7</w:t>
            </w:r>
          </w:p>
        </w:tc>
        <w:tc>
          <w:tcPr>
            <w:tcW w:w="1248" w:type="pct"/>
            <w:shd w:val="clear" w:color="auto" w:fill="auto"/>
            <w:vAlign w:val="bottom"/>
          </w:tcPr>
          <w:p w14:paraId="0F13AE70">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-2</w:t>
            </w:r>
            <w:r>
              <w:rPr>
                <w:rFonts w:hint="eastAsia"/>
                <w:b w:val="0"/>
                <w:bCs/>
                <w:color w:val="000000" w:themeColor="text1"/>
                <w:lang w:val="en-US" w:eastAsia="zh-CN"/>
                <w14:textFill>
                  <w14:solidFill>
                    <w14:schemeClr w14:val="tx1"/>
                  </w14:solidFill>
                </w14:textFill>
              </w:rPr>
              <w:t>5.1</w:t>
            </w:r>
          </w:p>
        </w:tc>
        <w:tc>
          <w:tcPr>
            <w:tcW w:w="1250" w:type="pct"/>
            <w:shd w:val="clear" w:color="auto" w:fill="auto"/>
            <w:vAlign w:val="bottom"/>
          </w:tcPr>
          <w:p w14:paraId="0117A86D">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25.1</w:t>
            </w:r>
          </w:p>
        </w:tc>
        <w:tc>
          <w:tcPr>
            <w:tcW w:w="1251" w:type="pct"/>
            <w:shd w:val="clear" w:color="auto" w:fill="auto"/>
            <w:vAlign w:val="center"/>
          </w:tcPr>
          <w:p w14:paraId="03A517BF">
            <w:pPr>
              <w:pStyle w:val="40"/>
              <w:rPr>
                <w:rFonts w:hint="eastAsia"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w:t>
            </w:r>
          </w:p>
        </w:tc>
      </w:tr>
      <w:tr w14:paraId="476B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shd w:val="clear" w:color="auto" w:fill="auto"/>
            <w:vAlign w:val="center"/>
          </w:tcPr>
          <w:p w14:paraId="02B1D790">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17.1</w:t>
            </w:r>
          </w:p>
        </w:tc>
        <w:tc>
          <w:tcPr>
            <w:tcW w:w="1248" w:type="pct"/>
            <w:shd w:val="clear" w:color="auto" w:fill="auto"/>
            <w:vAlign w:val="bottom"/>
          </w:tcPr>
          <w:p w14:paraId="7BA75932">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22.5</w:t>
            </w:r>
          </w:p>
        </w:tc>
        <w:tc>
          <w:tcPr>
            <w:tcW w:w="1250" w:type="pct"/>
            <w:shd w:val="clear" w:color="auto" w:fill="auto"/>
            <w:vAlign w:val="bottom"/>
          </w:tcPr>
          <w:p w14:paraId="5E15C19C">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22.5</w:t>
            </w:r>
          </w:p>
        </w:tc>
        <w:tc>
          <w:tcPr>
            <w:tcW w:w="1251" w:type="pct"/>
            <w:shd w:val="clear" w:color="auto" w:fill="auto"/>
            <w:vAlign w:val="center"/>
          </w:tcPr>
          <w:p w14:paraId="03B1648D">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1.4</w:t>
            </w:r>
          </w:p>
        </w:tc>
      </w:tr>
    </w:tbl>
    <w:p w14:paraId="654A8110">
      <w:pPr>
        <w:snapToGrid w:val="0"/>
        <w:ind w:firstLine="0" w:firstLineChars="0"/>
        <w:rPr>
          <w:color w:val="000000" w:themeColor="text1"/>
          <w14:textFill>
            <w14:solidFill>
              <w14:schemeClr w14:val="tx1"/>
            </w14:solidFill>
          </w14:textFill>
        </w:rPr>
      </w:pPr>
    </w:p>
    <w:p w14:paraId="369D6A4C">
      <w:pPr>
        <w:snapToGrid w:val="0"/>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26000" cy="2743200"/>
            <wp:effectExtent l="4445" t="4445" r="8255" b="14605"/>
            <wp:docPr id="9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003B34F">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 xml:space="preserve">7 </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工频电场强度</w:t>
      </w:r>
      <w:r>
        <w:rPr>
          <w:b/>
          <w:bCs/>
          <w:color w:val="000000" w:themeColor="text1"/>
          <w:sz w:val="21"/>
          <w:szCs w:val="21"/>
          <w14:textFill>
            <w14:solidFill>
              <w14:schemeClr w14:val="tx1"/>
            </w14:solidFill>
          </w14:textFill>
        </w:rPr>
        <w:t>10kV/m</w:t>
      </w:r>
      <w:r>
        <w:rPr>
          <w:rFonts w:hint="eastAsia"/>
          <w:b/>
          <w:bCs/>
          <w:color w:val="000000" w:themeColor="text1"/>
          <w:sz w:val="21"/>
          <w:szCs w:val="21"/>
          <w14:textFill>
            <w14:solidFill>
              <w14:schemeClr w14:val="tx1"/>
            </w14:solidFill>
          </w14:textFill>
        </w:rPr>
        <w:t>预测结果分布图</w:t>
      </w:r>
    </w:p>
    <w:p w14:paraId="3902C56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5</w:t>
      </w: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4kV/m</w:t>
      </w:r>
      <w:r>
        <w:rPr>
          <w:rFonts w:hint="eastAsia" w:ascii="宋体" w:hAnsi="宋体" w:cs="宋体"/>
          <w:color w:val="000000" w:themeColor="text1"/>
          <w:kern w:val="0"/>
          <w:lang w:bidi="ar"/>
          <w14:textFill>
            <w14:solidFill>
              <w14:schemeClr w14:val="tx1"/>
            </w14:solidFill>
          </w14:textFill>
        </w:rPr>
        <w:t>等值线</w:t>
      </w:r>
    </w:p>
    <w:p w14:paraId="3A5BC2E1">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本次评价对线下离地</w:t>
      </w:r>
      <w:r>
        <w:rPr>
          <w:color w:val="000000" w:themeColor="text1"/>
          <w:kern w:val="0"/>
          <w:lang w:bidi="ar"/>
          <w14:textFill>
            <w14:solidFill>
              <w14:schemeClr w14:val="tx1"/>
            </w14:solidFill>
          </w14:textFill>
        </w:rPr>
        <w:t>1.5m</w:t>
      </w:r>
      <w:r>
        <w:rPr>
          <w:rFonts w:hint="eastAsia" w:ascii="宋体" w:hAnsi="宋体" w:cs="宋体"/>
          <w:color w:val="000000" w:themeColor="text1"/>
          <w:kern w:val="0"/>
          <w:lang w:bidi="ar"/>
          <w14:textFill>
            <w14:solidFill>
              <w14:schemeClr w14:val="tx1"/>
            </w14:solidFill>
          </w14:textFill>
        </w:rPr>
        <w:t>处工频电场强度</w:t>
      </w:r>
      <w:r>
        <w:rPr>
          <w:color w:val="000000" w:themeColor="text1"/>
          <w:kern w:val="0"/>
          <w:lang w:bidi="ar"/>
          <w14:textFill>
            <w14:solidFill>
              <w14:schemeClr w14:val="tx1"/>
            </w14:solidFill>
          </w14:textFill>
        </w:rPr>
        <w:t>4kV/m</w:t>
      </w:r>
      <w:r>
        <w:rPr>
          <w:rFonts w:hint="eastAsia" w:ascii="宋体" w:hAnsi="宋体" w:cs="宋体"/>
          <w:color w:val="000000" w:themeColor="text1"/>
          <w:kern w:val="0"/>
          <w:lang w:bidi="ar"/>
          <w14:textFill>
            <w14:solidFill>
              <w14:schemeClr w14:val="tx1"/>
            </w14:solidFill>
          </w14:textFill>
        </w:rPr>
        <w:t>等值线进行预测，以最保守角度选择，相间距最大塔型，并行线路距离</w:t>
      </w:r>
      <w:r>
        <w:rPr>
          <w:color w:val="000000" w:themeColor="text1"/>
          <w:kern w:val="0"/>
          <w:lang w:bidi="ar"/>
          <w14:textFill>
            <w14:solidFill>
              <w14:schemeClr w14:val="tx1"/>
            </w14:solidFill>
          </w14:textFill>
        </w:rPr>
        <w:t>100m</w:t>
      </w:r>
      <w:r>
        <w:rPr>
          <w:rFonts w:hint="eastAsia" w:ascii="宋体" w:hAnsi="宋体" w:cs="宋体"/>
          <w:color w:val="000000" w:themeColor="text1"/>
          <w:kern w:val="0"/>
          <w:lang w:bidi="ar"/>
          <w14:textFill>
            <w14:solidFill>
              <w14:schemeClr w14:val="tx1"/>
            </w14:solidFill>
          </w14:textFill>
        </w:rPr>
        <w:t>进行预测。详见表</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7</w:t>
      </w:r>
      <w:r>
        <w:rPr>
          <w:rFonts w:hint="eastAsia" w:ascii="宋体" w:hAnsi="宋体" w:cs="宋体"/>
          <w:color w:val="000000" w:themeColor="text1"/>
          <w:kern w:val="0"/>
          <w:lang w:bidi="ar"/>
          <w14:textFill>
            <w14:solidFill>
              <w14:schemeClr w14:val="tx1"/>
            </w14:solidFill>
          </w14:textFill>
        </w:rPr>
        <w:t>及图</w:t>
      </w:r>
      <w:r>
        <w:rPr>
          <w:color w:val="000000" w:themeColor="text1"/>
          <w:kern w:val="0"/>
          <w:lang w:bidi="ar"/>
          <w14:textFill>
            <w14:solidFill>
              <w14:schemeClr w14:val="tx1"/>
            </w14:solidFill>
          </w14:textFill>
        </w:rPr>
        <w:t>6.1-8</w:t>
      </w:r>
      <w:r>
        <w:rPr>
          <w:rFonts w:hint="eastAsia" w:ascii="宋体" w:hAnsi="宋体" w:cs="宋体"/>
          <w:color w:val="000000" w:themeColor="text1"/>
          <w:kern w:val="0"/>
          <w:lang w:bidi="ar"/>
          <w14:textFill>
            <w14:solidFill>
              <w14:schemeClr w14:val="tx1"/>
            </w14:solidFill>
          </w14:textFill>
        </w:rPr>
        <w:t>。</w:t>
      </w:r>
    </w:p>
    <w:p w14:paraId="6D500FFF">
      <w:pPr>
        <w:widowControl/>
        <w:ind w:firstLine="0" w:firstLineChars="0"/>
        <w:jc w:val="center"/>
        <w:rPr>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表</w:t>
      </w:r>
      <w:r>
        <w:rPr>
          <w:rFonts w:eastAsia="TimesNewRomanPS-BoldMT"/>
          <w:b/>
          <w:bCs/>
          <w:color w:val="000000" w:themeColor="text1"/>
          <w:kern w:val="0"/>
          <w:sz w:val="21"/>
          <w:szCs w:val="21"/>
          <w:lang w:bidi="ar"/>
          <w14:textFill>
            <w14:solidFill>
              <w14:schemeClr w14:val="tx1"/>
            </w14:solidFill>
          </w14:textFill>
        </w:rPr>
        <w:t>6.1-</w:t>
      </w:r>
      <w:r>
        <w:rPr>
          <w:rFonts w:hint="eastAsia" w:eastAsia="TimesNewRomanPS-BoldMT"/>
          <w:b/>
          <w:bCs/>
          <w:color w:val="000000" w:themeColor="text1"/>
          <w:kern w:val="0"/>
          <w:sz w:val="21"/>
          <w:szCs w:val="21"/>
          <w:lang w:bidi="ar"/>
          <w14:textFill>
            <w14:solidFill>
              <w14:schemeClr w14:val="tx1"/>
            </w14:solidFill>
          </w14:textFill>
        </w:rPr>
        <w:t>7</w:t>
      </w:r>
      <w:r>
        <w:rPr>
          <w:rFonts w:eastAsia="TimesNewRomanPS-BoldMT"/>
          <w:b/>
          <w:bCs/>
          <w:color w:val="000000" w:themeColor="text1"/>
          <w:kern w:val="0"/>
          <w:sz w:val="21"/>
          <w:szCs w:val="21"/>
          <w:lang w:bidi="ar"/>
          <w14:textFill>
            <w14:solidFill>
              <w14:schemeClr w14:val="tx1"/>
            </w14:solidFill>
          </w14:textFill>
        </w:rPr>
        <w:t xml:space="preserve"> </w:t>
      </w:r>
      <w:r>
        <w:rPr>
          <w:rFonts w:hint="eastAsia" w:eastAsia="TimesNewRomanPS-BoldMT"/>
          <w:b/>
          <w:bCs/>
          <w:color w:val="000000" w:themeColor="text1"/>
          <w:kern w:val="0"/>
          <w:sz w:val="21"/>
          <w:szCs w:val="21"/>
          <w:lang w:bidi="ar"/>
          <w14:textFill>
            <w14:solidFill>
              <w14:schemeClr w14:val="tx1"/>
            </w14:solidFill>
          </w14:textFill>
        </w:rPr>
        <w:t xml:space="preserve"> </w:t>
      </w:r>
      <w:r>
        <w:rPr>
          <w:b/>
          <w:bCs/>
          <w:color w:val="000000" w:themeColor="text1"/>
          <w:kern w:val="0"/>
          <w:sz w:val="21"/>
          <w:szCs w:val="21"/>
          <w:lang w:bidi="ar"/>
          <w14:textFill>
            <w14:solidFill>
              <w14:schemeClr w14:val="tx1"/>
            </w14:solidFill>
          </w14:textFill>
        </w:rPr>
        <w:t>相间距最大塔型工频电场强度</w:t>
      </w:r>
      <w:r>
        <w:rPr>
          <w:rFonts w:eastAsia="TimesNewRomanPS-BoldMT"/>
          <w:b/>
          <w:bCs/>
          <w:color w:val="000000" w:themeColor="text1"/>
          <w:kern w:val="0"/>
          <w:sz w:val="21"/>
          <w:szCs w:val="21"/>
          <w:lang w:bidi="ar"/>
          <w14:textFill>
            <w14:solidFill>
              <w14:schemeClr w14:val="tx1"/>
            </w14:solidFill>
          </w14:textFill>
        </w:rPr>
        <w:t>4kV/m</w:t>
      </w:r>
      <w:r>
        <w:rPr>
          <w:b/>
          <w:bCs/>
          <w:color w:val="000000" w:themeColor="text1"/>
          <w:kern w:val="0"/>
          <w:sz w:val="21"/>
          <w:szCs w:val="21"/>
          <w:lang w:bidi="ar"/>
          <w14:textFill>
            <w14:solidFill>
              <w14:schemeClr w14:val="tx1"/>
            </w14:solidFill>
          </w14:textFill>
        </w:rPr>
        <w:t>等值线预测结果</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0"/>
        <w:gridCol w:w="2025"/>
        <w:gridCol w:w="1725"/>
        <w:gridCol w:w="2181"/>
      </w:tblGrid>
      <w:tr w14:paraId="33E0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4"/>
            <w:vAlign w:val="center"/>
          </w:tcPr>
          <w:p w14:paraId="338296CF">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地面</w:t>
            </w:r>
            <w:r>
              <w:rPr>
                <w:color w:val="000000" w:themeColor="text1"/>
                <w14:textFill>
                  <w14:solidFill>
                    <w14:schemeClr w14:val="tx1"/>
                  </w14:solidFill>
                </w14:textFill>
              </w:rPr>
              <w:t>1.5m</w:t>
            </w:r>
            <w:r>
              <w:rPr>
                <w:rFonts w:hint="eastAsia"/>
                <w:color w:val="000000" w:themeColor="text1"/>
                <w14:textFill>
                  <w14:solidFill>
                    <w14:schemeClr w14:val="tx1"/>
                  </w14:solidFill>
                </w14:textFill>
              </w:rPr>
              <w:t>高度处</w:t>
            </w:r>
          </w:p>
        </w:tc>
      </w:tr>
      <w:tr w14:paraId="7E6D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Merge w:val="restart"/>
            <w:vAlign w:val="center"/>
          </w:tcPr>
          <w:p w14:paraId="3F5E7153">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导线对地最小线高（</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5931" w:type="dxa"/>
            <w:gridSpan w:val="3"/>
            <w:vAlign w:val="center"/>
          </w:tcPr>
          <w:p w14:paraId="252E5B30">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满足4</w:t>
            </w:r>
            <w:r>
              <w:rPr>
                <w:color w:val="000000" w:themeColor="text1"/>
                <w14:textFill>
                  <w14:solidFill>
                    <w14:schemeClr w14:val="tx1"/>
                  </w14:solidFill>
                </w14:textFill>
              </w:rPr>
              <w:t>kV/m</w:t>
            </w:r>
            <w:r>
              <w:rPr>
                <w:rFonts w:hint="eastAsia"/>
                <w:color w:val="000000" w:themeColor="text1"/>
                <w14:textFill>
                  <w14:solidFill>
                    <w14:schemeClr w14:val="tx1"/>
                  </w14:solidFill>
                </w14:textFill>
              </w:rPr>
              <w:t>最小距离</w:t>
            </w:r>
          </w:p>
        </w:tc>
      </w:tr>
      <w:tr w14:paraId="346E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Merge w:val="continue"/>
            <w:vAlign w:val="center"/>
          </w:tcPr>
          <w:p w14:paraId="3A598A2E">
            <w:pPr>
              <w:pStyle w:val="40"/>
              <w:rPr>
                <w:color w:val="000000" w:themeColor="text1"/>
                <w14:textFill>
                  <w14:solidFill>
                    <w14:schemeClr w14:val="tx1"/>
                  </w14:solidFill>
                </w14:textFill>
              </w:rPr>
            </w:pPr>
          </w:p>
        </w:tc>
        <w:tc>
          <w:tcPr>
            <w:tcW w:w="3750" w:type="dxa"/>
            <w:gridSpan w:val="2"/>
            <w:vAlign w:val="center"/>
          </w:tcPr>
          <w:p w14:paraId="1816E9FE">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距塔杆中心（</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2181" w:type="dxa"/>
            <w:vAlign w:val="center"/>
          </w:tcPr>
          <w:p w14:paraId="421B829A">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距边导线（</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r>
      <w:tr w14:paraId="1E99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Align w:val="bottom"/>
          </w:tcPr>
          <w:p w14:paraId="7DD43FE6">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19.5</w:t>
            </w:r>
          </w:p>
        </w:tc>
        <w:tc>
          <w:tcPr>
            <w:tcW w:w="2025" w:type="dxa"/>
            <w:vAlign w:val="bottom"/>
          </w:tcPr>
          <w:p w14:paraId="52A45D4E">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-41.3</w:t>
            </w:r>
          </w:p>
        </w:tc>
        <w:tc>
          <w:tcPr>
            <w:tcW w:w="1725" w:type="dxa"/>
            <w:vAlign w:val="bottom"/>
          </w:tcPr>
          <w:p w14:paraId="069C51D5">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41.3</w:t>
            </w:r>
          </w:p>
        </w:tc>
        <w:tc>
          <w:tcPr>
            <w:tcW w:w="2181" w:type="dxa"/>
            <w:vAlign w:val="bottom"/>
          </w:tcPr>
          <w:p w14:paraId="35FBF959">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20.2</w:t>
            </w:r>
          </w:p>
        </w:tc>
      </w:tr>
      <w:tr w14:paraId="26D3B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Align w:val="bottom"/>
          </w:tcPr>
          <w:p w14:paraId="06EF5FD5">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21.5</w:t>
            </w:r>
          </w:p>
        </w:tc>
        <w:tc>
          <w:tcPr>
            <w:tcW w:w="2025" w:type="dxa"/>
            <w:vAlign w:val="bottom"/>
          </w:tcPr>
          <w:p w14:paraId="283C2CCC">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-40.4</w:t>
            </w:r>
          </w:p>
        </w:tc>
        <w:tc>
          <w:tcPr>
            <w:tcW w:w="1725" w:type="dxa"/>
            <w:vAlign w:val="bottom"/>
          </w:tcPr>
          <w:p w14:paraId="278F4D5A">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40.4</w:t>
            </w:r>
          </w:p>
        </w:tc>
        <w:tc>
          <w:tcPr>
            <w:tcW w:w="2181" w:type="dxa"/>
            <w:vAlign w:val="bottom"/>
          </w:tcPr>
          <w:p w14:paraId="3F9734DC">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19.3</w:t>
            </w:r>
          </w:p>
        </w:tc>
      </w:tr>
      <w:tr w14:paraId="278A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Align w:val="bottom"/>
          </w:tcPr>
          <w:p w14:paraId="23A5E35E">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23.5</w:t>
            </w:r>
          </w:p>
        </w:tc>
        <w:tc>
          <w:tcPr>
            <w:tcW w:w="2025" w:type="dxa"/>
            <w:vAlign w:val="bottom"/>
          </w:tcPr>
          <w:p w14:paraId="2E104918">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-39.3</w:t>
            </w:r>
          </w:p>
        </w:tc>
        <w:tc>
          <w:tcPr>
            <w:tcW w:w="1725" w:type="dxa"/>
            <w:vAlign w:val="bottom"/>
          </w:tcPr>
          <w:p w14:paraId="41D0DD2F">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39.3</w:t>
            </w:r>
          </w:p>
        </w:tc>
        <w:tc>
          <w:tcPr>
            <w:tcW w:w="2181" w:type="dxa"/>
            <w:vAlign w:val="bottom"/>
          </w:tcPr>
          <w:p w14:paraId="04C22826">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18.2</w:t>
            </w:r>
          </w:p>
        </w:tc>
      </w:tr>
      <w:tr w14:paraId="3571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Align w:val="bottom"/>
          </w:tcPr>
          <w:p w14:paraId="16988206">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25.5</w:t>
            </w:r>
          </w:p>
        </w:tc>
        <w:tc>
          <w:tcPr>
            <w:tcW w:w="2025" w:type="dxa"/>
            <w:vAlign w:val="bottom"/>
          </w:tcPr>
          <w:p w14:paraId="73C0D18E">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-37.2</w:t>
            </w:r>
          </w:p>
        </w:tc>
        <w:tc>
          <w:tcPr>
            <w:tcW w:w="1725" w:type="dxa"/>
            <w:vAlign w:val="bottom"/>
          </w:tcPr>
          <w:p w14:paraId="47342953">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37.2</w:t>
            </w:r>
          </w:p>
        </w:tc>
        <w:tc>
          <w:tcPr>
            <w:tcW w:w="2181" w:type="dxa"/>
            <w:vAlign w:val="bottom"/>
          </w:tcPr>
          <w:p w14:paraId="37222EFE">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16.1</w:t>
            </w:r>
          </w:p>
        </w:tc>
      </w:tr>
      <w:tr w14:paraId="264D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Align w:val="bottom"/>
          </w:tcPr>
          <w:p w14:paraId="61DEF84D">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27.5</w:t>
            </w:r>
          </w:p>
        </w:tc>
        <w:tc>
          <w:tcPr>
            <w:tcW w:w="2025" w:type="dxa"/>
            <w:vAlign w:val="bottom"/>
          </w:tcPr>
          <w:p w14:paraId="41E89690">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-35.6</w:t>
            </w:r>
          </w:p>
        </w:tc>
        <w:tc>
          <w:tcPr>
            <w:tcW w:w="1725" w:type="dxa"/>
            <w:vAlign w:val="bottom"/>
          </w:tcPr>
          <w:p w14:paraId="12E4DE11">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35.6</w:t>
            </w:r>
          </w:p>
        </w:tc>
        <w:tc>
          <w:tcPr>
            <w:tcW w:w="2181" w:type="dxa"/>
            <w:vAlign w:val="bottom"/>
          </w:tcPr>
          <w:p w14:paraId="7127FE27">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14.5</w:t>
            </w:r>
          </w:p>
        </w:tc>
      </w:tr>
      <w:tr w14:paraId="4535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Align w:val="bottom"/>
          </w:tcPr>
          <w:p w14:paraId="193E6A52">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29.5</w:t>
            </w:r>
          </w:p>
        </w:tc>
        <w:tc>
          <w:tcPr>
            <w:tcW w:w="2025" w:type="dxa"/>
            <w:vAlign w:val="bottom"/>
          </w:tcPr>
          <w:p w14:paraId="0A81820A">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-32.1</w:t>
            </w:r>
          </w:p>
        </w:tc>
        <w:tc>
          <w:tcPr>
            <w:tcW w:w="1725" w:type="dxa"/>
            <w:vAlign w:val="bottom"/>
          </w:tcPr>
          <w:p w14:paraId="25668098">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32.1</w:t>
            </w:r>
          </w:p>
        </w:tc>
        <w:tc>
          <w:tcPr>
            <w:tcW w:w="2181" w:type="dxa"/>
            <w:vAlign w:val="bottom"/>
          </w:tcPr>
          <w:p w14:paraId="685FFB38">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11</w:t>
            </w:r>
          </w:p>
        </w:tc>
      </w:tr>
      <w:tr w14:paraId="4CF42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vAlign w:val="bottom"/>
          </w:tcPr>
          <w:p w14:paraId="2E00B1DE">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30.6</w:t>
            </w:r>
          </w:p>
        </w:tc>
        <w:tc>
          <w:tcPr>
            <w:tcW w:w="2025" w:type="dxa"/>
            <w:vAlign w:val="bottom"/>
          </w:tcPr>
          <w:p w14:paraId="6BB4627E">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-26.6</w:t>
            </w:r>
          </w:p>
        </w:tc>
        <w:tc>
          <w:tcPr>
            <w:tcW w:w="1725" w:type="dxa"/>
            <w:vAlign w:val="bottom"/>
          </w:tcPr>
          <w:p w14:paraId="02337B9B">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26.6</w:t>
            </w:r>
          </w:p>
        </w:tc>
        <w:tc>
          <w:tcPr>
            <w:tcW w:w="2181" w:type="dxa"/>
            <w:vAlign w:val="bottom"/>
          </w:tcPr>
          <w:p w14:paraId="0C19984B">
            <w:pPr>
              <w:pStyle w:val="40"/>
              <w:rPr>
                <w:rFonts w:hint="eastAsia"/>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5.5</w:t>
            </w:r>
          </w:p>
        </w:tc>
      </w:tr>
    </w:tbl>
    <w:p w14:paraId="33EAD91B">
      <w:pPr>
        <w:snapToGrid w:val="0"/>
        <w:ind w:firstLine="0" w:firstLineChars="0"/>
        <w:jc w:val="center"/>
        <w:rPr>
          <w:color w:val="000000" w:themeColor="text1"/>
          <w14:textFill>
            <w14:solidFill>
              <w14:schemeClr w14:val="tx1"/>
            </w14:solidFill>
          </w14:textFill>
        </w:rPr>
      </w:pPr>
    </w:p>
    <w:p w14:paraId="5397B4E1">
      <w:pPr>
        <w:snapToGrid w:val="0"/>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29810" cy="2743200"/>
            <wp:effectExtent l="4445" t="4445" r="23495" b="14605"/>
            <wp:docPr id="9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7E02EDEE">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6.1-8</w:t>
      </w:r>
      <w:r>
        <w:rPr>
          <w:rFonts w:hint="eastAsia"/>
          <w:b/>
          <w:bCs/>
          <w:color w:val="000000" w:themeColor="text1"/>
          <w:sz w:val="21"/>
          <w:szCs w:val="21"/>
          <w14:textFill>
            <w14:solidFill>
              <w14:schemeClr w14:val="tx1"/>
            </w14:solidFill>
          </w14:textFill>
        </w:rPr>
        <w:t xml:space="preserve"> </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工频电场强度</w:t>
      </w:r>
      <w:r>
        <w:rPr>
          <w:b/>
          <w:bCs/>
          <w:color w:val="000000" w:themeColor="text1"/>
          <w:sz w:val="21"/>
          <w:szCs w:val="21"/>
          <w14:textFill>
            <w14:solidFill>
              <w14:schemeClr w14:val="tx1"/>
            </w14:solidFill>
          </w14:textFill>
        </w:rPr>
        <w:t>4kV/m</w:t>
      </w:r>
      <w:r>
        <w:rPr>
          <w:rFonts w:hint="eastAsia"/>
          <w:b/>
          <w:bCs/>
          <w:color w:val="000000" w:themeColor="text1"/>
          <w:sz w:val="21"/>
          <w:szCs w:val="21"/>
          <w14:textFill>
            <w14:solidFill>
              <w14:schemeClr w14:val="tx1"/>
            </w14:solidFill>
          </w14:textFill>
        </w:rPr>
        <w:t>预测结果分布图</w:t>
      </w:r>
    </w:p>
    <w:p w14:paraId="516ECDA1">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6.1.4.2并行单回路线路预测结果</w:t>
      </w:r>
    </w:p>
    <w:p w14:paraId="22D3713B">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对本工程并行单回路线路按照经过居民区、非居民区时导线对地最低高度</w:t>
      </w:r>
      <w:r>
        <w:rPr>
          <w:color w:val="000000" w:themeColor="text1"/>
          <w:kern w:val="0"/>
          <w:lang w:bidi="ar"/>
          <w14:textFill>
            <w14:solidFill>
              <w14:schemeClr w14:val="tx1"/>
            </w14:solidFill>
          </w14:textFill>
        </w:rPr>
        <w:t>19.5m</w:t>
      </w: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15.5m</w:t>
      </w:r>
      <w:r>
        <w:rPr>
          <w:rFonts w:hint="eastAsia" w:ascii="宋体" w:hAnsi="宋体" w:cs="宋体"/>
          <w:color w:val="000000" w:themeColor="text1"/>
          <w:kern w:val="0"/>
          <w:lang w:bidi="ar"/>
          <w14:textFill>
            <w14:solidFill>
              <w14:schemeClr w14:val="tx1"/>
            </w14:solidFill>
          </w14:textFill>
        </w:rPr>
        <w:t>要求进行电磁预测，工频电场强度计算结果见表</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8</w:t>
      </w:r>
      <w:r>
        <w:rPr>
          <w:rFonts w:hint="eastAsia" w:ascii="宋体" w:hAnsi="宋体" w:cs="宋体"/>
          <w:color w:val="000000" w:themeColor="text1"/>
          <w:kern w:val="0"/>
          <w:lang w:bidi="ar"/>
          <w14:textFill>
            <w14:solidFill>
              <w14:schemeClr w14:val="tx1"/>
            </w14:solidFill>
          </w14:textFill>
        </w:rPr>
        <w:t>及图</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9</w:t>
      </w:r>
      <w:r>
        <w:rPr>
          <w:rFonts w:hint="eastAsia" w:ascii="宋体" w:hAnsi="宋体" w:cs="宋体"/>
          <w:color w:val="000000" w:themeColor="text1"/>
          <w:kern w:val="0"/>
          <w:lang w:bidi="ar"/>
          <w14:textFill>
            <w14:solidFill>
              <w14:schemeClr w14:val="tx1"/>
            </w14:solidFill>
          </w14:textFill>
        </w:rPr>
        <w:t>。</w:t>
      </w:r>
    </w:p>
    <w:p w14:paraId="24ABB2D0">
      <w:pPr>
        <w:snapToGrid w:val="0"/>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表6.1-</w:t>
      </w:r>
      <w:r>
        <w:rPr>
          <w:rFonts w:hint="eastAsia"/>
          <w:b/>
          <w:bCs/>
          <w:color w:val="000000" w:themeColor="text1"/>
          <w:sz w:val="21"/>
          <w:szCs w:val="21"/>
          <w14:textFill>
            <w14:solidFill>
              <w14:schemeClr w14:val="tx1"/>
            </w14:solidFill>
          </w14:textFill>
        </w:rPr>
        <w:t>8</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并行</w:t>
      </w:r>
      <w:r>
        <w:rPr>
          <w:b/>
          <w:bCs/>
          <w:color w:val="000000" w:themeColor="text1"/>
          <w:sz w:val="21"/>
          <w:szCs w:val="21"/>
          <w14:textFill>
            <w14:solidFill>
              <w14:schemeClr w14:val="tx1"/>
            </w14:solidFill>
          </w14:textFill>
        </w:rPr>
        <w:t>单回输电线路工频电场强度、工频磁感应强度预测结果</w:t>
      </w:r>
    </w:p>
    <w:tbl>
      <w:tblPr>
        <w:tblStyle w:val="2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2"/>
        <w:gridCol w:w="932"/>
        <w:gridCol w:w="854"/>
        <w:gridCol w:w="854"/>
        <w:gridCol w:w="863"/>
        <w:gridCol w:w="935"/>
        <w:gridCol w:w="935"/>
        <w:gridCol w:w="935"/>
        <w:gridCol w:w="938"/>
      </w:tblGrid>
      <w:tr w14:paraId="1CFDB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77" w:type="pct"/>
            <w:vMerge w:val="restart"/>
            <w:tcBorders>
              <w:top w:val="single" w:color="000000" w:sz="4" w:space="0"/>
              <w:left w:val="single" w:color="000000" w:sz="4" w:space="0"/>
              <w:right w:val="single" w:color="000000" w:sz="4" w:space="0"/>
            </w:tcBorders>
            <w:shd w:val="clear" w:color="auto" w:fill="auto"/>
            <w:vAlign w:val="center"/>
          </w:tcPr>
          <w:p w14:paraId="0B787D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到线路走廊中心的距离（m）</w:t>
            </w:r>
          </w:p>
        </w:tc>
        <w:tc>
          <w:tcPr>
            <w:tcW w:w="219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6A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工频电场强度（单位：kV/m）</w:t>
            </w:r>
          </w:p>
        </w:tc>
        <w:tc>
          <w:tcPr>
            <w:tcW w:w="233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A35A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工频磁感应强度（单位：μT）</w:t>
            </w:r>
          </w:p>
        </w:tc>
      </w:tr>
      <w:tr w14:paraId="263AE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77" w:type="pct"/>
            <w:vMerge w:val="continue"/>
            <w:tcBorders>
              <w:left w:val="single" w:color="000000" w:sz="4" w:space="0"/>
              <w:bottom w:val="single" w:color="000000" w:sz="4" w:space="0"/>
              <w:right w:val="single" w:color="000000" w:sz="4" w:space="0"/>
            </w:tcBorders>
            <w:shd w:val="clear" w:color="auto" w:fill="auto"/>
            <w:vAlign w:val="center"/>
          </w:tcPr>
          <w:p w14:paraId="7EC29A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5C6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线高15.5m</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2D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线高17.2m</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FF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线高19.5m</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CA0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线高30.9m</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D8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线高15.5m</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5D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线高17.2m</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10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线高19.5m</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9AD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线高30.9m</w:t>
            </w:r>
          </w:p>
        </w:tc>
      </w:tr>
      <w:tr w14:paraId="68F6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35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EDB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0.7003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54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0.7486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27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0.8069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8B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8E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3.1609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58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3.1286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24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3.0806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41C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2.7888</w:t>
            </w:r>
          </w:p>
        </w:tc>
      </w:tr>
      <w:tr w14:paraId="66343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220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8DC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0.7289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229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0.7786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0E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0.8384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D72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62F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791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3.2049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05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3.1540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52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2.8466</w:t>
            </w:r>
          </w:p>
        </w:tc>
      </w:tr>
      <w:tr w14:paraId="5E4BB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E80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FE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0.7592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723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0.8103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D66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0.8716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9EA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6C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3.3205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389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3.2842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710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CE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2.9063</w:t>
            </w:r>
          </w:p>
        </w:tc>
      </w:tr>
      <w:tr w14:paraId="0862F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0DE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8A6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0.7912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633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0.8437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8E8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0.9065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72B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34C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E3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E3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3.3096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F6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2.9679</w:t>
            </w:r>
          </w:p>
        </w:tc>
      </w:tr>
      <w:tr w14:paraId="5AE3A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F90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532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0.8250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CF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0.8791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028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0.9434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B0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1.1178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A16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3.4935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549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3.4527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84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3.3921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232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3.0314</w:t>
            </w:r>
          </w:p>
        </w:tc>
      </w:tr>
      <w:tr w14:paraId="53D45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9B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F0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0.8609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61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0.9166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91A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0.9823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42B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B26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3.5857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39A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3.5422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54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3.4779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83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3.0969</w:t>
            </w:r>
          </w:p>
        </w:tc>
      </w:tr>
      <w:tr w14:paraId="67697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E70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201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0.8990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CA0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0.9562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D19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1.0234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0C2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FC0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3.6818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CE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3.6356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49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3.5673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CB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3.1645</w:t>
            </w:r>
          </w:p>
        </w:tc>
      </w:tr>
      <w:tr w14:paraId="4A5E9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FC2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76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0.9394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1AB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0.9982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F0F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1.0668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A9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02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3.7822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289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84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3.6603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6AA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3.2343</w:t>
            </w:r>
          </w:p>
        </w:tc>
      </w:tr>
      <w:tr w14:paraId="4409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D09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0D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296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37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615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2B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3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3.8346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1D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3.7572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04C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3.3063</w:t>
            </w:r>
          </w:p>
        </w:tc>
      </w:tr>
      <w:tr w14:paraId="39C8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AD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89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02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1.0899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19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1.1613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C6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F9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3.9968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74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3.9408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D69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3.8583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3D4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3.3807</w:t>
            </w:r>
          </w:p>
        </w:tc>
      </w:tr>
      <w:tr w14:paraId="28BE2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E87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817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74C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2D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A95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3E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4.1117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021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4.0518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EA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3.9638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0F8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3.4575</w:t>
            </w:r>
          </w:p>
        </w:tc>
      </w:tr>
      <w:tr w14:paraId="16BF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B4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84A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229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6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1.2672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007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5B9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4.2320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35B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EBB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4.0739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92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3.5368</w:t>
            </w:r>
          </w:p>
        </w:tc>
      </w:tr>
      <w:tr w14:paraId="51D67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7BE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EC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516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3CA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1.3249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F2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56F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4.3580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4B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4.2894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559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4.1889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BB5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3.6187</w:t>
            </w:r>
          </w:p>
        </w:tc>
      </w:tr>
      <w:tr w14:paraId="52C57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4A0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BCA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1.2420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E20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1D9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1.3862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DEF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08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4.4903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48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4.4166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2B5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4.3091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BB6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3.7033</w:t>
            </w:r>
          </w:p>
        </w:tc>
      </w:tr>
      <w:tr w14:paraId="0C64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6E2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FA1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B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AD2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1.4512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75D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393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58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4.5500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CE3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4.4347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890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3.7906</w:t>
            </w:r>
          </w:p>
        </w:tc>
      </w:tr>
      <w:tr w14:paraId="20F9F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6BE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57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AE0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24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1.5203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F9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1.6295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BA0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4.7750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505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4.6899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44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4.5662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C51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3.8809</w:t>
            </w:r>
          </w:p>
        </w:tc>
      </w:tr>
      <w:tr w14:paraId="7120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9B1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AB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1.4440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A13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1.5165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5DF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1.5937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A6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CB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4.9284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09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4.8368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C9B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4.7039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97C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3.9740</w:t>
            </w:r>
          </w:p>
        </w:tc>
      </w:tr>
      <w:tr w14:paraId="29F2D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4E5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D5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55C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86D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2A4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B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5.0898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DC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4.9910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05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4.8481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38D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4.0703</w:t>
            </w:r>
          </w:p>
        </w:tc>
      </w:tr>
      <w:tr w14:paraId="450C7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E66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6B6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3C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BE8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1.7546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A3F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075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5.2599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8DD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5.1532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DD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4.9993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E50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4.1696</w:t>
            </w:r>
          </w:p>
        </w:tc>
      </w:tr>
      <w:tr w14:paraId="241CF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940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04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4F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1.7674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F9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1.8430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EF2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6F9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5.4393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83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5.3238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03A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5.1578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1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4.2722</w:t>
            </w:r>
          </w:p>
        </w:tc>
      </w:tr>
      <w:tr w14:paraId="77A8C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549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46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8D5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86C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1.9370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7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A89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5.6285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9A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5.5035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77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5.3242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42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4.3781</w:t>
            </w:r>
          </w:p>
        </w:tc>
      </w:tr>
      <w:tr w14:paraId="638DE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FAA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BDA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00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415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2.0372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F6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50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5.8284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38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5.6928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33E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5.4988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53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4.4874</w:t>
            </w:r>
          </w:p>
        </w:tc>
      </w:tr>
      <w:tr w14:paraId="040CC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E7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67B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FBF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9D9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2.1439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66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2D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6.0398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7F6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5.8924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992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5.6823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A87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4.6001</w:t>
            </w:r>
          </w:p>
        </w:tc>
      </w:tr>
      <w:tr w14:paraId="6BD3C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932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D13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2.1193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91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B35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2.2576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0F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2.1630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4AA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6.2635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5B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6.1030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15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5.8752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A39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4.7164</w:t>
            </w:r>
          </w:p>
        </w:tc>
      </w:tr>
      <w:tr w14:paraId="27679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03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600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5D0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9FB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2.3789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668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C11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6.5004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2CF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6.3254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564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6.0780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589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4.8363</w:t>
            </w:r>
          </w:p>
        </w:tc>
      </w:tr>
      <w:tr w14:paraId="54D45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1DF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B39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2.3861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B54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2.4553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CAD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2.5081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507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FB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6.7517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48B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6.5604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A28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6.2914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F87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4.9598</w:t>
            </w:r>
          </w:p>
        </w:tc>
      </w:tr>
      <w:tr w14:paraId="63601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9B7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9D7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2.5358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684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C5E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2.6459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E50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27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7.0183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7F3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6.8090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331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6.5159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DA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5.0869</w:t>
            </w:r>
          </w:p>
        </w:tc>
      </w:tr>
      <w:tr w14:paraId="4F8B7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F0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3BB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2.6977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44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F5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2.7928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EA0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E6A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7.3015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94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7.0721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527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6.7523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4F1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5.2178</w:t>
            </w:r>
          </w:p>
        </w:tc>
      </w:tr>
      <w:tr w14:paraId="2024B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E84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FA5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2.8728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710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2.9265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76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2.9492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3B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3F8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7.6026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C9B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7.3506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E3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7.0012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2C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5.3524</w:t>
            </w:r>
          </w:p>
        </w:tc>
      </w:tr>
      <w:tr w14:paraId="6B9F2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3E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AE6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663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3.1076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2B9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3.1158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8AE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BC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7.9231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D5D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87B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7.2634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1A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5.4907</w:t>
            </w:r>
          </w:p>
        </w:tc>
      </w:tr>
      <w:tr w14:paraId="0AB09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D53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5AE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3.2678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F9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3.3024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420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3.2931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3C9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2.7482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15A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8.2643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93E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7.9584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04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7.5395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8B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5.6326</w:t>
            </w:r>
          </w:p>
        </w:tc>
      </w:tr>
      <w:tr w14:paraId="5A7DA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DD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5E7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3.4903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F7E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E6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3.4815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A32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E6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8.6280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35F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8.2900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D6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7.8303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69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5.7780</w:t>
            </w:r>
          </w:p>
        </w:tc>
      </w:tr>
      <w:tr w14:paraId="0DBE8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98F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66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F7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D2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3.6815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5A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2.9298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02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9.0159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EAF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8.6417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FD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8.1365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6D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5.9270</w:t>
            </w:r>
          </w:p>
        </w:tc>
      </w:tr>
      <w:tr w14:paraId="24CEB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578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371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3.9925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8FB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3.9774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FB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3.8933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CD5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3.0216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FF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9.4297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943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9.0147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CD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8.4588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2C1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6.0793</w:t>
            </w:r>
          </w:p>
        </w:tc>
      </w:tr>
      <w:tr w14:paraId="062B4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30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60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4.2751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7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4.2357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D7D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4.1173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8DF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CD5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9.8714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DF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9.4103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E49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8.7979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2B2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6.2348</w:t>
            </w:r>
          </w:p>
        </w:tc>
      </w:tr>
      <w:tr w14:paraId="05082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EE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74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4.5807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5CD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E2C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4.3535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EAF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3.2046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8D8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10.3428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40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9.8297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7E6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9.1542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D32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6.3933</w:t>
            </w:r>
          </w:p>
        </w:tc>
      </w:tr>
      <w:tr w14:paraId="2DC41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13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F4E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4.9107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1BF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4.8066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FE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4.6017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A28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9E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10.8461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E3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10.2740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515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9.5284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74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6.5545</w:t>
            </w:r>
          </w:p>
        </w:tc>
      </w:tr>
      <w:tr w14:paraId="1101A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9B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00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5.2663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194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5.1201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A1F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4.8614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9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6E4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11.3831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27C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10.7444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09C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9.9206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AF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6.7182</w:t>
            </w:r>
          </w:p>
        </w:tc>
      </w:tr>
      <w:tr w14:paraId="10C7C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2DE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99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5.6483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35B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5.4523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DE6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5.1320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294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3.4693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085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11.9556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E44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11.2417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DE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10.3311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675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6.8839</w:t>
            </w:r>
          </w:p>
        </w:tc>
      </w:tr>
      <w:tr w14:paraId="2E1C4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328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1D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6.0572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862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5.8027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0D2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5.4121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550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3.5520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CED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12.5653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662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11.7665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CD7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10.7597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9DB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7.0513</w:t>
            </w:r>
          </w:p>
        </w:tc>
      </w:tr>
      <w:tr w14:paraId="22200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A0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96A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6.4928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55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6.1700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19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5.7001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58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3.6306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F6D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13.2133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19A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12.3190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ED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11.2059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34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7.2200</w:t>
            </w:r>
          </w:p>
        </w:tc>
      </w:tr>
      <w:tr w14:paraId="663B7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2AA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4F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6.9538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CC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6.5522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57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5.9936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1E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3.7042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AA5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13.9004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820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12.8989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FEA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11.6691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03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7.3894</w:t>
            </w:r>
          </w:p>
        </w:tc>
      </w:tr>
      <w:tr w14:paraId="443FE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B10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E1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7.4380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26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6.9465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7F0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6.2898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B6D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3.7718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1AB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14.6264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41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13.5054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05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12.1479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7A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7.5591</w:t>
            </w:r>
          </w:p>
        </w:tc>
      </w:tr>
      <w:tr w14:paraId="7B86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1D1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42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7.9415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A1A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7.3485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464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6.5848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00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3.8325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C1C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15.3903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5F6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14.1367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802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12.6406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F10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7.7284</w:t>
            </w:r>
          </w:p>
        </w:tc>
      </w:tr>
      <w:tr w14:paraId="17302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42D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839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8.4583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C8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7.7528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859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6.8742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71C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C72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16.1896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980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14.7901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D76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13.1448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5EA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7.8966</w:t>
            </w:r>
          </w:p>
        </w:tc>
      </w:tr>
      <w:tr w14:paraId="1C136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C1D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49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8.9805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86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8.1524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0BA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7.1527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594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3.9292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DC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17.0202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3F6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15.4620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6E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13.6575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2F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8.0632</w:t>
            </w:r>
          </w:p>
        </w:tc>
      </w:tr>
      <w:tr w14:paraId="04AEE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D7F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0B6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9.4975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72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8.5388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43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7.4143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E02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963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17.8758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F14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16.1471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336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14.1751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78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8.2274</w:t>
            </w:r>
          </w:p>
        </w:tc>
      </w:tr>
      <w:tr w14:paraId="16D9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D0E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5CA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9.9960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A1E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8.9021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4A7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7.6524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459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3.9867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61A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18.7481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AC6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16.8391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9A5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14.6935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71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8.3885</w:t>
            </w:r>
          </w:p>
        </w:tc>
      </w:tr>
      <w:tr w14:paraId="047A7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FDD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27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10.4602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2B4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9.2311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22D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7.8600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0BB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3.9986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DD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19.6264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AF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17.5306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33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15.2078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366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8.5458</w:t>
            </w:r>
          </w:p>
        </w:tc>
      </w:tr>
      <w:tr w14:paraId="401F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1BD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7F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10.8726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DBE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9.5139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43F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8.0302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BDF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3.9984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4F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20.4977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736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18.2126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B05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15.7128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EBA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8.6986</w:t>
            </w:r>
          </w:p>
        </w:tc>
      </w:tr>
      <w:tr w14:paraId="3DB19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992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98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11.2142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65C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9.7384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A5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8.1561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024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3.9857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4D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21.3471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579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18.8759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E2E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16.2030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DDF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8.8462</w:t>
            </w:r>
          </w:p>
        </w:tc>
      </w:tr>
      <w:tr w14:paraId="22C21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8A7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237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11.4667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B1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9.8933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E32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8.2317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087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D5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22.1588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040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19.5105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D3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16.6731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840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8.9878</w:t>
            </w:r>
          </w:p>
        </w:tc>
      </w:tr>
      <w:tr w14:paraId="2CAAB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55D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57C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11.6136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94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9.9690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48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8.2523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268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3.9213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B04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22.9172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F0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20.1070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F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17.1179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94E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9.1230</w:t>
            </w:r>
          </w:p>
        </w:tc>
      </w:tr>
      <w:tr w14:paraId="20CBA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323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844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11.6423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A16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9.9587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68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8.2149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11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3.8698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2A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23.6078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129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20.6569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1D0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17.5329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C69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9.2511</w:t>
            </w:r>
          </w:p>
        </w:tc>
      </w:tr>
      <w:tr w14:paraId="79294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21F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C9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11.5459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983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9.8592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2C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8.1185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756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3.8058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BF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24.2194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EE5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21.1535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1D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17.9142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291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9.3717</w:t>
            </w:r>
          </w:p>
        </w:tc>
      </w:tr>
      <w:tr w14:paraId="7027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5BC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5D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11.3246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A7F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9.6715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DB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7.9648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063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727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24.7446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2DB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21.5920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6D2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18.2592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D0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9.4842</w:t>
            </w:r>
          </w:p>
        </w:tc>
      </w:tr>
      <w:tr w14:paraId="06BEB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B74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02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10.9860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A2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9.4016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89B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7.7581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27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3.6433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3B8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25.1806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BFC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ACE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18.5666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760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9.5883</w:t>
            </w:r>
          </w:p>
        </w:tc>
      </w:tr>
      <w:tr w14:paraId="78B3A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47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78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10.5456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C0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9.0602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E9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7.5055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01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3.5469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EC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25.5298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1C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22.2897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96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18.8361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E1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9.6838</w:t>
            </w:r>
          </w:p>
        </w:tc>
      </w:tr>
      <w:tr w14:paraId="6DA33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2E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CF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10.0254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A99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8.6626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FBA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7.2169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DA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3.4423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5E3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25.7987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F08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22.5526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D2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19.0688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A57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9.7705</w:t>
            </w:r>
          </w:p>
        </w:tc>
      </w:tr>
      <w:tr w14:paraId="5FA1E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A2C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BD1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9.4542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AC5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8.2288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509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6.9047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76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3.3311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DA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25.9976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27C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22.7642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AF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19.2668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BE1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9.8482</w:t>
            </w:r>
          </w:p>
        </w:tc>
      </w:tr>
      <w:tr w14:paraId="45041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296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AFD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8.8655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214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F29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6.5838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B5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080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26.1387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39F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22.9314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419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19.4329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9D5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9.9169</w:t>
            </w:r>
          </w:p>
        </w:tc>
      </w:tr>
      <w:tr w14:paraId="67926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5E7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6C6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8.2974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77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7.3495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E17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6.2708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676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3.0966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D8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26.2355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8ED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23.0614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350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19.5706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E76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9.9767</w:t>
            </w:r>
          </w:p>
        </w:tc>
      </w:tr>
      <w:tr w14:paraId="35B77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DE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CF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7.7910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2D9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6.9595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6FA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5.9833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60B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2.9773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F3B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26.3011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DB8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23.1619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5A8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19.6837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7A3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10.0275</w:t>
            </w:r>
          </w:p>
        </w:tc>
      </w:tr>
      <w:tr w14:paraId="7557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CD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AE4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7.3875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1B3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6.6406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BE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5.7389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68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A4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26.3476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569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23.2404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9A1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19.7758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FD6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10.0696</w:t>
            </w:r>
          </w:p>
        </w:tc>
      </w:tr>
      <w:tr w14:paraId="7FC87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EE2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6A6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96D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6.4179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911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5.5525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B20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2.7450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8F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26.3853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8E7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23.3033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776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19.8506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77F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10.1031</w:t>
            </w:r>
          </w:p>
        </w:tc>
      </w:tr>
      <w:tr w14:paraId="5064C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DC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CDF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7.0230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A8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6.3082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77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5.4347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E0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4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26.4224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B4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23.3561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522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19.9111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9B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10.1282</w:t>
            </w:r>
          </w:p>
        </w:tc>
      </w:tr>
      <w:tr w14:paraId="4B7E0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CF4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906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7.0911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562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6.3160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27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5.3895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857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531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26.4644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E35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23.4027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5A0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19.9600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FAF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10.1451</w:t>
            </w:r>
          </w:p>
        </w:tc>
      </w:tr>
      <w:tr w14:paraId="48337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DE2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F04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859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6.4315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29A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5.4127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EFE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5B3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26.5144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0A3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23.4459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B6F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19.9992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206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10.1540</w:t>
            </w:r>
          </w:p>
        </w:tc>
      </w:tr>
      <w:tr w14:paraId="4C766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B27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D18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9D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6.6331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95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5.4931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36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15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26.5727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AC2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23.4868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E3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20.0299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20D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10.1552</w:t>
            </w:r>
          </w:p>
        </w:tc>
      </w:tr>
      <w:tr w14:paraId="34991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E0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236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8.0602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244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6.8915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C3D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5.6143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8D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8A9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26.6374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63B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23.5252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73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20.0529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9CB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10.1488</w:t>
            </w:r>
          </w:p>
        </w:tc>
      </w:tr>
      <w:tr w14:paraId="4D6E3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A8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914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8.5003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EAF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7.1749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79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5.7572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F24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93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26.7044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7B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23.5598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B4F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20.0682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E7C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10.1350</w:t>
            </w:r>
          </w:p>
        </w:tc>
      </w:tr>
      <w:tr w14:paraId="36FEE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857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30E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8.9256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AF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7.4523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9FD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5.9027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987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2.1537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11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26.7681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983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23.5883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4B2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20.0756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57B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10.1139</w:t>
            </w:r>
          </w:p>
        </w:tc>
      </w:tr>
      <w:tr w14:paraId="1287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23B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C65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9.2979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4A1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7.6966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C3F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6.0332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7E3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12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26.8218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4B8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23.6079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6C1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20.0743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B73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10.0859</w:t>
            </w:r>
          </w:p>
        </w:tc>
      </w:tr>
      <w:tr w14:paraId="204B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EB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C76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9.5857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B4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7.8855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89A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6.1345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231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2.0633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507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26.8591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E2F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23.6159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AEC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20.0638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18A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10.0509</w:t>
            </w:r>
          </w:p>
        </w:tc>
      </w:tr>
      <w:tr w14:paraId="5CCE6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A0D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F9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9.7655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47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9F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6.1955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4DE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F8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26.8743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3E2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23.6098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58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20.0431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18E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10.0091</w:t>
            </w:r>
          </w:p>
        </w:tc>
      </w:tr>
      <w:tr w14:paraId="61A29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F9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FE2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9.8224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E6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8.0368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805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6.2097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06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B28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26.8632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E0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23.5877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BD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20.0118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69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9.9605</w:t>
            </w:r>
          </w:p>
        </w:tc>
      </w:tr>
      <w:tr w14:paraId="1705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224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4B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9.7510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F82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7.9852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32F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6.1744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C8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091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26.8243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B2E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23.5488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230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19.9695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DE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9.9053</w:t>
            </w:r>
          </w:p>
        </w:tc>
      </w:tr>
      <w:tr w14:paraId="1A1BE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D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150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9.5561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27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7.8506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95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6.0917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E73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8C2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26.7583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002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23.4933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E8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19.9162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038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9.8434</w:t>
            </w:r>
          </w:p>
        </w:tc>
      </w:tr>
      <w:tr w14:paraId="2BE33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45A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94D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9.2517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600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72D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5.9676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0ED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1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26.6683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8B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23.4225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EF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19.8522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48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9.7750</w:t>
            </w:r>
          </w:p>
        </w:tc>
      </w:tr>
      <w:tr w14:paraId="67103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A1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67E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8.8608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84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7C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5.8126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E2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94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26.5593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688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23.3383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C2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19.7779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68C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9.6999</w:t>
            </w:r>
          </w:p>
        </w:tc>
      </w:tr>
      <w:tr w14:paraId="76731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39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9E6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8.4142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D3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7.0763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78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5.6407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CCF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E0E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26.4374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60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23.2432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E1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19.6939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99A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9.6183</w:t>
            </w:r>
          </w:p>
        </w:tc>
      </w:tr>
      <w:tr w14:paraId="5A99F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3B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BB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7.9496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EA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6.7668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8FD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5.4694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5F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F9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26.3090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1F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23.1399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448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19.6008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CA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9.5302</w:t>
            </w:r>
          </w:p>
        </w:tc>
      </w:tr>
      <w:tr w14:paraId="60A4B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544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9C3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D82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6.4798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35F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5.3182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0F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2.0537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9D8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26.1795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466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23.0305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C9E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19.4989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773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9.4354</w:t>
            </w:r>
          </w:p>
        </w:tc>
      </w:tr>
      <w:tr w14:paraId="0F5A2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5B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88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7.1427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491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6.2481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B53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5.2072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5BA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0D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26.0533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9F3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22.9166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422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19.3885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CB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9.3342</w:t>
            </w:r>
          </w:p>
        </w:tc>
      </w:tr>
      <w:tr w14:paraId="3F62C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196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911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6.8925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72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6.1026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042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5.1542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7BD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2.1677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5FF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25.9329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004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22.7989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746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19.2691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223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9.2263</w:t>
            </w:r>
          </w:p>
        </w:tc>
      </w:tr>
      <w:tr w14:paraId="2E6C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32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A2B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6.7963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45E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6.0673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AFD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5.1721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3E1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14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25.8186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50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22.6768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FD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19.1400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06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9.1120</w:t>
            </w:r>
          </w:p>
        </w:tc>
      </w:tr>
      <w:tr w14:paraId="60D5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DCC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96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6.8735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917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6.1537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A9B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5.2661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32F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6BC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25.7085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719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22.5485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0F9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19.0000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6D0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8.9912</w:t>
            </w:r>
          </w:p>
        </w:tc>
      </w:tr>
      <w:tr w14:paraId="08E23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67F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D58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910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6.3583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4C6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5.4329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8AD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3A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25.5981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36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22.4110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ED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18.8472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297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8.8640</w:t>
            </w:r>
          </w:p>
        </w:tc>
      </w:tr>
      <w:tr w14:paraId="78CCF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19F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DC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56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6.6639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8D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5.6618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E83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AEE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25.4807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3B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22.2600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EAE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18.6795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5A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8.7305</w:t>
            </w:r>
          </w:p>
        </w:tc>
      </w:tr>
      <w:tr w14:paraId="76C5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4A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CB8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8.0129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1DB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7.0446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2F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5.9367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D91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2.6131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C4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25.3478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F1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22.0905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3C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18.4945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872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8.5909</w:t>
            </w:r>
          </w:p>
        </w:tc>
      </w:tr>
      <w:tr w14:paraId="152D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752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6EC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8.5768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8F9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7.4701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72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6.2392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C7F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2.7132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7E3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25.1892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60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21.8967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C70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18.2894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71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8.4454</w:t>
            </w:r>
          </w:p>
        </w:tc>
      </w:tr>
      <w:tr w14:paraId="7C523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D1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C90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9.1622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D6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7.9106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B2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6.5505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E4D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CF0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24.9936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B61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21.6724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52D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18.0619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FD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8.2942</w:t>
            </w:r>
          </w:p>
        </w:tc>
      </w:tr>
      <w:tr w14:paraId="3D90E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84C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135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9.7296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7FC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8.3380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29E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6.8532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F6E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2.9049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816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24.7498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1E9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21.4120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9E6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17.8096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679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8.1378</w:t>
            </w:r>
          </w:p>
        </w:tc>
      </w:tr>
      <w:tr w14:paraId="654D6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443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296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10.2447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89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8.7281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B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7.1317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6A6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2.9920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762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24.4475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BC3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21.1103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9E4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17.5309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D04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7.9763</w:t>
            </w:r>
          </w:p>
        </w:tc>
      </w:tr>
      <w:tr w14:paraId="754DC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3C0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196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10.6781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A2C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9.0606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ED6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7.3730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6F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3.0705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02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24.0784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ECA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20.7638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C7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17.2248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6EE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7.8105</w:t>
            </w:r>
          </w:p>
        </w:tc>
      </w:tr>
      <w:tr w14:paraId="3D420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015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B91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11.0073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78A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9.3195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E18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7.5668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A08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3.1389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42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23.6373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94F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66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16.8912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A01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7.6406</w:t>
            </w:r>
          </w:p>
        </w:tc>
      </w:tr>
      <w:tr w14:paraId="4C2D8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65E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9D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11.2167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B77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9.4940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E3E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7.7058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4C4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3.1957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86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23.1233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0B2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19.9310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E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16.5312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5C9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7.4674</w:t>
            </w:r>
          </w:p>
        </w:tc>
      </w:tr>
      <w:tr w14:paraId="57C5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E57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5E1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11.2985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5E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9.5781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CAF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7.7855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43F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3.2400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7C8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22.5393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C53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19.4476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6E4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16.1466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38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7.2914</w:t>
            </w:r>
          </w:p>
        </w:tc>
      </w:tr>
      <w:tr w14:paraId="4BE2E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18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8BA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11.2525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049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9.5705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365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7.8042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47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3.2708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CA5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21.8928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E4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18.9253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B7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15.7406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25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7.1134</w:t>
            </w:r>
          </w:p>
        </w:tc>
      </w:tr>
      <w:tr w14:paraId="2D6AB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65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8AC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11.0858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1B1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9.4745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43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7.7629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2D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3.2879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4CA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21.1946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D79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CF4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15.3168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69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6.9341</w:t>
            </w:r>
          </w:p>
        </w:tc>
      </w:tr>
      <w:tr w14:paraId="4291E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D17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F4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10.8110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07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9.2972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80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7.6645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57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DEF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20.4579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C13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17.7915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64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14.8798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47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6.7543</w:t>
            </w:r>
          </w:p>
        </w:tc>
      </w:tr>
      <w:tr w14:paraId="7064B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572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CB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10.4449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C7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9.0481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412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7.5140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41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3.2802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E5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19.6971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D86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17.1968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93A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14.4343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1B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6.5749</w:t>
            </w:r>
          </w:p>
        </w:tc>
      </w:tr>
      <w:tr w14:paraId="57708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28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B91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F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8.7389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BCC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7.3175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F0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3.2558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A26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18.9266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86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16.5951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734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13.9852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10E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6.3965</w:t>
            </w:r>
          </w:p>
        </w:tc>
      </w:tr>
      <w:tr w14:paraId="7D21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A21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AEB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9.5135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A34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8.3816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B3C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7.0817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96B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61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18.1596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6C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15.9949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80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13.5374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1F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6.2201</w:t>
            </w:r>
          </w:p>
        </w:tc>
      </w:tr>
      <w:tr w14:paraId="5F13D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33F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F18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8.9852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77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7.9885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6BA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6.8139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FB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3.1687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CC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17.4077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AD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15.4039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6E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13.0955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8CD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6.0465</w:t>
            </w:r>
          </w:p>
        </w:tc>
      </w:tr>
      <w:tr w14:paraId="29738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677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6E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8.4371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73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7.5708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08D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6.5212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AF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3.1074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AD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16.6803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B3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14.8286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5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12.6635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F02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5.8765</w:t>
            </w:r>
          </w:p>
        </w:tc>
      </w:tr>
      <w:tr w14:paraId="79362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ABA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D7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7.8825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C1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7.1387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BBA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6.2103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C39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1A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15.9847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C54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14.2744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5C2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12.2449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68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5.7108</w:t>
            </w:r>
          </w:p>
        </w:tc>
      </w:tr>
      <w:tr w14:paraId="2E54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9C8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085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7.3323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FE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6.7007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0F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5.8874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A0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2.9544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F3B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15.3262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4B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13.7456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474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11.8429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C99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5.5504</w:t>
            </w:r>
          </w:p>
        </w:tc>
      </w:tr>
      <w:tr w14:paraId="4C68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0A1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D7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6.7946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867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6.2641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6D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5.5579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14B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71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14.7082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B7C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13.2454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5E1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11.4598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CC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5.3959</w:t>
            </w:r>
          </w:p>
        </w:tc>
      </w:tr>
      <w:tr w14:paraId="35642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26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B38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6.2754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16C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5.8346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AD0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5.2265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82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2.7683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D6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14.1330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D0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12.7759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A10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11.0974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B84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5.2480</w:t>
            </w:r>
          </w:p>
        </w:tc>
      </w:tr>
      <w:tr w14:paraId="46B77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2B3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D3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5.7789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CD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5.4164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003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4.8971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454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A4B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13.6012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0C9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12.3384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49D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10.7573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B99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5.1075</w:t>
            </w:r>
          </w:p>
        </w:tc>
      </w:tr>
      <w:tr w14:paraId="2E70A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AA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C6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5.3074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8E5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5.0128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CCC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4.5730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190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E7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13.1129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A95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11.9337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E0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10.4403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72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4.9748</w:t>
            </w:r>
          </w:p>
        </w:tc>
      </w:tr>
      <w:tr w14:paraId="55FB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DD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53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4.8625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57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14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4.2569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1C8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872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12.6674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500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11.5620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498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10.1471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991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4.8507</w:t>
            </w:r>
          </w:p>
        </w:tc>
      </w:tr>
      <w:tr w14:paraId="6F4CB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2E5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FDC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4.4448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BA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4.2580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73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3.9508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FF9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B35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12.2637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6CC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11.2230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A0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9.8780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AA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4.7356</w:t>
            </w:r>
          </w:p>
        </w:tc>
      </w:tr>
      <w:tr w14:paraId="4FE62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71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DEF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4.0542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F0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3.9094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02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3.6567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B78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A5F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11.9004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1FC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10.9162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5C0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9.6331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EB9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4.6301</w:t>
            </w:r>
          </w:p>
        </w:tc>
      </w:tr>
      <w:tr w14:paraId="34C5E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121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68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3.6905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317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3.5813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DFA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3.3759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455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62C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11.5762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33B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10.6411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5B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9.4124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2AB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4.5347</w:t>
            </w:r>
          </w:p>
        </w:tc>
      </w:tr>
      <w:tr w14:paraId="375C1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49F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81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3.3536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4AD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3.2742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210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3.1101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99C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F9D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11.2894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01F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10.3967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A65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9.2156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A55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4.4496</w:t>
            </w:r>
          </w:p>
        </w:tc>
      </w:tr>
      <w:tr w14:paraId="5324A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44B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7D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8E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2.9890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681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26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943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4B3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10.1823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B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9.0424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E8A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4.3752</w:t>
            </w:r>
          </w:p>
        </w:tc>
      </w:tr>
      <w:tr w14:paraId="67BCD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468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DB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2.7599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DCB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2.7269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7B1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2.6298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197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AC3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10.8224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20B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9.9971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69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8.8926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40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4.3119</w:t>
            </w:r>
          </w:p>
        </w:tc>
      </w:tr>
      <w:tr w14:paraId="66342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37E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BE6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41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306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2.4191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D62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225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10.6395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242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9.8402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614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8.7658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45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4.2599</w:t>
            </w:r>
          </w:p>
        </w:tc>
      </w:tr>
      <w:tr w14:paraId="37C1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F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4C6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2.2791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CA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2.2789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6E5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A15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1.6160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0C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10.4889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260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9.7111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8BE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8.6615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621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4.2192</w:t>
            </w:r>
          </w:p>
        </w:tc>
      </w:tr>
      <w:tr w14:paraId="74827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AB9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3B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ACF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2.0987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99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2.0710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BB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EB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10.3694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E88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9.6089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350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8.5796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787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4.1901</w:t>
            </w:r>
          </w:p>
        </w:tc>
      </w:tr>
      <w:tr w14:paraId="60A70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28A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53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EF0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674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1.9410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7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64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10.2803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7CC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9.5331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6C8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8.5196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DB8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4.1726</w:t>
            </w:r>
          </w:p>
        </w:tc>
      </w:tr>
      <w:tr w14:paraId="47A6C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75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730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BFB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ED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1.8461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A31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97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10.2209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A8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9.4834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6A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8.4814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43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4.1665</w:t>
            </w:r>
          </w:p>
        </w:tc>
      </w:tr>
      <w:tr w14:paraId="702D9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EBC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228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BA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9DB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1.7902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3E1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1.4248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24B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10.1907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D66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9.4593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15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8.4646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89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4.1719</w:t>
            </w:r>
          </w:p>
        </w:tc>
      </w:tr>
      <w:tr w14:paraId="3D12A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CA0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71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E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1.7668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49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1.7762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302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1.4212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404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10.1895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E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9.4607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77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8.4692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DE7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4.1886</w:t>
            </w:r>
          </w:p>
        </w:tc>
      </w:tr>
      <w:tr w14:paraId="4C506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53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A6A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1.7634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640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D2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1.8047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2E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C72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10.2170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77A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9.4873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B9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8.4950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2E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4.2164</w:t>
            </w:r>
          </w:p>
        </w:tc>
      </w:tr>
      <w:tr w14:paraId="62E50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E62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D46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6F9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41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1.8740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BCD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31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10.2734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E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9.5392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F2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8.5420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BA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4.2550</w:t>
            </w:r>
          </w:p>
        </w:tc>
      </w:tr>
      <w:tr w14:paraId="121B7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A0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5FC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83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3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4BD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C6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10.3588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09C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C03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8.6102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208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4.3041</w:t>
            </w:r>
          </w:p>
        </w:tc>
      </w:tr>
      <w:tr w14:paraId="2B3F6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D5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238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5BC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2.1493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63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63B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1.5882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DA6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10.4736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78C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9.7196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60E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8.6996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AA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4.3634</w:t>
            </w:r>
          </w:p>
        </w:tc>
      </w:tr>
      <w:tr w14:paraId="0275E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2A5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852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443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6A3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2.2896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E34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61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10.6184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4E9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9.8485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6EC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8.8103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119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4.4326</w:t>
            </w:r>
          </w:p>
        </w:tc>
      </w:tr>
      <w:tr w14:paraId="60C56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9D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209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2.5690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7A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2.5540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C3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2.4833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C06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B4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10.7939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01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B5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8.9425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71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4.5112</w:t>
            </w:r>
          </w:p>
        </w:tc>
      </w:tr>
      <w:tr w14:paraId="30CB3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5AF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B4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2.8288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76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2.7962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957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2.6989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2C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861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11.0009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FE7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10.1861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CF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9.0964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C4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4.5988</w:t>
            </w:r>
          </w:p>
        </w:tc>
      </w:tr>
      <w:tr w14:paraId="499D1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B0E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1A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605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3.0618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969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2.9337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FE9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AB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11.2406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44D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10.3958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EEB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9.2722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DD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4.6951</w:t>
            </w:r>
          </w:p>
        </w:tc>
      </w:tr>
      <w:tr w14:paraId="36B97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E4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DC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3.4282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94E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3.3496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819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3.1859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08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070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11.5140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F53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10.6336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8E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9.4699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54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4.7994</w:t>
            </w:r>
          </w:p>
        </w:tc>
      </w:tr>
      <w:tr w14:paraId="6F51C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2D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362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3.7669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DF9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3.6585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E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3.4537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437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F0B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11.8224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C4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10.9002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17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9.6898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4B8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4.9114</w:t>
            </w:r>
          </w:p>
        </w:tc>
      </w:tr>
      <w:tr w14:paraId="3921E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F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DB9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4.1316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4F8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3.9880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8B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3.7359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66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39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12.1671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1F0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11.1962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CE8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9.9320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6A8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5.0306</w:t>
            </w:r>
          </w:p>
        </w:tc>
      </w:tr>
      <w:tr w14:paraId="391B2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46B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4E4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4.5229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D3F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4.3373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D93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4.0311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A1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246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12.5494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73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11.5223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EB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10.1965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8A2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5.1565</w:t>
            </w:r>
          </w:p>
        </w:tc>
      </w:tr>
      <w:tr w14:paraId="29A78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C4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20F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4.9410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87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4.7059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CDF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4.3378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572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C5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12.9707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CC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11.8788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FDC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10.4831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A0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5.2886</w:t>
            </w:r>
          </w:p>
        </w:tc>
      </w:tr>
      <w:tr w14:paraId="0E9AC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1CB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26B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A0A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5.0927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8C7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4.6542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5F0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440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13.4319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7C1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12.2661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3E0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10.7916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94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5.4262</w:t>
            </w:r>
          </w:p>
        </w:tc>
      </w:tr>
      <w:tr w14:paraId="738C9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C6D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07F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5.8570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B87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780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4.9784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0C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16F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13.9340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E53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12.6841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818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11.1213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5D4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5.5689</w:t>
            </w:r>
          </w:p>
        </w:tc>
      </w:tr>
      <w:tr w14:paraId="31FA5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202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FCA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6.3531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3C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5.9139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57A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5.3076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1B5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BC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14.4772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728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13.1323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75A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11.4715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6A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5.7160</w:t>
            </w:r>
          </w:p>
        </w:tc>
      </w:tr>
      <w:tr w14:paraId="2D826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384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39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6.8715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C0C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6.3429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39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5.6386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421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2.9540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D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15.0612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C1B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13.6098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6D5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11.8409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04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5.8669</w:t>
            </w:r>
          </w:p>
        </w:tc>
      </w:tr>
      <w:tr w14:paraId="02D29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9D4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AC4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7.4083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0B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6.7787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998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5.9677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F27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08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15.6849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6E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14.1148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54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12.2278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19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6.0210</w:t>
            </w:r>
          </w:p>
        </w:tc>
      </w:tr>
      <w:tr w14:paraId="6B2C0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7D8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70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7.9575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227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7.2159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724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6.2901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001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3.1266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365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16.3458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2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14.6450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554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12.6302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F87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6.1775</w:t>
            </w:r>
          </w:p>
        </w:tc>
      </w:tr>
      <w:tr w14:paraId="1080A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EA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614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8.5110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25F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74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6.6004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04D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3.1993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90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17.0399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0C3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15.1967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0B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13.0453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2A2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6.3359</w:t>
            </w:r>
          </w:p>
        </w:tc>
      </w:tr>
      <w:tr w14:paraId="1B9EE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F0A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647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9.0580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95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8.0639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79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6.8926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981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3.2614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51C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17.7616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E0C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15.7654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90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13.4700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C22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6.4953</w:t>
            </w:r>
          </w:p>
        </w:tc>
      </w:tr>
      <w:tr w14:paraId="5ADD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25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240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9.5851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2B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8.4562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E9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7.1598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D7A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3.3121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C24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18.5031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F23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16.3455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84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13.9004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BA9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6.6549</w:t>
            </w:r>
          </w:p>
        </w:tc>
      </w:tr>
      <w:tr w14:paraId="24363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623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7D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10.0766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EB9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8.8127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C30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7.3952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644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3.3504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8C1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19.2546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023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16.9299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990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14.3323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2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6.8142</w:t>
            </w:r>
          </w:p>
        </w:tc>
      </w:tr>
      <w:tr w14:paraId="0A0CF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A86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C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10.5145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1CB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9.1213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838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7.5914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04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3.3758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B1D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F50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17.5110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793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14.7611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812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6.9723</w:t>
            </w:r>
          </w:p>
        </w:tc>
      </w:tr>
      <w:tr w14:paraId="5FA7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9D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8D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10.8800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3C1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9.3698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809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7.7417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CC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1B7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31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18.0802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C4C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15.1820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84A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7.1285</w:t>
            </w:r>
          </w:p>
        </w:tc>
      </w:tr>
      <w:tr w14:paraId="06725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740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2CA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11.1543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5B9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9.5469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F6E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7.8400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EA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25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21.4433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432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18.6288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2E2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15.5900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E1F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7.2821</w:t>
            </w:r>
          </w:p>
        </w:tc>
      </w:tr>
      <w:tr w14:paraId="47C4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F9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615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11.3209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94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9.6429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08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7.8816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5A5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6B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22.1041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C62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19.1481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B5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15.9805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197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7.4324</w:t>
            </w:r>
          </w:p>
        </w:tc>
      </w:tr>
      <w:tr w14:paraId="2218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A5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74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11.3671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E2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9.6508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14A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7.8633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AF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3.3401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EA6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22.7082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2D7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19.6306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E2F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16.3493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FDC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7.5788</w:t>
            </w:r>
          </w:p>
        </w:tc>
      </w:tr>
      <w:tr w14:paraId="2DB3C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49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9F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11.2860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57B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9.5674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D9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7D8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425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23.2452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117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20.0700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CD7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16.6930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6E5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7.7206</w:t>
            </w:r>
          </w:p>
        </w:tc>
      </w:tr>
      <w:tr w14:paraId="1BD56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B4B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09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11.0776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21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9.3938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E7C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7.6461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892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3.2415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EC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23.7087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75F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20.4622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40C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17.0089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C2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7.8573</w:t>
            </w:r>
          </w:p>
        </w:tc>
      </w:tr>
      <w:tr w14:paraId="75F4B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CD2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EB9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10.7497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CC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9.1360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560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7.4532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312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3.1744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C0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24.0962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290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20.8053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C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17.2957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20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7.9885</w:t>
            </w:r>
          </w:p>
        </w:tc>
      </w:tr>
      <w:tr w14:paraId="142B0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10C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B0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10.3179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9A8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8.8049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1FB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7.2130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64E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3.0971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68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24.4100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49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21.0995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C8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17.5527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9DB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8.1137</w:t>
            </w:r>
          </w:p>
        </w:tc>
      </w:tr>
      <w:tr w14:paraId="7D29F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8B7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B7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9.8046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FA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8.4162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341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6.9356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112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3.0110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9A2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24.6561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293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21.3476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664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17.7807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70B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8.2326</w:t>
            </w:r>
          </w:p>
        </w:tc>
      </w:tr>
      <w:tr w14:paraId="7A456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512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CD4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9.2388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372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7.9900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7C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6.6337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28C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2.9181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A42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24.8435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062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21.5538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E2C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17.9812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EF8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8.3449</w:t>
            </w:r>
          </w:p>
        </w:tc>
      </w:tr>
      <w:tr w14:paraId="6490E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5E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59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8.6547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68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7.5504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8BC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6.3227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7B8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2.8204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22E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24.9836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A40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21.7238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1CE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18.1563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A1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8.4503</w:t>
            </w:r>
          </w:p>
        </w:tc>
      </w:tr>
      <w:tr w14:paraId="1C526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5F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AF5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8.0912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42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7.1248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33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6.0198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4A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2.7200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469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25.0880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B8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21.8641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E0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18.3087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77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8.5489</w:t>
            </w:r>
          </w:p>
        </w:tc>
      </w:tr>
      <w:tr w14:paraId="61A1D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F3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575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7.5905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AEA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6.7429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907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5.7434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60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2.6194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21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25.1687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546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21.9810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250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18.4415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A19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8.6403</w:t>
            </w:r>
          </w:p>
        </w:tc>
      </w:tr>
      <w:tr w14:paraId="300C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A57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EE9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7.1951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782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6.4342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BA0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5.5116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D5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FB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25.2361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EF4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22.0810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DAA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18.5575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9F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8.7247</w:t>
            </w:r>
          </w:p>
        </w:tc>
      </w:tr>
      <w:tr w14:paraId="6C77A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212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416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6.9425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E2E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6.2245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6C1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5.3400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587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130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25.2992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414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22.1693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2D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18.6596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0D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8.8019</w:t>
            </w:r>
          </w:p>
        </w:tc>
      </w:tr>
      <w:tr w14:paraId="0894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703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784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6.8573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68B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6.1308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C4B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5.2394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ED1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80A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25.3648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F5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22.2504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63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18.7501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950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8.8721</w:t>
            </w:r>
          </w:p>
        </w:tc>
      </w:tr>
      <w:tr w14:paraId="7032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0D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03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6.9437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1F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6.1570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C8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5.2132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596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5D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25.4374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78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22.3276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C4E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18.8310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C38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8.9353</w:t>
            </w:r>
          </w:p>
        </w:tc>
      </w:tr>
      <w:tr w14:paraId="3007A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A8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0C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7.1832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AC8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6.2923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F2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5.2567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812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F5E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25.5189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95A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22.4025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3F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18.9037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8D8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8.9915</w:t>
            </w:r>
          </w:p>
        </w:tc>
      </w:tr>
      <w:tr w14:paraId="18EB4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48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19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7.5401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645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6.5136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800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5.3575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F2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F29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25.6090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41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22.4758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7B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18.9690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5E6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9.0408</w:t>
            </w:r>
          </w:p>
        </w:tc>
      </w:tr>
      <w:tr w14:paraId="0C3C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0C3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596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7.9695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1EE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6.7905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B9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5.4984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05C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17A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25.7050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53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22.5467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2D7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19.0271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0C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9.0833</w:t>
            </w:r>
          </w:p>
        </w:tc>
      </w:tr>
      <w:tr w14:paraId="168ED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8B5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4E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8.4251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B06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7.0904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97D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5.6595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A87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F4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25.8025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C3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22.6135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1C7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19.0780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111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9.1191</w:t>
            </w:r>
          </w:p>
        </w:tc>
      </w:tr>
      <w:tr w14:paraId="40FB5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11E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D1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8.8637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A88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7.3825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B9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5.8214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87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C9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25.8953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1E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22.6738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6BE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19.1212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41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9.1483</w:t>
            </w:r>
          </w:p>
        </w:tc>
      </w:tr>
      <w:tr w14:paraId="08A0B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E1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FA0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9.2473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A49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7.6395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13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5.9667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E67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335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25.9770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83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22.7248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64B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19.1559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24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9.1710</w:t>
            </w:r>
          </w:p>
        </w:tc>
      </w:tr>
      <w:tr w14:paraId="0679B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F9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3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9.5448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213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7.8395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C81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6.0811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A7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EC5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26.0410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4BC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22.7637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AAB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19.1813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38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9.1871</w:t>
            </w:r>
          </w:p>
        </w:tc>
      </w:tr>
      <w:tr w14:paraId="491A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CFF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15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9.7330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4AB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7.9662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A27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6.1541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701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23F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26.0819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FFE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22.7880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6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19.1969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D68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9.1968</w:t>
            </w:r>
          </w:p>
        </w:tc>
      </w:tr>
      <w:tr w14:paraId="67847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7F4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90F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9.7974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E1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E6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6.1791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7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5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26.0960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0D2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22.7963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F83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19.2021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99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9.2000</w:t>
            </w:r>
          </w:p>
        </w:tc>
      </w:tr>
      <w:tr w14:paraId="022A2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A06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6F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9.7330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6D9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7.9662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CAE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6.1541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0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51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26.0819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C40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22.7880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AF2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19.1969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2F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9.1968</w:t>
            </w:r>
          </w:p>
        </w:tc>
      </w:tr>
      <w:tr w14:paraId="31AF6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BA9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C3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9.5448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9F0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7.8395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682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6.0811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A67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574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26.0410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23B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22.7637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56F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19.1813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35A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9.1871</w:t>
            </w:r>
          </w:p>
        </w:tc>
      </w:tr>
      <w:tr w14:paraId="4F17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E6A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B7A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9.2473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F82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7.6395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645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5.9667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E8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CBC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25.9770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134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22.7248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88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19.1559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64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9.1710</w:t>
            </w:r>
          </w:p>
        </w:tc>
      </w:tr>
      <w:tr w14:paraId="7DC7E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07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C73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8.8637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DB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7.3825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E8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5.8214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7CB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41C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25.8953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DDF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22.6738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B42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19.1212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C4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9.1483</w:t>
            </w:r>
          </w:p>
        </w:tc>
      </w:tr>
      <w:tr w14:paraId="681CE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70F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C4C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8.4251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FCD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7.0904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9EF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5.6595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F4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E3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25.8025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85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22.6135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65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19.0780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C65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9.1191</w:t>
            </w:r>
          </w:p>
        </w:tc>
      </w:tr>
      <w:tr w14:paraId="69237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A1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93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7.9695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CCC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6.7905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A1F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5.4984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6E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B3B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25.7050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DD2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22.5467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CBE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19.0271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8F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9.0833</w:t>
            </w:r>
          </w:p>
        </w:tc>
      </w:tr>
      <w:tr w14:paraId="2BB27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60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58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7.5401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07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6.5136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2C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5.3575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C39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3DA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25.6090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A72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22.4758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57B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18.9690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53E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9.0408</w:t>
            </w:r>
          </w:p>
        </w:tc>
      </w:tr>
      <w:tr w14:paraId="56D44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4B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D8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7.1832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83F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6.2923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06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5.2567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C7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28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25.5189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F0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22.4025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4E2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18.9037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0AA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8.9915</w:t>
            </w:r>
          </w:p>
        </w:tc>
      </w:tr>
      <w:tr w14:paraId="57801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A0E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0D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6.9437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13A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6.1570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41F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5.2132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88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EA9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25.4374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64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22.3276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21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18.8310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2B8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8.9353</w:t>
            </w:r>
          </w:p>
        </w:tc>
      </w:tr>
      <w:tr w14:paraId="0DD38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DEB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CF2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6.8573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6FC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6.1308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03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5.2394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543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A76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25.3648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0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22.2504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A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18.7501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A50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8.8721</w:t>
            </w:r>
          </w:p>
        </w:tc>
      </w:tr>
      <w:tr w14:paraId="24CBD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7B6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C0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6.9425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105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6.2245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B2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5.3400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5CB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2.4263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61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25.2992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F9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22.1693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1F2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18.6596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308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8.8019</w:t>
            </w:r>
          </w:p>
        </w:tc>
      </w:tr>
      <w:tr w14:paraId="6A222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0D3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AF6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7.1951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AE3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6.4342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09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5.5116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5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F61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25.2361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DF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22.0810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97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18.5575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5D7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8.7247</w:t>
            </w:r>
          </w:p>
        </w:tc>
      </w:tr>
      <w:tr w14:paraId="2C17F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D2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EF1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7.5905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5D9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6.7429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E53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5.7434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2F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2.6194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A7C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25.1687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8F0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21.9810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CD3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18.4415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B5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8.6403</w:t>
            </w:r>
          </w:p>
        </w:tc>
      </w:tr>
      <w:tr w14:paraId="623C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935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A3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8.0912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C4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7.1248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9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6.0198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F96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2.7200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89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25.0880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784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21.8641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B83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18.3087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22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8.5489</w:t>
            </w:r>
          </w:p>
        </w:tc>
      </w:tr>
      <w:tr w14:paraId="27F0E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EF6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A88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8.6547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9E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7.5504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488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6.3227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C0B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2.8204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66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24.9836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5AE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21.7238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70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18.1563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3BD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8.4503</w:t>
            </w:r>
          </w:p>
        </w:tc>
      </w:tr>
      <w:tr w14:paraId="04F46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6DA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D1F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9.2388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DF7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7.9900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E3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6.6337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3F2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2.9181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03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24.8435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E5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21.5538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416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17.9812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E37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8.3449</w:t>
            </w:r>
          </w:p>
        </w:tc>
      </w:tr>
      <w:tr w14:paraId="005AE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ED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4C7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9.8046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93B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8.4162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56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6.9356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003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3.0110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0B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24.6561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DC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21.3476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26F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17.7807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547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8.2326</w:t>
            </w:r>
          </w:p>
        </w:tc>
      </w:tr>
      <w:tr w14:paraId="66DA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F2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1C8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10.3179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C88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8.8049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559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7.2130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65B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3.0971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5F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24.4100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98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21.0995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EA6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17.5527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96D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8.1137</w:t>
            </w:r>
          </w:p>
        </w:tc>
      </w:tr>
      <w:tr w14:paraId="4D8BB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EBB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F64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10.7497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EF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9.1360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23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7.4532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89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3.1744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87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24.0962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44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20.8053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ABB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17.2957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78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7.9885</w:t>
            </w:r>
          </w:p>
        </w:tc>
      </w:tr>
      <w:tr w14:paraId="04FD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ECF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F8F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11.0776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D05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9.3938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1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7.6461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F1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3.2415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50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23.7087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CF1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20.4622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29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17.0089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541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7.8573</w:t>
            </w:r>
          </w:p>
        </w:tc>
      </w:tr>
      <w:tr w14:paraId="44895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DF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77E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11.2860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FE8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9.5674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476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7E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AB5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23.2452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BA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20.0700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975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16.6930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17A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7.7206</w:t>
            </w:r>
          </w:p>
        </w:tc>
      </w:tr>
      <w:tr w14:paraId="78D3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E1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0CE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11.3671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87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9.6508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279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7.8633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B7B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3.3401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73A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22.7082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B7B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19.6306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0B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16.3493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1A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7.5788</w:t>
            </w:r>
          </w:p>
        </w:tc>
      </w:tr>
      <w:tr w14:paraId="01F5F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A09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9D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11.3209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F00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9.6429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4F6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7.8816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77B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9A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22.1041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11B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19.1481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20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15.9805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EBD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7.4324</w:t>
            </w:r>
          </w:p>
        </w:tc>
      </w:tr>
      <w:tr w14:paraId="5F787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AD1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9C0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11.1543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D8D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9.5469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B83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7.8400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D8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29D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21.4433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277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18.6288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3E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15.5900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740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7.2821</w:t>
            </w:r>
          </w:p>
        </w:tc>
      </w:tr>
      <w:tr w14:paraId="5B07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B7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BB3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10.8800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081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9.3698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13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7.7417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3C0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80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0EE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18.0802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E8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15.1820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552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7.1285</w:t>
            </w:r>
          </w:p>
        </w:tc>
      </w:tr>
      <w:tr w14:paraId="12828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EF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90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10.5145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10C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9.1213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BF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7.5914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7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3.3758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48B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B2A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17.5110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737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14.7611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934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6.9723</w:t>
            </w:r>
          </w:p>
        </w:tc>
      </w:tr>
      <w:tr w14:paraId="15667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01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70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10.0766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BB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8.8127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D0D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7.3952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9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3.3504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C4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19.2546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C3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16.9299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A85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14.3323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8E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6.8142</w:t>
            </w:r>
          </w:p>
        </w:tc>
      </w:tr>
      <w:tr w14:paraId="1911D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42B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24E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9.5851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EFA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8.4562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D62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7.1598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DEF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3.3121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1B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18.5031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CF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16.3455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9E7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13.9004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854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6.6549</w:t>
            </w:r>
          </w:p>
        </w:tc>
      </w:tr>
      <w:tr w14:paraId="3112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97A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A00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9.0580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48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8.0639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03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6.8926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BB3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3.2614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98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17.7616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D0F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15.7654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C7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13.4700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55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6.4953</w:t>
            </w:r>
          </w:p>
        </w:tc>
      </w:tr>
      <w:tr w14:paraId="0A210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27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A3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8.5110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63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3E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6.6004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45D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3.1993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43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17.0399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A90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15.1967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325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13.0453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953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6.3359</w:t>
            </w:r>
          </w:p>
        </w:tc>
      </w:tr>
      <w:tr w14:paraId="7CFC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E3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AB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7.9575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C80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7.2159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16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6.2901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3A5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3.1266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DD4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16.3458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F3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14.6450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96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12.6302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F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6.1775</w:t>
            </w:r>
          </w:p>
        </w:tc>
      </w:tr>
      <w:tr w14:paraId="5748F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7DB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48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7.4083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A1A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6.7787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5C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5.9677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02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7CD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15.6849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72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14.1148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67E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12.2278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1E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6.0210</w:t>
            </w:r>
          </w:p>
        </w:tc>
      </w:tr>
      <w:tr w14:paraId="395DB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31C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8F6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6.8715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D4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6.3429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E2A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5.6386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61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2.9540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428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15.0612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A0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13.6098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A73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11.8409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6C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5.8669</w:t>
            </w:r>
          </w:p>
        </w:tc>
      </w:tr>
      <w:tr w14:paraId="46B9F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12D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515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6.3531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4F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5.9139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3A4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5.3076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F3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58F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14.4772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B76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13.1323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1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11.4715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A54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5.7160</w:t>
            </w:r>
          </w:p>
        </w:tc>
      </w:tr>
      <w:tr w14:paraId="46468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DA0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6C7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5.8570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B57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99E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4.9784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8CE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18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13.9340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7CD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12.6841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5D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11.1213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9B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5.5689</w:t>
            </w:r>
          </w:p>
        </w:tc>
      </w:tr>
      <w:tr w14:paraId="1EEC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BB2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B64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2F6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5.0927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FD9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4.6542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188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F1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13.4319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4A6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12.2661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026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10.7916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257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5.4262</w:t>
            </w:r>
          </w:p>
        </w:tc>
      </w:tr>
      <w:tr w14:paraId="0D5E6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74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94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4.9410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782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4.7059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EA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4.3378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1DE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0E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12.9707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DF5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11.8788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61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10.4831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B5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5.2886</w:t>
            </w:r>
          </w:p>
        </w:tc>
      </w:tr>
      <w:tr w14:paraId="6DEE4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4C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BE5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4.5229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59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4.3373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61A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4.0311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7B5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D6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12.5494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8E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11.5223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12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10.1965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AFA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5.1565</w:t>
            </w:r>
          </w:p>
        </w:tc>
      </w:tr>
      <w:tr w14:paraId="6F999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D3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30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4.1316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02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3.9880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1BB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3.7359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F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375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12.1671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F60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11.1962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60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9.9320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A8D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5.0306</w:t>
            </w:r>
          </w:p>
        </w:tc>
      </w:tr>
      <w:tr w14:paraId="5058A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04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294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3.7669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066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3.6585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228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3.4537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3E0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F6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11.8224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92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10.9002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14E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9.6898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82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4.9114</w:t>
            </w:r>
          </w:p>
        </w:tc>
      </w:tr>
      <w:tr w14:paraId="3125E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FD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46B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3.4282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031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3.3496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310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3.1859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94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F71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11.5140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F7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10.6336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CD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9.4699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BD8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4.7994</w:t>
            </w:r>
          </w:p>
        </w:tc>
      </w:tr>
      <w:tr w14:paraId="2AE53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B0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13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F51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3.0618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3C2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2.9337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86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75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11.2406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4F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10.3958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2CA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9.2722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DB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4.6951</w:t>
            </w:r>
          </w:p>
        </w:tc>
      </w:tr>
      <w:tr w14:paraId="6B67D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EDE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09F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2.8288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BA0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2.7962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BE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2.6989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79E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77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11.0009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E2A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10.1861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C24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9.0964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CE2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4.5988</w:t>
            </w:r>
          </w:p>
        </w:tc>
      </w:tr>
      <w:tr w14:paraId="6D8A2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80C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9B8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2.5690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EBE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2.5540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3C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2.4833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96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100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10.7939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4DE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CA8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8.9425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901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4.5112</w:t>
            </w:r>
          </w:p>
        </w:tc>
      </w:tr>
      <w:tr w14:paraId="1A936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1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498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3B7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FF1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2.2896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6B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AB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10.6184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91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9.8485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9F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8.8103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7B8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4.4326</w:t>
            </w:r>
          </w:p>
        </w:tc>
      </w:tr>
      <w:tr w14:paraId="55DBB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0B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7F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21F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2.1493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FB4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2.1208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1C3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1.5882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431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10.4736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7C1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9.7196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C83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8.6996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691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4.3634</w:t>
            </w:r>
          </w:p>
        </w:tc>
      </w:tr>
      <w:tr w14:paraId="344AE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574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63C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1A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B0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CB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E0C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10.3588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DE3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71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8.6102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19F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4.3041</w:t>
            </w:r>
          </w:p>
        </w:tc>
      </w:tr>
      <w:tr w14:paraId="7D906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405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7F4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090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82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1.8740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AF3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EC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10.2734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4A3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9.5392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0B5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8.5420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B6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4.2550</w:t>
            </w:r>
          </w:p>
        </w:tc>
      </w:tr>
      <w:tr w14:paraId="0F68A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89F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9DC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1.7634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07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868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1.8047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A29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0CC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10.2170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FBD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9.4873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DC2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8.4950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A35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4.2164</w:t>
            </w:r>
          </w:p>
        </w:tc>
      </w:tr>
      <w:tr w14:paraId="214B9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F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AAF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94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1.7668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92D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1.7762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887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1.4212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F9F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10.1895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2B4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9.4607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DA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8.4692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C7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4.1886</w:t>
            </w:r>
          </w:p>
        </w:tc>
      </w:tr>
      <w:tr w14:paraId="55879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95A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774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43C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D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1.7902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FDD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1.4248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E0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10.1907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CB3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9.4593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4B1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8.4646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93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4.1719</w:t>
            </w:r>
          </w:p>
        </w:tc>
      </w:tr>
      <w:tr w14:paraId="0F297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30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450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A4A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0B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1.8461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628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62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10.2209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988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9.4834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9F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8.4814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81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4.1665</w:t>
            </w:r>
          </w:p>
        </w:tc>
      </w:tr>
      <w:tr w14:paraId="60E5E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88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41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20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BE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1.9410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7D6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D4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10.2803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F05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9.5331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F9E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8.5196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C05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4.1726</w:t>
            </w:r>
          </w:p>
        </w:tc>
      </w:tr>
      <w:tr w14:paraId="2F23A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342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736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E10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2.0987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43C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2.0710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6C2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CBD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10.3694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17E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9.6089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5EA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8.5796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647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4.1901</w:t>
            </w:r>
          </w:p>
        </w:tc>
      </w:tr>
      <w:tr w14:paraId="0B072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3A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0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2.2791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E13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2.2789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94E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A8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1.6160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05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10.4889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F5F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9.7111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6FA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8.6615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97D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4.2192</w:t>
            </w:r>
          </w:p>
        </w:tc>
      </w:tr>
      <w:tr w14:paraId="1275E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BAE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AC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9A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72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2.4191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E33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B63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10.6395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9DC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9.8402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E55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8.7658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95F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4.2599</w:t>
            </w:r>
          </w:p>
        </w:tc>
      </w:tr>
      <w:tr w14:paraId="47C70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7F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491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2.7599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1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2.7269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994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2.6298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49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464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10.8224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606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9.9971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3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8.8926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B6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4.3119</w:t>
            </w:r>
          </w:p>
        </w:tc>
      </w:tr>
      <w:tr w14:paraId="60389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9F1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A9C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AC5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2.9890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B5A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11E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BA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B3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10.1823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3AD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9.0424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13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4.3752</w:t>
            </w:r>
          </w:p>
        </w:tc>
      </w:tr>
      <w:tr w14:paraId="1B5F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0F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F3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3.3536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62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3.2742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B52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3.1101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95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461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11.2894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57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10.3967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7D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9.2156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FF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4.4496</w:t>
            </w:r>
          </w:p>
        </w:tc>
      </w:tr>
      <w:tr w14:paraId="2E251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1BB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DF4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3.6905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35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3.5813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8A3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3.3759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1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F7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11.5762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569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10.6411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54E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9.4124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29E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4.5347</w:t>
            </w:r>
          </w:p>
        </w:tc>
      </w:tr>
      <w:tr w14:paraId="76818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7D8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2F5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4.0542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FA8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3.9094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3E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3.6567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132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CF0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11.9004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055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10.9162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72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9.6331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D8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4.6301</w:t>
            </w:r>
          </w:p>
        </w:tc>
      </w:tr>
      <w:tr w14:paraId="12B3D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D6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A85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4.4448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6F2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4.2580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63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3.9508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EFF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95A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12.2637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491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11.2230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A67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9.8780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EE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4.7356</w:t>
            </w:r>
          </w:p>
        </w:tc>
      </w:tr>
      <w:tr w14:paraId="72FFB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198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8B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4.8625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FE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45A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4.2569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22D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B74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12.6674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EBB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11.5620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B7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10.1471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3AA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4.8507</w:t>
            </w:r>
          </w:p>
        </w:tc>
      </w:tr>
      <w:tr w14:paraId="18517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B7F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1D1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5.3074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643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5.0128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A8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4.5730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E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8C2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13.1129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2B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11.9337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CD6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10.4403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EC8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4.9748</w:t>
            </w:r>
          </w:p>
        </w:tc>
      </w:tr>
      <w:tr w14:paraId="61EED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473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4A4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5.7789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A5B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5.4164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973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4.8971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C53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65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13.6012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10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12.3384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BFB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10.7573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806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5.1075</w:t>
            </w:r>
          </w:p>
        </w:tc>
      </w:tr>
      <w:tr w14:paraId="169B7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E5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AFB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6.2754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68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5.8346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E41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5.2265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8A4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2.7683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B75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14.1330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563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12.7759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0D8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11.0974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26A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5.2480</w:t>
            </w:r>
          </w:p>
        </w:tc>
      </w:tr>
      <w:tr w14:paraId="2D587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337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E1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6.7946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86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6.2641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41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5.5579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874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D6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14.7082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4F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13.2454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044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11.4598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70F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5.3959</w:t>
            </w:r>
          </w:p>
        </w:tc>
      </w:tr>
      <w:tr w14:paraId="5F5E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A1A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4C1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7.3323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E0D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6.7007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CF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5.8874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C8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2.9544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D7A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15.3262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16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13.7456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B3D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11.8429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343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5.5504</w:t>
            </w:r>
          </w:p>
        </w:tc>
      </w:tr>
      <w:tr w14:paraId="7B54F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981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47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7.8825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346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7.1387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15B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6.2103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FEB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D45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15.9847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E24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14.2744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1E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12.2449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91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5.7108</w:t>
            </w:r>
          </w:p>
        </w:tc>
      </w:tr>
      <w:tr w14:paraId="74FA1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C1A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9AF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8.4371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239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7.5708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EAC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6.5212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472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3.1074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59F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16.6803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5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14.8286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2B1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12.6635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3D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5.8765</w:t>
            </w:r>
          </w:p>
        </w:tc>
      </w:tr>
      <w:tr w14:paraId="3EC70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2C7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08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8.9852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46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7.9885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26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6.8139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91C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3.1687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9D2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17.4077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EF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15.4039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EE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13.0955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59B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6.0465</w:t>
            </w:r>
          </w:p>
        </w:tc>
      </w:tr>
      <w:tr w14:paraId="4EEA3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D85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81A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9.5135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16B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8.3816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04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7.0817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82F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830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18.1596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5F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15.9949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BF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13.5374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5BB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6.2201</w:t>
            </w:r>
          </w:p>
        </w:tc>
      </w:tr>
      <w:tr w14:paraId="5010C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6C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B92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84C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8.7389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42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7.3175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2D1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3.2558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4FF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18.9266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C71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16.5951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FB1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13.9852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6F8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6.3965</w:t>
            </w:r>
          </w:p>
        </w:tc>
      </w:tr>
      <w:tr w14:paraId="7A99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C72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D2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10.4449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28D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9.0481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D2B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7.5140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F95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3.2802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A5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19.6971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1D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17.1968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FD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14.4343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C37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6.5749</w:t>
            </w:r>
          </w:p>
        </w:tc>
      </w:tr>
      <w:tr w14:paraId="528A5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5D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F55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10.8110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C55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9.2972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F44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7.6645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02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B8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20.4579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40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17.7915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14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14.8798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56A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6.7543</w:t>
            </w:r>
          </w:p>
        </w:tc>
      </w:tr>
      <w:tr w14:paraId="28DD0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84D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65B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11.0858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68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9.4745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7F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7.7629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A0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3.2879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5BA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21.1946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E4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310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15.3168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5B8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6.9341</w:t>
            </w:r>
          </w:p>
        </w:tc>
      </w:tr>
      <w:tr w14:paraId="154DD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D9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68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11.2525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0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9.5705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1D2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7.8042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040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3.2708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40B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21.8928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8B9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18.9253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24B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15.7406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A9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7.1134</w:t>
            </w:r>
          </w:p>
        </w:tc>
      </w:tr>
      <w:tr w14:paraId="6C881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7CD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20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11.2985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406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9.5781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6C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7.7855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11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3.2400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923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22.5393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C92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19.4476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CA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16.1466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A6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7.2914</w:t>
            </w:r>
          </w:p>
        </w:tc>
      </w:tr>
      <w:tr w14:paraId="11E4D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FD1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B9F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11.2167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AC6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9.4940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6C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7.7058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1D7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3.1957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85D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23.1233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18E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19.9310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364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16.5312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7B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7.4674</w:t>
            </w:r>
          </w:p>
        </w:tc>
      </w:tr>
      <w:tr w14:paraId="6410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E1E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FB2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11.0073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32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9.3195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A1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7.5668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93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3.1389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77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23.6373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80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3D8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16.8912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24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7.6406</w:t>
            </w:r>
          </w:p>
        </w:tc>
      </w:tr>
      <w:tr w14:paraId="2256F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45C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3CD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10.6781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3A8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9.0606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497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7.3730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28E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3.0705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CA8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24.0784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A54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20.7638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2B4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17.2248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2B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7.8105</w:t>
            </w:r>
          </w:p>
        </w:tc>
      </w:tr>
      <w:tr w14:paraId="11C32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BF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CF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10.2447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033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8.7281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74F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7.1317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952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2.9920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73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24.4475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88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21.1103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39B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17.5309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39C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7.9763</w:t>
            </w:r>
          </w:p>
        </w:tc>
      </w:tr>
      <w:tr w14:paraId="677BD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E55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F7E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9.7296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CA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8.3380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528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6.8532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87A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2.9049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5C9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24.7498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AB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21.4120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EDB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17.8096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6C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8.1378</w:t>
            </w:r>
          </w:p>
        </w:tc>
      </w:tr>
      <w:tr w14:paraId="455E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6D8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4FA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9.1622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42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7.9106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D69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6.5505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D3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2.8113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41F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24.9936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6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21.6724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525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18.0619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DCF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8.2942</w:t>
            </w:r>
          </w:p>
        </w:tc>
      </w:tr>
      <w:tr w14:paraId="486EA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78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65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8.5768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F2D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7.4701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D80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6.2392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41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2.7132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15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25.1892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74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21.8967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9BA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18.2894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8F5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8.4454</w:t>
            </w:r>
          </w:p>
        </w:tc>
      </w:tr>
      <w:tr w14:paraId="6F9FC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C7A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6B2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8.0129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471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7.0446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B45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5.9367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D2C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2.6131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5E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25.3478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E96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22.0905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21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18.4945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D8A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8.5909</w:t>
            </w:r>
          </w:p>
        </w:tc>
      </w:tr>
      <w:tr w14:paraId="7E66B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A13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7C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305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6.6639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0C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5.6618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05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612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25.4807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D8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22.2600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DD3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18.6795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EAB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8.7305</w:t>
            </w:r>
          </w:p>
        </w:tc>
      </w:tr>
      <w:tr w14:paraId="77A76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58A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43A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4E9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6.3583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0B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5.4329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81C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2.4166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059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25.5981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9FA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22.4110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79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18.8472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382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8.8640</w:t>
            </w:r>
          </w:p>
        </w:tc>
      </w:tr>
      <w:tr w14:paraId="7FE25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56F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50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6.8735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97F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6.1537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63D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5.2661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8D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05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25.7085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A1F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22.5485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FB8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19.0000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1D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8.9912</w:t>
            </w:r>
          </w:p>
        </w:tc>
      </w:tr>
      <w:tr w14:paraId="4D97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EF8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DF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6.7963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61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6.0673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8F4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5.1721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468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5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25.8186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4B5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22.6768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CA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19.1400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EC9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9.1120</w:t>
            </w:r>
          </w:p>
        </w:tc>
      </w:tr>
      <w:tr w14:paraId="4B3B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FC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4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6.8925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247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6.1026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82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5.1542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BC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2.1677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A63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25.9329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A38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22.7989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B5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19.2691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2D9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9.2263</w:t>
            </w:r>
          </w:p>
        </w:tc>
      </w:tr>
      <w:tr w14:paraId="0A3D5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D95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617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7.1427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64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6.2481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505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5.2072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7CA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BA4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26.0533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D2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22.9166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D2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19.3885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8EA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9.3342</w:t>
            </w:r>
          </w:p>
        </w:tc>
      </w:tr>
      <w:tr w14:paraId="6581E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35F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AFB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7.5102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09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6.4798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86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5.3182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9A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2.0537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1B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26.1795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FFF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23.0305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091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19.4989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77E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9.4354</w:t>
            </w:r>
          </w:p>
        </w:tc>
      </w:tr>
      <w:tr w14:paraId="07AF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11E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9F7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7.9496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61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6.7668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7F5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5.4694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012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76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26.3090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BD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23.1399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18C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19.6008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2C2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9.5302</w:t>
            </w:r>
          </w:p>
        </w:tc>
      </w:tr>
      <w:tr w14:paraId="70D6D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653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A7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8.4142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F8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7.0763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90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5.6407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05A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82E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26.4374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D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23.2432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742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19.6939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C8B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9.6183</w:t>
            </w:r>
          </w:p>
        </w:tc>
      </w:tr>
      <w:tr w14:paraId="1FA83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730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B21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8.8608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E8D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11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5.8126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70A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AB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26.5593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3CB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23.3383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AA1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19.7779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D9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9.6999</w:t>
            </w:r>
          </w:p>
        </w:tc>
      </w:tr>
      <w:tr w14:paraId="797EC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6E1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A3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9.2517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44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D6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5.9676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3A8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B5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26.6683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D5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23.4225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A6F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19.8522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AD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9.7750</w:t>
            </w:r>
          </w:p>
        </w:tc>
      </w:tr>
      <w:tr w14:paraId="5139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C0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383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9.5561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D4A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7.8506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C3D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6.0917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65C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04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26.7583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DA1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23.4933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46C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19.9162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D21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9.8434</w:t>
            </w:r>
          </w:p>
        </w:tc>
      </w:tr>
      <w:tr w14:paraId="16B34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F1B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2A1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9.7510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C3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7.9852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AA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6.1744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CA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A3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26.8243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0A9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23.5488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03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19.9695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D3C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9.9053</w:t>
            </w:r>
          </w:p>
        </w:tc>
      </w:tr>
      <w:tr w14:paraId="11CE3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F8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111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9.8224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61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8.0368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0F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6.2097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56D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ED7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26.8632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D3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23.5877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69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20.0118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6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9.9605</w:t>
            </w:r>
          </w:p>
        </w:tc>
      </w:tr>
      <w:tr w14:paraId="21EA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BE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12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9.7655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5A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6.1955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755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6E3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26.8743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75C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23.6098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8CE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20.0431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13E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10.0091</w:t>
            </w:r>
          </w:p>
        </w:tc>
      </w:tr>
      <w:tr w14:paraId="72474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082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EE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9.5857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60D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7.8855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A36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6.1345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554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2.0633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8CB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26.8591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F63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23.6159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F9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20.0638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3B5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10.0509</w:t>
            </w:r>
          </w:p>
        </w:tc>
      </w:tr>
      <w:tr w14:paraId="3D139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DFF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343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9.2979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31B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7.6966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66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6.0332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C61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2.1045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CEF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26.8218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576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23.6079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A0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20.0743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99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10.0859</w:t>
            </w:r>
          </w:p>
        </w:tc>
      </w:tr>
      <w:tr w14:paraId="3EC3C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90E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EC7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8.9256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D23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7.4523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426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5.9027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22C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2.1537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66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26.7681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A33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23.5883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D08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20.0756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58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10.1139</w:t>
            </w:r>
          </w:p>
        </w:tc>
      </w:tr>
      <w:tr w14:paraId="381F0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AC9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CC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8.5003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80A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7.1749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67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5.7572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9B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BE5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26.7044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140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23.5598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1F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20.0682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CCC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10.1350</w:t>
            </w:r>
          </w:p>
        </w:tc>
      </w:tr>
      <w:tr w14:paraId="39B09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2D3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A5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8.0602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D1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6.8915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44C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5.6143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76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282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26.6374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D0C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23.5252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947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20.0529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5CB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10.1488</w:t>
            </w:r>
          </w:p>
        </w:tc>
      </w:tr>
      <w:tr w14:paraId="6093D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B0D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EA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965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6.6331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2A9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5.4931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421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2.3540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B21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26.5727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33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23.4868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2CC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20.0299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C36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10.1552</w:t>
            </w:r>
          </w:p>
        </w:tc>
      </w:tr>
      <w:tr w14:paraId="3C6BF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F23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857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7.3109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62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6.4315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0F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5.4127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61B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65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26.5144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918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23.4459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1A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19.9992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43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10.1540</w:t>
            </w:r>
          </w:p>
        </w:tc>
      </w:tr>
      <w:tr w14:paraId="675C4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4F6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C11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7.0911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A1B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6.3160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8AA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5.3895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6C8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2.5336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50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26.4644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9A0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23.4027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D4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19.9600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F8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10.1451</w:t>
            </w:r>
          </w:p>
        </w:tc>
      </w:tr>
      <w:tr w14:paraId="00342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B2D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A3C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7.0230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FC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6.3082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154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5.4347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490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42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26.4224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1D7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23.3561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933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19.9111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48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10.1282</w:t>
            </w:r>
          </w:p>
        </w:tc>
      </w:tr>
      <w:tr w14:paraId="5B8D6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3D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7EF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7.1234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1EE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6.4179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0C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5.5525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2E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2.7450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C8D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26.3853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28C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23.3033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82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19.8506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23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10.1031</w:t>
            </w:r>
          </w:p>
        </w:tc>
      </w:tr>
      <w:tr w14:paraId="113C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B6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24E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7.3875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CD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6.6406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4F4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5.7389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97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BF6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26.3476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B26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23.2404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4C1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19.7758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3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10.0696</w:t>
            </w:r>
          </w:p>
        </w:tc>
      </w:tr>
      <w:tr w14:paraId="4290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16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94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7.7910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41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6.9595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9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5.9833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F7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2.9773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FBD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26.3011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487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23.1619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E0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19.6837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48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10.0275</w:t>
            </w:r>
          </w:p>
        </w:tc>
      </w:tr>
      <w:tr w14:paraId="3E99D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34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114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8.2974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625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7.3495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3B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6.2708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6A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3.0966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56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26.2355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39B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23.0614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9EF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19.5706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CDE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9.9767</w:t>
            </w:r>
          </w:p>
        </w:tc>
      </w:tr>
      <w:tr w14:paraId="54D48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20C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A4D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8.8655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686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7.7822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8B8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6.5838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E54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3.2152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1DD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26.1387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759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22.9314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C28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19.4329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3B2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9.9169</w:t>
            </w:r>
          </w:p>
        </w:tc>
      </w:tr>
      <w:tr w14:paraId="2262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1DB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43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9.4542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84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8.2288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E5B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6.9047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1D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3.3311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DF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25.9976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1D2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22.7642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499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19.2668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2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9.8482</w:t>
            </w:r>
          </w:p>
        </w:tc>
      </w:tr>
      <w:tr w14:paraId="16C37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8B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135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10.0254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3F7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8.6626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47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7.2169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1E3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3.4423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2D0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25.7987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06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22.5526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27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19.0688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31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9.7705</w:t>
            </w:r>
          </w:p>
        </w:tc>
      </w:tr>
      <w:tr w14:paraId="5AF08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3CA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139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10.5456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516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9.0602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0F4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7.5055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786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3.5469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CC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25.5298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F1E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22.2897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DEF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18.8361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FA5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9.6838</w:t>
            </w:r>
          </w:p>
        </w:tc>
      </w:tr>
      <w:tr w14:paraId="00972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831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99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10.9860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317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9.4016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AD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7.7581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F18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3.6433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CC1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25.1806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E1D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21.9706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838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18.5666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3AA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9.5883</w:t>
            </w:r>
          </w:p>
        </w:tc>
      </w:tr>
      <w:tr w14:paraId="40F37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FB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90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11.3246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FAC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9.6715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A62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7.9648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C71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D6D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24.7446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9C6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21.5920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982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18.2592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23E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9.4842</w:t>
            </w:r>
          </w:p>
        </w:tc>
      </w:tr>
      <w:tr w14:paraId="39382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7DD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F54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11.5459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D57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9.8592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CA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8.1185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815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3.8058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FAE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24.2194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44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21.1535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E5D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17.9142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A1D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9.3717</w:t>
            </w:r>
          </w:p>
        </w:tc>
      </w:tr>
      <w:tr w14:paraId="5C268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BE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473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11.6423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F6B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9.9587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C4A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8.2149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E5E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3.8698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4C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23.6078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1DD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20.6569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AA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17.5329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E11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9.2511</w:t>
            </w:r>
          </w:p>
        </w:tc>
      </w:tr>
      <w:tr w14:paraId="6773D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1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E5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11.6136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D9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9.9690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BB2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8.2523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60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3.9213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D1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22.9172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4CA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20.1070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185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17.1179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439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9.1230</w:t>
            </w:r>
          </w:p>
        </w:tc>
      </w:tr>
      <w:tr w14:paraId="4FFEC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0C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81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11.4667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792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9.8933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FD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8.2317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576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91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22.1588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2C9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19.5105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FDD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16.6731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F05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8.9878</w:t>
            </w:r>
          </w:p>
        </w:tc>
      </w:tr>
      <w:tr w14:paraId="77714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0E9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B69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11.2142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D5B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9.7384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1BB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8.1561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5EE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3.9857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2DE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21.3471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DEE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18.8759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A06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16.2030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FEC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8.8462</w:t>
            </w:r>
          </w:p>
        </w:tc>
      </w:tr>
      <w:tr w14:paraId="319A9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A5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585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10.8726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78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9.5139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4CD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8.0302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93E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3.9984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ADC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20.4977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94C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18.2126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BED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15.7128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133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8.6986</w:t>
            </w:r>
          </w:p>
        </w:tc>
      </w:tr>
      <w:tr w14:paraId="470F5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0EF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905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10.4602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AF9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9.2311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82E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7.8600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E27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3.9986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20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19.6264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DCB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17.5306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AE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15.2078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54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8.5458</w:t>
            </w:r>
          </w:p>
        </w:tc>
      </w:tr>
      <w:tr w14:paraId="68185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51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D77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9.9960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549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8.9021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CA5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7.6524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580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3.9867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D1D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18.7481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011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16.8391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607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14.6935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ADF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8.3885</w:t>
            </w:r>
          </w:p>
        </w:tc>
      </w:tr>
      <w:tr w14:paraId="24FD0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019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DD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9.4975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21B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8.5388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364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7.4143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B67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CEA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17.8758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284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16.1471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03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14.1751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78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8.2274</w:t>
            </w:r>
          </w:p>
        </w:tc>
      </w:tr>
      <w:tr w14:paraId="3A75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98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3A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8.9805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C6F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8.1524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AEA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7.1527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AEC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3.9292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36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17.0202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B61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15.4620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3E9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13.6575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60B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8.0632</w:t>
            </w:r>
          </w:p>
        </w:tc>
      </w:tr>
      <w:tr w14:paraId="16EE7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D7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1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8.4583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AF3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7.7528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478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6.8742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15E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B04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16.1896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15A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14.7901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071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13.1448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328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7.8966</w:t>
            </w:r>
          </w:p>
        </w:tc>
      </w:tr>
      <w:tr w14:paraId="52FC5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1E4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7B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7.9415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65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7.3485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78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6.5848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8D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3.8325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1C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15.3903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060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14.1367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68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12.6406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A4E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7.7284</w:t>
            </w:r>
          </w:p>
        </w:tc>
      </w:tr>
      <w:tr w14:paraId="2A6C7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3C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6A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7.4380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179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6.9465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BD9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6.2898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F9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3.7718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46F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14.6264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D6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13.5054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FE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12.1479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090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7.5591</w:t>
            </w:r>
          </w:p>
        </w:tc>
      </w:tr>
      <w:tr w14:paraId="6F209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E7F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B30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6.9538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821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6.5522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CE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5.9936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F6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3.7042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9A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13.9004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0F9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12.8989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839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11.6691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E98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7.3894</w:t>
            </w:r>
          </w:p>
        </w:tc>
      </w:tr>
      <w:tr w14:paraId="5CA3D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2B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57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6.4928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BB2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6.1700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F2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5.7001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DFD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3.6306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20E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13.2133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FE7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12.3190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13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11.2059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09D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7.2200</w:t>
            </w:r>
          </w:p>
        </w:tc>
      </w:tr>
      <w:tr w14:paraId="7B484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132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696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6.0572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CC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5.8027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7EF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5.4121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824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3.5520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440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12.5653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F2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11.7665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79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10.7597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4F9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7.0513</w:t>
            </w:r>
          </w:p>
        </w:tc>
      </w:tr>
      <w:tr w14:paraId="48F6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C26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3E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5.6483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94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5.4523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573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5.1320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73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3.4693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7AC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11.9556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318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11.2417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FD9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10.3311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8B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6.8839</w:t>
            </w:r>
          </w:p>
        </w:tc>
      </w:tr>
      <w:tr w14:paraId="3C13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B96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AF4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5.2663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26F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5.1201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4BD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4.8614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B1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82F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11.3831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33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10.7444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FD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9.9206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DF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6.7182</w:t>
            </w:r>
          </w:p>
        </w:tc>
      </w:tr>
      <w:tr w14:paraId="74986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2D0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977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4.9107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63C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4.8066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770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4.6017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D3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14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10.8461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5B5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10.2740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1CD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9.5284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87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6.5545</w:t>
            </w:r>
          </w:p>
        </w:tc>
      </w:tr>
      <w:tr w14:paraId="132FD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660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471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4.5807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691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6B8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4.3535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FCB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3.2046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C7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10.3428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F85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9.8297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223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9.1542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DD4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6.3933</w:t>
            </w:r>
          </w:p>
        </w:tc>
      </w:tr>
      <w:tr w14:paraId="32401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1BD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53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4.2751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864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4.2357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0A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4.1173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2A8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3.1133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86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9.8714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CFA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9.4103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83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8.7979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38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6.2348</w:t>
            </w:r>
          </w:p>
        </w:tc>
      </w:tr>
      <w:tr w14:paraId="28D3F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9BE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86D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3.9925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F35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3.9774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7C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3.8933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B51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3.0216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4CE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9.4297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21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9.0147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B44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8.4588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11F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6.0793</w:t>
            </w:r>
          </w:p>
        </w:tc>
      </w:tr>
      <w:tr w14:paraId="3973D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2CD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A26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DB2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7BD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3.6815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42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2.9298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98A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9.0159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88E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8.6417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B25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8.1365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379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5.9270</w:t>
            </w:r>
          </w:p>
        </w:tc>
      </w:tr>
      <w:tr w14:paraId="05D26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6C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F36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3.4903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57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B9C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3.4815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7A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2.8386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4BF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8.6280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002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8.2900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18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7.8303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C84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5.7780</w:t>
            </w:r>
          </w:p>
        </w:tc>
      </w:tr>
      <w:tr w14:paraId="5436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5CB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56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3.2678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81B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3.3024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E2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3.2931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D62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2.7482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CF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8.2643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8B8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7.9584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D0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7.5395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BA4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5.6326</w:t>
            </w:r>
          </w:p>
        </w:tc>
      </w:tr>
      <w:tr w14:paraId="03DF7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88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A0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3.0624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436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3.1076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96A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3.1158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DD0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2.6591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59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7.9231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26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7.6457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192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7.2634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5B2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5.4907</w:t>
            </w:r>
          </w:p>
        </w:tc>
      </w:tr>
      <w:tr w14:paraId="283C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49A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CE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2.8728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F1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2.9265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954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2.9492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306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713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7.6026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087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7.3506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52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7.0012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822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5.3524</w:t>
            </w:r>
          </w:p>
        </w:tc>
      </w:tr>
      <w:tr w14:paraId="18BC1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81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03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2.6977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8DC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1C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2.7928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E1F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B23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7.3015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B0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7.0721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489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6.7523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7AD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5.2178</w:t>
            </w:r>
          </w:p>
        </w:tc>
      </w:tr>
      <w:tr w14:paraId="0D5F8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354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AFC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2.5358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31A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2.6011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AD5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2.6459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4A0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2.4017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9D5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7.0183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D24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6.8090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994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6.5159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80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5.0869</w:t>
            </w:r>
          </w:p>
        </w:tc>
      </w:tr>
      <w:tr w14:paraId="755F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4E7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D47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2.3861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C6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2.4553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AD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2.5081</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ABA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BE7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6.7517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F2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6.5604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3A4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6.2914</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5DE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4.9598</w:t>
            </w:r>
          </w:p>
        </w:tc>
      </w:tr>
      <w:tr w14:paraId="1B190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A3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B8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511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2.3195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F26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2.3789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2C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2.2403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11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6.5004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3C8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6.3254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39C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6.0780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AB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4.8363</w:t>
            </w:r>
          </w:p>
        </w:tc>
      </w:tr>
      <w:tr w14:paraId="278EF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21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F6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2.1193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45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2.1931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C48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2.2576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8CE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2.1630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AD7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6.2635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F01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6.1030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DA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5.8752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0D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4.7164</w:t>
            </w:r>
          </w:p>
        </w:tc>
      </w:tr>
      <w:tr w14:paraId="52D39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F57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38A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74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2.0753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72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2.1439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2E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2.0880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61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6.0398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0CC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5.8924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DB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5.6823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2B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4.6001</w:t>
            </w:r>
          </w:p>
        </w:tc>
      </w:tr>
      <w:tr w14:paraId="47C22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49B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E0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5DF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1.9655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073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2.0372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F9C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2.0154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831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5.8284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90D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5.6928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63B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5.4988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56A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4.4874</w:t>
            </w:r>
          </w:p>
        </w:tc>
      </w:tr>
      <w:tr w14:paraId="28949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FE8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67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1.7876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E5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1.8630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E6C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1.9370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81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AB2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5.6285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324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5.5035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2C5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5.3242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4F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4.3781</w:t>
            </w:r>
          </w:p>
        </w:tc>
      </w:tr>
      <w:tr w14:paraId="436D2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0A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E9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CC7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1.7674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E20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1.8430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61F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1.8774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706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5.4393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0C2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5.3238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17C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5.1578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01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4.2722</w:t>
            </w:r>
          </w:p>
        </w:tc>
      </w:tr>
      <w:tr w14:paraId="042E2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2A9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78F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1.6036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063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035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1.7546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868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1.8119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B34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5.2599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76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5.1532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6D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4.9993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A0F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4.1696</w:t>
            </w:r>
          </w:p>
        </w:tc>
      </w:tr>
      <w:tr w14:paraId="0C2DA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C8D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93A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7E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1.5946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CBB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1.6717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324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1.7488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1E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5.0898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F79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4.9910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B6E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4.8481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59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4.0703</w:t>
            </w:r>
          </w:p>
        </w:tc>
      </w:tr>
      <w:tr w14:paraId="2F11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FC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000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1.4440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2EF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1.5165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017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1.5937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15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1.6881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6B4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4.9284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3C7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4.8368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988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4.7039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473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3.9740</w:t>
            </w:r>
          </w:p>
        </w:tc>
      </w:tr>
      <w:tr w14:paraId="02561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B1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428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620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1.4433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DCE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1.5203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9AD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1.6295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E96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4.7750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DD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4.6899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9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4.5662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0B7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3.8809</w:t>
            </w:r>
          </w:p>
        </w:tc>
      </w:tr>
      <w:tr w14:paraId="31FF0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AD1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531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1.3049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610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1.3747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CF8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1.4512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829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1.5732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5B1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5A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4.5500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DF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4.4347</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0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3.7906</w:t>
            </w:r>
          </w:p>
        </w:tc>
      </w:tr>
      <w:tr w14:paraId="46853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0B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D4D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1.2420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A55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1.3104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EA2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1.3862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AF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1.5191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FC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4.4903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B10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4.4166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E11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4.3091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F8D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3.7033</w:t>
            </w:r>
          </w:p>
        </w:tc>
      </w:tr>
      <w:tr w14:paraId="31E47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2B5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93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1.1832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91C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35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1.3249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83F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FF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4.3580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A8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4.2894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BA1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4.1889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A0F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3.6187</w:t>
            </w:r>
          </w:p>
        </w:tc>
      </w:tr>
      <w:tr w14:paraId="7252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794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F7A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1.1281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F9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1.1934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1F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1.2672</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5CF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1.4170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34D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4.2320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0B0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4.1679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7B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4.0739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FE7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3.5368</w:t>
            </w:r>
          </w:p>
        </w:tc>
      </w:tr>
      <w:tr w14:paraId="2047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93F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17F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1.0764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A3A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D3A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B86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1.3689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43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4.1117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54B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4.0518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DC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3.9638</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7CD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3.4575</w:t>
            </w:r>
          </w:p>
        </w:tc>
      </w:tr>
      <w:tr w14:paraId="12A9D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3E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03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1.0279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F12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1.0899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CB1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1.1613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D84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1.3227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94B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3.9968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20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3.9408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24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3.8583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0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3.3807</w:t>
            </w:r>
          </w:p>
        </w:tc>
      </w:tr>
      <w:tr w14:paraId="426F6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F89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BD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7D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1.0427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31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1.1127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A2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1.2783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4F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3.8871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65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3.8346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BA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3.7572</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2CF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3.3063</w:t>
            </w:r>
          </w:p>
        </w:tc>
      </w:tr>
      <w:tr w14:paraId="50503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E0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8FE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0.9394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0E6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0.9982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179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1.0668</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7EB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3E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3.7822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20F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3.7330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09D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3.6603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445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3.2343</w:t>
            </w:r>
          </w:p>
        </w:tc>
      </w:tr>
      <w:tr w14:paraId="74C9C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4EE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169</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BC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0.8990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8FC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0.9562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9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1.0234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A1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1.1948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3C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3.6818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06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3.6356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D1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3.5673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B40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3.1645</w:t>
            </w:r>
          </w:p>
        </w:tc>
      </w:tr>
      <w:tr w14:paraId="3AB7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C25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170</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03E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0.8609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CFD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0.9166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106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0.9823</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F64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1.1555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74A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3.5857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C6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3.5422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67A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3.4779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D8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3.0969</w:t>
            </w:r>
          </w:p>
        </w:tc>
      </w:tr>
      <w:tr w14:paraId="3FE6A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37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171</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76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0.8250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D0B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0.8791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8B6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0.9434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D9E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1.1178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46B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3.4935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416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3.4527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5D3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3.3921</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9EF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3.0314</w:t>
            </w:r>
          </w:p>
        </w:tc>
      </w:tr>
      <w:tr w14:paraId="0D99A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FE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172</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732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0.7912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EC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0.8437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4AA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0.9065</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E12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1.0816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BDE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3.4052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B3C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3.3667</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0F5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3.3096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2D7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2.9679</w:t>
            </w:r>
          </w:p>
        </w:tc>
      </w:tr>
      <w:tr w14:paraId="7CB94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A37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67F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0.7592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4DA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0.8103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BD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0.8716</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FD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1.0468</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2E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3.3205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BA4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3.2842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15E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3.2303</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83F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2.9063</w:t>
            </w:r>
          </w:p>
        </w:tc>
      </w:tr>
      <w:tr w14:paraId="7F926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BB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174</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3EC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0.7289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951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0.7786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B3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0.8384</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89C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1.0134</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32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3.2391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1BF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3.2049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655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3.1540</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7C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2.8466</w:t>
            </w:r>
          </w:p>
        </w:tc>
      </w:tr>
      <w:tr w14:paraId="6B61A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26C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04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0.7003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D4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0.7486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0DA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0.8069</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223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0.9813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D58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3.1609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7D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3.1286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E9F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3.0806</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EA0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2.7888</w:t>
            </w:r>
          </w:p>
        </w:tc>
      </w:tr>
      <w:tr w14:paraId="1EB9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A79C">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最大值</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55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11.6423</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31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9.969</w:t>
            </w:r>
            <w:r>
              <w:rPr>
                <w:rFonts w:hint="eastAsia" w:cs="Times New Roman"/>
                <w:i w:val="0"/>
                <w:iCs w:val="0"/>
                <w:color w:val="000000" w:themeColor="text1"/>
                <w:kern w:val="0"/>
                <w:sz w:val="21"/>
                <w:szCs w:val="21"/>
                <w:u w:val="none"/>
                <w:lang w:val="en-US" w:eastAsia="zh-CN" w:bidi="ar"/>
                <w14:textFill>
                  <w14:solidFill>
                    <w14:schemeClr w14:val="tx1"/>
                  </w14:solidFill>
                </w14:textFill>
              </w:rPr>
              <w:t>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41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8.2523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BE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3.9986</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58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26.8743</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E1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23.6159</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A6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20.0756</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3F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10.1552</w:t>
            </w:r>
          </w:p>
        </w:tc>
      </w:tr>
      <w:tr w14:paraId="30066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3BB1">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szCs w:val="21"/>
                <w14:textFill>
                  <w14:solidFill>
                    <w14:schemeClr w14:val="tx1"/>
                  </w14:solidFill>
                </w14:textFill>
              </w:rPr>
              <w:t>边导线位置的值（1</w:t>
            </w:r>
            <w:r>
              <w:rPr>
                <w:rFonts w:hint="eastAsia"/>
                <w:b w:val="0"/>
                <w:bCs/>
                <w:color w:val="000000" w:themeColor="text1"/>
                <w:szCs w:val="21"/>
                <w:lang w:val="en-US" w:eastAsia="zh-CN"/>
                <w14:textFill>
                  <w14:solidFill>
                    <w14:schemeClr w14:val="tx1"/>
                  </w14:solidFill>
                </w14:textFill>
              </w:rPr>
              <w:t>21.1</w:t>
            </w:r>
            <w:r>
              <w:rPr>
                <w:rFonts w:hint="eastAsia"/>
                <w:b w:val="0"/>
                <w:bCs/>
                <w:color w:val="000000" w:themeColor="text1"/>
                <w:szCs w:val="21"/>
                <w14:textFill>
                  <w14:solidFill>
                    <w14:schemeClr w14:val="tx1"/>
                  </w14:solidFill>
                </w14:textFill>
              </w:rPr>
              <w:t>m，按12</w:t>
            </w:r>
            <w:r>
              <w:rPr>
                <w:rFonts w:hint="eastAsia"/>
                <w:b w:val="0"/>
                <w:bCs/>
                <w:color w:val="000000" w:themeColor="text1"/>
                <w:szCs w:val="21"/>
                <w:lang w:val="en-US" w:eastAsia="zh-CN"/>
                <w14:textFill>
                  <w14:solidFill>
                    <w14:schemeClr w14:val="tx1"/>
                  </w14:solidFill>
                </w14:textFill>
              </w:rPr>
              <w:t>1.5</w:t>
            </w:r>
            <w:r>
              <w:rPr>
                <w:rFonts w:hint="eastAsia"/>
                <w:b w:val="0"/>
                <w:bCs/>
                <w:color w:val="000000" w:themeColor="text1"/>
                <w:szCs w:val="21"/>
                <w14:textFill>
                  <w14:solidFill>
                    <w14:schemeClr w14:val="tx1"/>
                  </w14:solidFill>
                </w14:textFill>
              </w:rPr>
              <w:t>m选取）</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9DD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11.6099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681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9.9201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0E8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8.1740</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873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3.8393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13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23.9241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5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20.9122</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29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17.7279</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5CD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9.3124</w:t>
            </w:r>
          </w:p>
        </w:tc>
      </w:tr>
      <w:tr w14:paraId="3E4C9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9654">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szCs w:val="21"/>
                <w14:textFill>
                  <w14:solidFill>
                    <w14:schemeClr w14:val="tx1"/>
                  </w14:solidFill>
                </w14:textFill>
              </w:rPr>
              <w:t>边导线地面投影外两侧各50m范围的值（1</w:t>
            </w:r>
            <w:r>
              <w:rPr>
                <w:rFonts w:hint="eastAsia"/>
                <w:b w:val="0"/>
                <w:bCs/>
                <w:color w:val="000000" w:themeColor="text1"/>
                <w:szCs w:val="21"/>
                <w:lang w:val="en-US" w:eastAsia="zh-CN"/>
                <w14:textFill>
                  <w14:solidFill>
                    <w14:schemeClr w14:val="tx1"/>
                  </w14:solidFill>
                </w14:textFill>
              </w:rPr>
              <w:t>71.</w:t>
            </w:r>
            <w:r>
              <w:rPr>
                <w:rFonts w:hint="eastAsia"/>
                <w:b w:val="0"/>
                <w:bCs/>
                <w:color w:val="000000" w:themeColor="text1"/>
                <w:szCs w:val="21"/>
                <w14:textFill>
                  <w14:solidFill>
                    <w14:schemeClr w14:val="tx1"/>
                  </w14:solidFill>
                </w14:textFill>
              </w:rPr>
              <w:t>1m，按17</w:t>
            </w:r>
            <w:r>
              <w:rPr>
                <w:rFonts w:hint="eastAsia"/>
                <w:b w:val="0"/>
                <w:bCs/>
                <w:color w:val="000000" w:themeColor="text1"/>
                <w:szCs w:val="21"/>
                <w:lang w:val="en-US" w:eastAsia="zh-CN"/>
                <w14:textFill>
                  <w14:solidFill>
                    <w14:schemeClr w14:val="tx1"/>
                  </w14:solidFill>
                </w14:textFill>
              </w:rPr>
              <w:t>1.5</w:t>
            </w:r>
            <w:r>
              <w:rPr>
                <w:rFonts w:hint="eastAsia"/>
                <w:b w:val="0"/>
                <w:bCs/>
                <w:color w:val="000000" w:themeColor="text1"/>
                <w:szCs w:val="21"/>
                <w14:textFill>
                  <w14:solidFill>
                    <w14:schemeClr w14:val="tx1"/>
                  </w14:solidFill>
                </w14:textFill>
              </w:rPr>
              <w:t>m选取）</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209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0.8078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1F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0.8612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E0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0.9247</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4C6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1.0995</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B26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3.4489</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485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3.4093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971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3.3505</w:t>
            </w:r>
          </w:p>
        </w:tc>
        <w:tc>
          <w:tcPr>
            <w:tcW w:w="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A4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2.9994</w:t>
            </w:r>
          </w:p>
        </w:tc>
      </w:tr>
      <w:tr w14:paraId="59395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2D4B89">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标准限值</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3F17">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FEAC">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FF13F">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E8DA">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4</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C60EA0">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AA7E8B">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1540B1">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C17823">
            <w:pPr>
              <w:pStyle w:val="40"/>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r>
    </w:tbl>
    <w:p w14:paraId="732700DC">
      <w:pPr>
        <w:snapToGrid w:val="0"/>
        <w:ind w:firstLine="482"/>
        <w:rPr>
          <w:b/>
          <w:bCs/>
          <w:color w:val="000000" w:themeColor="text1"/>
          <w14:textFill>
            <w14:solidFill>
              <w14:schemeClr w14:val="tx1"/>
            </w14:solidFill>
          </w14:textFill>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5"/>
        <w:gridCol w:w="4256"/>
      </w:tblGrid>
      <w:tr w14:paraId="37F5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tcPr>
          <w:p w14:paraId="4D51D73C">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70480" cy="1515110"/>
                  <wp:effectExtent l="0" t="0" r="1270" b="8890"/>
                  <wp:docPr id="10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4"/>
                          <pic:cNvPicPr>
                            <a:picLocks noChangeAspect="1"/>
                          </pic:cNvPicPr>
                        </pic:nvPicPr>
                        <pic:blipFill>
                          <a:blip r:embed="rId65"/>
                          <a:stretch>
                            <a:fillRect/>
                          </a:stretch>
                        </pic:blipFill>
                        <pic:spPr>
                          <a:xfrm>
                            <a:off x="0" y="0"/>
                            <a:ext cx="2570480" cy="1515110"/>
                          </a:xfrm>
                          <a:prstGeom prst="rect">
                            <a:avLst/>
                          </a:prstGeom>
                          <a:noFill/>
                          <a:ln>
                            <a:noFill/>
                          </a:ln>
                        </pic:spPr>
                      </pic:pic>
                    </a:graphicData>
                  </a:graphic>
                </wp:inline>
              </w:drawing>
            </w:r>
          </w:p>
        </w:tc>
        <w:tc>
          <w:tcPr>
            <w:tcW w:w="4256" w:type="dxa"/>
          </w:tcPr>
          <w:p w14:paraId="57BAE526">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5240" cy="1515110"/>
                  <wp:effectExtent l="0" t="0" r="16510" b="8890"/>
                  <wp:docPr id="10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5"/>
                          <pic:cNvPicPr>
                            <a:picLocks noChangeAspect="1"/>
                          </pic:cNvPicPr>
                        </pic:nvPicPr>
                        <pic:blipFill>
                          <a:blip r:embed="rId66"/>
                          <a:stretch>
                            <a:fillRect/>
                          </a:stretch>
                        </pic:blipFill>
                        <pic:spPr>
                          <a:xfrm>
                            <a:off x="0" y="0"/>
                            <a:ext cx="2555240" cy="1515110"/>
                          </a:xfrm>
                          <a:prstGeom prst="rect">
                            <a:avLst/>
                          </a:prstGeom>
                          <a:noFill/>
                          <a:ln>
                            <a:noFill/>
                          </a:ln>
                        </pic:spPr>
                      </pic:pic>
                    </a:graphicData>
                  </a:graphic>
                </wp:inline>
              </w:drawing>
            </w:r>
          </w:p>
        </w:tc>
      </w:tr>
      <w:tr w14:paraId="3C5C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vAlign w:val="center"/>
          </w:tcPr>
          <w:p w14:paraId="69D9F188">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4256" w:type="dxa"/>
            <w:vAlign w:val="center"/>
          </w:tcPr>
          <w:p w14:paraId="6913EC49">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0A51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2"/>
            <w:vAlign w:val="center"/>
          </w:tcPr>
          <w:p w14:paraId="45813EBF">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color w:val="000000" w:themeColor="text1"/>
                <w:kern w:val="0"/>
                <w:sz w:val="21"/>
                <w:szCs w:val="21"/>
                <w:lang w:bidi="ar"/>
                <w14:textFill>
                  <w14:solidFill>
                    <w14:schemeClr w14:val="tx1"/>
                  </w14:solidFill>
                </w14:textFill>
              </w:rPr>
              <w:t>15.5m</w:t>
            </w:r>
            <w:r>
              <w:rPr>
                <w:rFonts w:hint="eastAsia" w:ascii="宋体" w:hAnsi="宋体" w:cs="宋体"/>
                <w:color w:val="000000" w:themeColor="text1"/>
                <w:kern w:val="0"/>
                <w:sz w:val="21"/>
                <w:szCs w:val="21"/>
                <w:lang w:bidi="ar"/>
                <w14:textFill>
                  <w14:solidFill>
                    <w14:schemeClr w14:val="tx1"/>
                  </w14:solidFill>
                </w14:textFill>
              </w:rPr>
              <w:t>时（非居民区）地面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r w14:paraId="6EC1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4265" w:type="dxa"/>
            <w:vAlign w:val="top"/>
          </w:tcPr>
          <w:p w14:paraId="34D5784F">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7145" cy="1506220"/>
                  <wp:effectExtent l="0" t="0" r="14605" b="17780"/>
                  <wp:docPr id="10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8"/>
                          <pic:cNvPicPr>
                            <a:picLocks noChangeAspect="1"/>
                          </pic:cNvPicPr>
                        </pic:nvPicPr>
                        <pic:blipFill>
                          <a:blip r:embed="rId67"/>
                          <a:stretch>
                            <a:fillRect/>
                          </a:stretch>
                        </pic:blipFill>
                        <pic:spPr>
                          <a:xfrm>
                            <a:off x="0" y="0"/>
                            <a:ext cx="2557145" cy="1506220"/>
                          </a:xfrm>
                          <a:prstGeom prst="rect">
                            <a:avLst/>
                          </a:prstGeom>
                          <a:noFill/>
                          <a:ln>
                            <a:noFill/>
                          </a:ln>
                        </pic:spPr>
                      </pic:pic>
                    </a:graphicData>
                  </a:graphic>
                </wp:inline>
              </w:drawing>
            </w:r>
          </w:p>
        </w:tc>
        <w:tc>
          <w:tcPr>
            <w:tcW w:w="4256" w:type="dxa"/>
            <w:vAlign w:val="top"/>
          </w:tcPr>
          <w:p w14:paraId="317506EE">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5240" cy="1511935"/>
                  <wp:effectExtent l="0" t="0" r="16510" b="12065"/>
                  <wp:docPr id="10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9"/>
                          <pic:cNvPicPr>
                            <a:picLocks noChangeAspect="1"/>
                          </pic:cNvPicPr>
                        </pic:nvPicPr>
                        <pic:blipFill>
                          <a:blip r:embed="rId68"/>
                          <a:stretch>
                            <a:fillRect/>
                          </a:stretch>
                        </pic:blipFill>
                        <pic:spPr>
                          <a:xfrm>
                            <a:off x="0" y="0"/>
                            <a:ext cx="2555240" cy="1511935"/>
                          </a:xfrm>
                          <a:prstGeom prst="rect">
                            <a:avLst/>
                          </a:prstGeom>
                          <a:noFill/>
                          <a:ln>
                            <a:noFill/>
                          </a:ln>
                        </pic:spPr>
                      </pic:pic>
                    </a:graphicData>
                  </a:graphic>
                </wp:inline>
              </w:drawing>
            </w:r>
          </w:p>
        </w:tc>
      </w:tr>
      <w:tr w14:paraId="6C9C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vAlign w:val="center"/>
          </w:tcPr>
          <w:p w14:paraId="524EF396">
            <w:pPr>
              <w:widowControl/>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4256" w:type="dxa"/>
            <w:vAlign w:val="center"/>
          </w:tcPr>
          <w:p w14:paraId="39E3A0CE">
            <w:pPr>
              <w:snapToGrid w:val="0"/>
              <w:spacing w:line="240" w:lineRule="auto"/>
              <w:ind w:firstLine="0" w:firstLineChars="0"/>
              <w:jc w:val="center"/>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719A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2"/>
          </w:tcPr>
          <w:p w14:paraId="54DE5CCD">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rFonts w:hint="eastAsia"/>
                <w:color w:val="000000" w:themeColor="text1"/>
                <w:kern w:val="0"/>
                <w:sz w:val="21"/>
                <w:szCs w:val="21"/>
                <w:lang w:val="en-US" w:eastAsia="zh-CN" w:bidi="ar"/>
                <w14:textFill>
                  <w14:solidFill>
                    <w14:schemeClr w14:val="tx1"/>
                  </w14:solidFill>
                </w14:textFill>
              </w:rPr>
              <w:t>17.2</w:t>
            </w:r>
            <w:r>
              <w:rPr>
                <w:color w:val="000000" w:themeColor="text1"/>
                <w:kern w:val="0"/>
                <w:sz w:val="21"/>
                <w:szCs w:val="21"/>
                <w:lang w:bidi="ar"/>
                <w14:textFill>
                  <w14:solidFill>
                    <w14:schemeClr w14:val="tx1"/>
                  </w14:solidFill>
                </w14:textFill>
              </w:rPr>
              <w:t>m</w:t>
            </w:r>
            <w:r>
              <w:rPr>
                <w:rFonts w:hint="eastAsia" w:ascii="宋体" w:hAnsi="宋体" w:cs="宋体"/>
                <w:color w:val="000000" w:themeColor="text1"/>
                <w:kern w:val="0"/>
                <w:sz w:val="21"/>
                <w:szCs w:val="21"/>
                <w:lang w:bidi="ar"/>
                <w14:textFill>
                  <w14:solidFill>
                    <w14:schemeClr w14:val="tx1"/>
                  </w14:solidFill>
                </w14:textFill>
              </w:rPr>
              <w:t>时地面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r w14:paraId="1CA6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shd w:val="clear" w:color="auto" w:fill="auto"/>
            <w:vAlign w:val="top"/>
          </w:tcPr>
          <w:p w14:paraId="60E4A2B3">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66670" cy="1518920"/>
                  <wp:effectExtent l="0" t="0" r="5080" b="5080"/>
                  <wp:docPr id="10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6"/>
                          <pic:cNvPicPr>
                            <a:picLocks noChangeAspect="1"/>
                          </pic:cNvPicPr>
                        </pic:nvPicPr>
                        <pic:blipFill>
                          <a:blip r:embed="rId69"/>
                          <a:stretch>
                            <a:fillRect/>
                          </a:stretch>
                        </pic:blipFill>
                        <pic:spPr>
                          <a:xfrm>
                            <a:off x="0" y="0"/>
                            <a:ext cx="2566670" cy="1518920"/>
                          </a:xfrm>
                          <a:prstGeom prst="rect">
                            <a:avLst/>
                          </a:prstGeom>
                          <a:noFill/>
                          <a:ln>
                            <a:noFill/>
                          </a:ln>
                        </pic:spPr>
                      </pic:pic>
                    </a:graphicData>
                  </a:graphic>
                </wp:inline>
              </w:drawing>
            </w:r>
          </w:p>
        </w:tc>
        <w:tc>
          <w:tcPr>
            <w:tcW w:w="4256" w:type="dxa"/>
            <w:shd w:val="clear" w:color="auto" w:fill="auto"/>
            <w:vAlign w:val="top"/>
          </w:tcPr>
          <w:p w14:paraId="3E429DA5">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2065" cy="1506855"/>
                  <wp:effectExtent l="0" t="0" r="635" b="17145"/>
                  <wp:docPr id="10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7"/>
                          <pic:cNvPicPr>
                            <a:picLocks noChangeAspect="1"/>
                          </pic:cNvPicPr>
                        </pic:nvPicPr>
                        <pic:blipFill>
                          <a:blip r:embed="rId70"/>
                          <a:stretch>
                            <a:fillRect/>
                          </a:stretch>
                        </pic:blipFill>
                        <pic:spPr>
                          <a:xfrm>
                            <a:off x="0" y="0"/>
                            <a:ext cx="2552065" cy="1506855"/>
                          </a:xfrm>
                          <a:prstGeom prst="rect">
                            <a:avLst/>
                          </a:prstGeom>
                          <a:noFill/>
                          <a:ln>
                            <a:noFill/>
                          </a:ln>
                        </pic:spPr>
                      </pic:pic>
                    </a:graphicData>
                  </a:graphic>
                </wp:inline>
              </w:drawing>
            </w:r>
          </w:p>
        </w:tc>
      </w:tr>
      <w:tr w14:paraId="32A7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shd w:val="clear" w:color="auto" w:fill="auto"/>
            <w:vAlign w:val="center"/>
          </w:tcPr>
          <w:p w14:paraId="3EE215F1">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4256" w:type="dxa"/>
            <w:shd w:val="clear" w:color="auto" w:fill="auto"/>
            <w:vAlign w:val="center"/>
          </w:tcPr>
          <w:p w14:paraId="02708B95">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6FE0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2"/>
            <w:shd w:val="clear" w:color="auto" w:fill="auto"/>
          </w:tcPr>
          <w:p w14:paraId="5E514C16">
            <w:pPr>
              <w:snapToGrid w:val="0"/>
              <w:spacing w:line="240" w:lineRule="auto"/>
              <w:ind w:firstLine="0" w:firstLineChars="0"/>
              <w:jc w:val="center"/>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导线高度19.5m时（居民区）地面1.5m高度处</w:t>
            </w:r>
          </w:p>
        </w:tc>
      </w:tr>
      <w:tr w14:paraId="7E41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tcPr>
          <w:p w14:paraId="2013908A">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67940" cy="1518920"/>
                  <wp:effectExtent l="0" t="0" r="3810" b="5080"/>
                  <wp:docPr id="10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0"/>
                          <pic:cNvPicPr>
                            <a:picLocks noChangeAspect="1"/>
                          </pic:cNvPicPr>
                        </pic:nvPicPr>
                        <pic:blipFill>
                          <a:blip r:embed="rId71"/>
                          <a:stretch>
                            <a:fillRect/>
                          </a:stretch>
                        </pic:blipFill>
                        <pic:spPr>
                          <a:xfrm>
                            <a:off x="0" y="0"/>
                            <a:ext cx="2567940" cy="1518920"/>
                          </a:xfrm>
                          <a:prstGeom prst="rect">
                            <a:avLst/>
                          </a:prstGeom>
                          <a:noFill/>
                          <a:ln>
                            <a:noFill/>
                          </a:ln>
                        </pic:spPr>
                      </pic:pic>
                    </a:graphicData>
                  </a:graphic>
                </wp:inline>
              </w:drawing>
            </w:r>
          </w:p>
        </w:tc>
        <w:tc>
          <w:tcPr>
            <w:tcW w:w="4256" w:type="dxa"/>
          </w:tcPr>
          <w:p w14:paraId="299CC517">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5240" cy="1511935"/>
                  <wp:effectExtent l="0" t="0" r="16510" b="12065"/>
                  <wp:docPr id="10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1"/>
                          <pic:cNvPicPr>
                            <a:picLocks noChangeAspect="1"/>
                          </pic:cNvPicPr>
                        </pic:nvPicPr>
                        <pic:blipFill>
                          <a:blip r:embed="rId72"/>
                          <a:stretch>
                            <a:fillRect/>
                          </a:stretch>
                        </pic:blipFill>
                        <pic:spPr>
                          <a:xfrm>
                            <a:off x="0" y="0"/>
                            <a:ext cx="2555240" cy="1511935"/>
                          </a:xfrm>
                          <a:prstGeom prst="rect">
                            <a:avLst/>
                          </a:prstGeom>
                          <a:noFill/>
                          <a:ln>
                            <a:noFill/>
                          </a:ln>
                        </pic:spPr>
                      </pic:pic>
                    </a:graphicData>
                  </a:graphic>
                </wp:inline>
              </w:drawing>
            </w:r>
          </w:p>
        </w:tc>
      </w:tr>
      <w:tr w14:paraId="0194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vAlign w:val="center"/>
          </w:tcPr>
          <w:p w14:paraId="3FE3B7EE">
            <w:pPr>
              <w:widowControl/>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4256" w:type="dxa"/>
            <w:vAlign w:val="center"/>
          </w:tcPr>
          <w:p w14:paraId="1E140872">
            <w:pPr>
              <w:snapToGrid w:val="0"/>
              <w:spacing w:line="240" w:lineRule="auto"/>
              <w:ind w:firstLine="0" w:firstLineChars="0"/>
              <w:jc w:val="center"/>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26DA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2"/>
          </w:tcPr>
          <w:p w14:paraId="40054FFE">
            <w:pPr>
              <w:snapToGrid w:val="0"/>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rFonts w:hint="eastAsia"/>
                <w:color w:val="000000" w:themeColor="text1"/>
                <w:kern w:val="0"/>
                <w:sz w:val="21"/>
                <w:szCs w:val="21"/>
                <w:lang w:bidi="ar"/>
                <w14:textFill>
                  <w14:solidFill>
                    <w14:schemeClr w14:val="tx1"/>
                  </w14:solidFill>
                </w14:textFill>
              </w:rPr>
              <w:t>3</w:t>
            </w:r>
            <w:r>
              <w:rPr>
                <w:rFonts w:hint="eastAsia"/>
                <w:color w:val="000000" w:themeColor="text1"/>
                <w:kern w:val="0"/>
                <w:sz w:val="21"/>
                <w:szCs w:val="21"/>
                <w:lang w:val="en-US" w:eastAsia="zh-CN" w:bidi="ar"/>
                <w14:textFill>
                  <w14:solidFill>
                    <w14:schemeClr w14:val="tx1"/>
                  </w14:solidFill>
                </w14:textFill>
              </w:rPr>
              <w:t>0.9</w:t>
            </w:r>
            <w:r>
              <w:rPr>
                <w:color w:val="000000" w:themeColor="text1"/>
                <w:kern w:val="0"/>
                <w:sz w:val="21"/>
                <w:szCs w:val="21"/>
                <w:lang w:bidi="ar"/>
                <w14:textFill>
                  <w14:solidFill>
                    <w14:schemeClr w14:val="tx1"/>
                  </w14:solidFill>
                </w14:textFill>
              </w:rPr>
              <w:t>m</w:t>
            </w:r>
            <w:r>
              <w:rPr>
                <w:rFonts w:hint="eastAsia" w:ascii="宋体" w:hAnsi="宋体" w:cs="宋体"/>
                <w:color w:val="000000" w:themeColor="text1"/>
                <w:kern w:val="0"/>
                <w:sz w:val="21"/>
                <w:szCs w:val="21"/>
                <w:lang w:bidi="ar"/>
                <w14:textFill>
                  <w14:solidFill>
                    <w14:schemeClr w14:val="tx1"/>
                  </w14:solidFill>
                </w14:textFill>
              </w:rPr>
              <w:t>时地面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bl>
    <w:p w14:paraId="2B26660B">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 xml:space="preserve">9 </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并行单回路线路工频电场强度、磁感应强度分布图（750-PD22D-ZB2塔型）</w:t>
      </w:r>
    </w:p>
    <w:p w14:paraId="7B258A1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控制线下工频电场强度小于10kV/m所需最低线高</w:t>
      </w:r>
    </w:p>
    <w:p w14:paraId="6A2F62E1">
      <w:pPr>
        <w:ind w:firstLine="480"/>
        <w:rPr>
          <w:color w:val="000000" w:themeColor="text1"/>
          <w14:textFill>
            <w14:solidFill>
              <w14:schemeClr w14:val="tx1"/>
            </w14:solidFill>
          </w14:textFill>
        </w:rPr>
      </w:pPr>
      <w:r>
        <w:rPr>
          <w:color w:val="000000" w:themeColor="text1"/>
          <w14:textFill>
            <w14:solidFill>
              <w14:schemeClr w14:val="tx1"/>
            </w14:solidFill>
          </w14:textFill>
        </w:rPr>
        <w:t>根据《电磁环境控制限值》</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GB8702-2014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，线路经过耕地、园地、牧草地、畜禽饲养地、道路等场所时，需控制地面1.5m高度处工频电场强度小于10kV/m。经预测，为使线下地面1.5m高度处工频电场强度小于10kV/m控制限值，相间距最</w:t>
      </w:r>
      <w:r>
        <w:rPr>
          <w:rFonts w:hint="eastAsia"/>
          <w:color w:val="000000" w:themeColor="text1"/>
          <w14:textFill>
            <w14:solidFill>
              <w14:schemeClr w14:val="tx1"/>
            </w14:solidFill>
          </w14:textFill>
        </w:rPr>
        <w:t>大</w:t>
      </w:r>
      <w:r>
        <w:rPr>
          <w:color w:val="000000" w:themeColor="text1"/>
          <w14:textFill>
            <w14:solidFill>
              <w14:schemeClr w14:val="tx1"/>
            </w14:solidFill>
          </w14:textFill>
        </w:rPr>
        <w:t>塔型导线最小对地高度需达到</w:t>
      </w:r>
      <w:r>
        <w:rPr>
          <w:rFonts w:hint="eastAsia"/>
          <w:color w:val="000000" w:themeColor="text1"/>
          <w:lang w:val="en-US" w:eastAsia="zh-CN"/>
          <w14:textFill>
            <w14:solidFill>
              <w14:schemeClr w14:val="tx1"/>
            </w14:solidFill>
          </w14:textFill>
        </w:rPr>
        <w:t>17.2</w:t>
      </w:r>
      <w:r>
        <w:rPr>
          <w:color w:val="000000" w:themeColor="text1"/>
          <w14:textFill>
            <w14:solidFill>
              <w14:schemeClr w14:val="tx1"/>
            </w14:solidFill>
          </w14:textFill>
        </w:rPr>
        <w:t>m。相应线高工频电场强度、预测结果见表6.1</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w:t>
      </w:r>
    </w:p>
    <w:p w14:paraId="36F1395D">
      <w:pPr>
        <w:pStyle w:val="38"/>
        <w:ind w:firstLine="0" w:firstLineChars="0"/>
        <w:rPr>
          <w:color w:val="000000" w:themeColor="text1"/>
          <w14:textFill>
            <w14:solidFill>
              <w14:schemeClr w14:val="tx1"/>
            </w14:solidFill>
          </w14:textFill>
        </w:rPr>
      </w:pPr>
      <w:r>
        <w:rPr>
          <w:bCs/>
          <w:color w:val="000000" w:themeColor="text1"/>
          <w14:textFill>
            <w14:solidFill>
              <w14:schemeClr w14:val="tx1"/>
            </w14:solidFill>
          </w14:textFill>
        </w:rPr>
        <w:t>表6.1</w:t>
      </w:r>
      <w:r>
        <w:rPr>
          <w:rFonts w:hint="eastAsia"/>
          <w:bCs/>
          <w:color w:val="000000" w:themeColor="text1"/>
          <w14:textFill>
            <w14:solidFill>
              <w14:schemeClr w14:val="tx1"/>
            </w14:solidFill>
          </w14:textFill>
        </w:rPr>
        <w:t xml:space="preserve">-9  </w:t>
      </w:r>
      <w:r>
        <w:rPr>
          <w:bCs/>
          <w:color w:val="000000" w:themeColor="text1"/>
          <w14:textFill>
            <w14:solidFill>
              <w14:schemeClr w14:val="tx1"/>
            </w14:solidFill>
          </w14:textFill>
        </w:rPr>
        <w:t>控制工频电场强度小于10kV/m对应线高的工频电场强度预测结果</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3"/>
        <w:gridCol w:w="4195"/>
      </w:tblGrid>
      <w:tr w14:paraId="0CC4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5F3286A4">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计算直线塔型</w:t>
            </w:r>
          </w:p>
        </w:tc>
        <w:tc>
          <w:tcPr>
            <w:tcW w:w="2462" w:type="pct"/>
          </w:tcPr>
          <w:p w14:paraId="306423F6">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相间距最大塔型（</w:t>
            </w:r>
            <w:r>
              <w:rPr>
                <w:b w:val="0"/>
                <w:color w:val="000000" w:themeColor="text1"/>
                <w:szCs w:val="21"/>
                <w14:textFill>
                  <w14:solidFill>
                    <w14:schemeClr w14:val="tx1"/>
                  </w14:solidFill>
                </w14:textFill>
              </w:rPr>
              <w:t>750-PD22D-ZB2</w:t>
            </w:r>
            <w:r>
              <w:rPr>
                <w:rFonts w:hint="eastAsia"/>
                <w:color w:val="000000" w:themeColor="text1"/>
                <w14:textFill>
                  <w14:solidFill>
                    <w14:schemeClr w14:val="tx1"/>
                  </w14:solidFill>
                </w14:textFill>
              </w:rPr>
              <w:t>）</w:t>
            </w:r>
          </w:p>
        </w:tc>
      </w:tr>
      <w:tr w14:paraId="0796A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shd w:val="clear" w:color="auto" w:fill="auto"/>
          </w:tcPr>
          <w:p w14:paraId="63DC3A6B">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10kV/m对于最低线高，m</w:t>
            </w:r>
          </w:p>
        </w:tc>
        <w:tc>
          <w:tcPr>
            <w:tcW w:w="2462" w:type="pct"/>
            <w:shd w:val="clear" w:color="auto" w:fill="auto"/>
          </w:tcPr>
          <w:p w14:paraId="12BA13CF">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17.2</w:t>
            </w:r>
          </w:p>
        </w:tc>
      </w:tr>
      <w:tr w14:paraId="7C17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396FB666">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最大值，kV/m</w:t>
            </w:r>
          </w:p>
        </w:tc>
        <w:tc>
          <w:tcPr>
            <w:tcW w:w="2462" w:type="pct"/>
          </w:tcPr>
          <w:p w14:paraId="0DB5374E">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9.9</w:t>
            </w:r>
            <w:r>
              <w:rPr>
                <w:rFonts w:hint="eastAsia"/>
                <w:b w:val="0"/>
                <w:bCs/>
                <w:color w:val="000000" w:themeColor="text1"/>
                <w:lang w:val="en-US" w:eastAsia="zh-CN"/>
                <w14:textFill>
                  <w14:solidFill>
                    <w14:schemeClr w14:val="tx1"/>
                  </w14:solidFill>
                </w14:textFill>
              </w:rPr>
              <w:t>690</w:t>
            </w:r>
          </w:p>
        </w:tc>
      </w:tr>
      <w:tr w14:paraId="7521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2AB39FA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最大值点位置与边导线距离，m</w:t>
            </w:r>
          </w:p>
        </w:tc>
        <w:tc>
          <w:tcPr>
            <w:tcW w:w="2462" w:type="pct"/>
          </w:tcPr>
          <w:p w14:paraId="48014E32">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1.9</w:t>
            </w:r>
          </w:p>
        </w:tc>
      </w:tr>
    </w:tbl>
    <w:p w14:paraId="259C2AE0">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10kV</w:t>
      </w:r>
      <w:r>
        <w:rPr>
          <w:rFonts w:hint="eastAsia"/>
          <w:color w:val="000000" w:themeColor="text1"/>
          <w14:textFill>
            <w14:solidFill>
              <w14:schemeClr w14:val="tx1"/>
            </w14:solidFill>
          </w14:textFill>
        </w:rPr>
        <w:t>等值线</w:t>
      </w:r>
    </w:p>
    <w:p w14:paraId="7325AB1D">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本次评价对线下离地</w:t>
      </w:r>
      <w:r>
        <w:rPr>
          <w:color w:val="000000" w:themeColor="text1"/>
          <w14:textFill>
            <w14:solidFill>
              <w14:schemeClr w14:val="tx1"/>
            </w14:solidFill>
          </w14:textFill>
        </w:rPr>
        <w:t>1.5m</w:t>
      </w:r>
      <w:r>
        <w:rPr>
          <w:rFonts w:hint="eastAsia"/>
          <w:color w:val="000000" w:themeColor="text1"/>
          <w14:textFill>
            <w14:solidFill>
              <w14:schemeClr w14:val="tx1"/>
            </w14:solidFill>
          </w14:textFill>
        </w:rPr>
        <w:t>处工频电场强度</w:t>
      </w:r>
      <w:r>
        <w:rPr>
          <w:color w:val="000000" w:themeColor="text1"/>
          <w14:textFill>
            <w14:solidFill>
              <w14:schemeClr w14:val="tx1"/>
            </w14:solidFill>
          </w14:textFill>
        </w:rPr>
        <w:t>10kV/m</w:t>
      </w:r>
      <w:r>
        <w:rPr>
          <w:rFonts w:hint="eastAsia"/>
          <w:color w:val="000000" w:themeColor="text1"/>
          <w14:textFill>
            <w14:solidFill>
              <w14:schemeClr w14:val="tx1"/>
            </w14:solidFill>
          </w14:textFill>
        </w:rPr>
        <w:t>等值线进行预测，以最保守角度选择，相间距最大塔型，并行线路距离</w:t>
      </w:r>
      <w:r>
        <w:rPr>
          <w:color w:val="000000" w:themeColor="text1"/>
          <w14:textFill>
            <w14:solidFill>
              <w14:schemeClr w14:val="tx1"/>
            </w14:solidFill>
          </w14:textFill>
        </w:rPr>
        <w:t>100m</w:t>
      </w:r>
      <w:r>
        <w:rPr>
          <w:rFonts w:hint="eastAsia"/>
          <w:color w:val="000000" w:themeColor="text1"/>
          <w14:textFill>
            <w14:solidFill>
              <w14:schemeClr w14:val="tx1"/>
            </w14:solidFill>
          </w14:textFill>
        </w:rPr>
        <w:t>进行预测。详见表</w:t>
      </w:r>
      <w:r>
        <w:rPr>
          <w:color w:val="000000" w:themeColor="text1"/>
          <w14:textFill>
            <w14:solidFill>
              <w14:schemeClr w14:val="tx1"/>
            </w14:solidFill>
          </w14:textFill>
        </w:rPr>
        <w:t>6.1-</w:t>
      </w:r>
      <w:r>
        <w:rPr>
          <w:rFonts w:hint="eastAsia"/>
          <w:color w:val="000000" w:themeColor="text1"/>
          <w14:textFill>
            <w14:solidFill>
              <w14:schemeClr w14:val="tx1"/>
            </w14:solidFill>
          </w14:textFill>
        </w:rPr>
        <w:t>10及图</w:t>
      </w:r>
      <w:r>
        <w:rPr>
          <w:color w:val="000000" w:themeColor="text1"/>
          <w14:textFill>
            <w14:solidFill>
              <w14:schemeClr w14:val="tx1"/>
            </w14:solidFill>
          </w14:textFill>
        </w:rPr>
        <w:t>6.1-</w:t>
      </w:r>
      <w:r>
        <w:rPr>
          <w:rFonts w:hint="eastAsia"/>
          <w:color w:val="000000" w:themeColor="text1"/>
          <w14:textFill>
            <w14:solidFill>
              <w14:schemeClr w14:val="tx1"/>
            </w14:solidFill>
          </w14:textFill>
        </w:rPr>
        <w:t>10。</w:t>
      </w:r>
    </w:p>
    <w:p w14:paraId="07226C47">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10</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 xml:space="preserve"> 相间距最大塔型工频电场强度</w:t>
      </w:r>
      <w:r>
        <w:rPr>
          <w:b/>
          <w:bCs/>
          <w:color w:val="000000" w:themeColor="text1"/>
          <w:sz w:val="21"/>
          <w:szCs w:val="21"/>
          <w14:textFill>
            <w14:solidFill>
              <w14:schemeClr w14:val="tx1"/>
            </w14:solidFill>
          </w14:textFill>
        </w:rPr>
        <w:t>10kV/m</w:t>
      </w:r>
      <w:r>
        <w:rPr>
          <w:rFonts w:hint="eastAsia"/>
          <w:b/>
          <w:bCs/>
          <w:color w:val="000000" w:themeColor="text1"/>
          <w:sz w:val="21"/>
          <w:szCs w:val="21"/>
          <w14:textFill>
            <w14:solidFill>
              <w14:schemeClr w14:val="tx1"/>
            </w14:solidFill>
          </w14:textFill>
        </w:rPr>
        <w:t>等值线预测结果</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1420"/>
        <w:gridCol w:w="1420"/>
        <w:gridCol w:w="1420"/>
        <w:gridCol w:w="1421"/>
      </w:tblGrid>
      <w:tr w14:paraId="013E8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5"/>
            <w:vAlign w:val="center"/>
          </w:tcPr>
          <w:p w14:paraId="4EA09345">
            <w:pPr>
              <w:pStyle w:val="4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地面</w:t>
            </w:r>
            <w:r>
              <w:rPr>
                <w:color w:val="000000" w:themeColor="text1"/>
                <w14:textFill>
                  <w14:solidFill>
                    <w14:schemeClr w14:val="tx1"/>
                  </w14:solidFill>
                </w14:textFill>
              </w:rPr>
              <w:t>1.5m</w:t>
            </w:r>
            <w:r>
              <w:rPr>
                <w:rFonts w:hint="eastAsia"/>
                <w:color w:val="000000" w:themeColor="text1"/>
                <w14:textFill>
                  <w14:solidFill>
                    <w14:schemeClr w14:val="tx1"/>
                  </w14:solidFill>
                </w14:textFill>
              </w:rPr>
              <w:t>高度处</w:t>
            </w:r>
          </w:p>
        </w:tc>
      </w:tr>
      <w:tr w14:paraId="6FCD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14:paraId="581D1F0C">
            <w:pPr>
              <w:pStyle w:val="4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导线对地最小线高（</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5681" w:type="dxa"/>
            <w:gridSpan w:val="4"/>
            <w:vAlign w:val="center"/>
          </w:tcPr>
          <w:p w14:paraId="703D03F2">
            <w:pPr>
              <w:pStyle w:val="4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满足10</w:t>
            </w:r>
            <w:r>
              <w:rPr>
                <w:color w:val="000000" w:themeColor="text1"/>
                <w14:textFill>
                  <w14:solidFill>
                    <w14:schemeClr w14:val="tx1"/>
                  </w14:solidFill>
                </w14:textFill>
              </w:rPr>
              <w:t>kV/m</w:t>
            </w:r>
            <w:r>
              <w:rPr>
                <w:rFonts w:hint="eastAsia"/>
                <w:color w:val="000000" w:themeColor="text1"/>
                <w14:textFill>
                  <w14:solidFill>
                    <w14:schemeClr w14:val="tx1"/>
                  </w14:solidFill>
                </w14:textFill>
              </w:rPr>
              <w:t>最小距离</w:t>
            </w:r>
          </w:p>
        </w:tc>
      </w:tr>
      <w:tr w14:paraId="4FAD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33C8C419">
            <w:pPr>
              <w:pStyle w:val="40"/>
              <w:jc w:val="center"/>
              <w:rPr>
                <w:color w:val="000000" w:themeColor="text1"/>
                <w14:textFill>
                  <w14:solidFill>
                    <w14:schemeClr w14:val="tx1"/>
                  </w14:solidFill>
                </w14:textFill>
              </w:rPr>
            </w:pPr>
          </w:p>
        </w:tc>
        <w:tc>
          <w:tcPr>
            <w:tcW w:w="2840" w:type="dxa"/>
            <w:gridSpan w:val="2"/>
            <w:vAlign w:val="center"/>
          </w:tcPr>
          <w:p w14:paraId="3817C355">
            <w:pPr>
              <w:pStyle w:val="4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距塔杆中心（</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2841" w:type="dxa"/>
            <w:gridSpan w:val="2"/>
            <w:vAlign w:val="center"/>
          </w:tcPr>
          <w:p w14:paraId="02AD5BF7">
            <w:pPr>
              <w:pStyle w:val="4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距边导线（</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r>
      <w:tr w14:paraId="6065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7188242">
            <w:pPr>
              <w:pStyle w:val="40"/>
              <w:jc w:val="center"/>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15.5</w:t>
            </w:r>
          </w:p>
        </w:tc>
        <w:tc>
          <w:tcPr>
            <w:tcW w:w="1420" w:type="dxa"/>
            <w:vAlign w:val="center"/>
          </w:tcPr>
          <w:p w14:paraId="6249F724">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127.9</w:t>
            </w:r>
          </w:p>
        </w:tc>
        <w:tc>
          <w:tcPr>
            <w:tcW w:w="1420" w:type="dxa"/>
            <w:vAlign w:val="center"/>
          </w:tcPr>
          <w:p w14:paraId="4A9AFFC3">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127.9</w:t>
            </w:r>
          </w:p>
        </w:tc>
        <w:tc>
          <w:tcPr>
            <w:tcW w:w="1420" w:type="dxa"/>
            <w:vAlign w:val="center"/>
          </w:tcPr>
          <w:p w14:paraId="3752B3F5">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6.8</w:t>
            </w:r>
          </w:p>
        </w:tc>
        <w:tc>
          <w:tcPr>
            <w:tcW w:w="1421" w:type="dxa"/>
            <w:vAlign w:val="center"/>
          </w:tcPr>
          <w:p w14:paraId="7ACE88DB">
            <w:pPr>
              <w:pStyle w:val="40"/>
              <w:ind w:firstLine="0" w:firstLineChars="0"/>
              <w:jc w:val="center"/>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6.8</w:t>
            </w:r>
          </w:p>
        </w:tc>
      </w:tr>
      <w:tr w14:paraId="1E4B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2349837D">
            <w:pPr>
              <w:pStyle w:val="40"/>
              <w:jc w:val="center"/>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15.</w:t>
            </w:r>
            <w:r>
              <w:rPr>
                <w:rFonts w:hint="eastAsia" w:cs="Times New Roman"/>
                <w:b w:val="0"/>
                <w:bCs/>
                <w:color w:val="000000" w:themeColor="text1"/>
                <w:lang w:val="en-US" w:eastAsia="zh-CN"/>
                <w14:textFill>
                  <w14:solidFill>
                    <w14:schemeClr w14:val="tx1"/>
                  </w14:solidFill>
                </w14:textFill>
              </w:rPr>
              <w:t>8</w:t>
            </w:r>
          </w:p>
        </w:tc>
        <w:tc>
          <w:tcPr>
            <w:tcW w:w="1420" w:type="dxa"/>
            <w:vAlign w:val="center"/>
          </w:tcPr>
          <w:p w14:paraId="56460A02">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127.7</w:t>
            </w:r>
          </w:p>
        </w:tc>
        <w:tc>
          <w:tcPr>
            <w:tcW w:w="1420" w:type="dxa"/>
            <w:vAlign w:val="center"/>
          </w:tcPr>
          <w:p w14:paraId="57FAC006">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127.7</w:t>
            </w:r>
          </w:p>
        </w:tc>
        <w:tc>
          <w:tcPr>
            <w:tcW w:w="1420" w:type="dxa"/>
            <w:vAlign w:val="center"/>
          </w:tcPr>
          <w:p w14:paraId="49A58317">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6.6</w:t>
            </w:r>
          </w:p>
        </w:tc>
        <w:tc>
          <w:tcPr>
            <w:tcW w:w="1421" w:type="dxa"/>
            <w:vAlign w:val="center"/>
          </w:tcPr>
          <w:p w14:paraId="6DA2EC2F">
            <w:pPr>
              <w:pStyle w:val="40"/>
              <w:ind w:firstLine="0" w:firstLineChars="0"/>
              <w:jc w:val="center"/>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6.6</w:t>
            </w:r>
          </w:p>
        </w:tc>
      </w:tr>
      <w:tr w14:paraId="778E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9C47C29">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16.6</w:t>
            </w:r>
          </w:p>
        </w:tc>
        <w:tc>
          <w:tcPr>
            <w:tcW w:w="1420" w:type="dxa"/>
            <w:vAlign w:val="center"/>
          </w:tcPr>
          <w:p w14:paraId="61DC13A6">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w:t>
            </w:r>
            <w:r>
              <w:rPr>
                <w:rFonts w:hint="eastAsia" w:cs="Times New Roman"/>
                <w:b w:val="0"/>
                <w:bCs/>
                <w:color w:val="000000" w:themeColor="text1"/>
                <w:lang w:val="en-US" w:eastAsia="zh-CN"/>
                <w14:textFill>
                  <w14:solidFill>
                    <w14:schemeClr w14:val="tx1"/>
                  </w14:solidFill>
                </w14:textFill>
              </w:rPr>
              <w:t>25.8</w:t>
            </w:r>
          </w:p>
        </w:tc>
        <w:tc>
          <w:tcPr>
            <w:tcW w:w="1420" w:type="dxa"/>
            <w:vAlign w:val="center"/>
          </w:tcPr>
          <w:p w14:paraId="52EAB094">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125.8</w:t>
            </w:r>
          </w:p>
        </w:tc>
        <w:tc>
          <w:tcPr>
            <w:tcW w:w="1420" w:type="dxa"/>
            <w:vAlign w:val="center"/>
          </w:tcPr>
          <w:p w14:paraId="1084FF7A">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4.7</w:t>
            </w:r>
          </w:p>
        </w:tc>
        <w:tc>
          <w:tcPr>
            <w:tcW w:w="1421" w:type="dxa"/>
            <w:vAlign w:val="center"/>
          </w:tcPr>
          <w:p w14:paraId="59499966">
            <w:pPr>
              <w:pStyle w:val="40"/>
              <w:ind w:firstLine="0" w:firstLineChars="0"/>
              <w:jc w:val="center"/>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4.7</w:t>
            </w:r>
          </w:p>
        </w:tc>
      </w:tr>
      <w:tr w14:paraId="6133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D450EEB">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16.9</w:t>
            </w:r>
          </w:p>
        </w:tc>
        <w:tc>
          <w:tcPr>
            <w:tcW w:w="1420" w:type="dxa"/>
            <w:vAlign w:val="center"/>
          </w:tcPr>
          <w:p w14:paraId="1D5A2710">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w:t>
            </w:r>
            <w:r>
              <w:rPr>
                <w:rFonts w:hint="eastAsia" w:cs="Times New Roman"/>
                <w:b w:val="0"/>
                <w:bCs/>
                <w:color w:val="000000" w:themeColor="text1"/>
                <w:lang w:val="en-US" w:eastAsia="zh-CN"/>
                <w14:textFill>
                  <w14:solidFill>
                    <w14:schemeClr w14:val="tx1"/>
                  </w14:solidFill>
                </w14:textFill>
              </w:rPr>
              <w:t>24.7</w:t>
            </w:r>
          </w:p>
        </w:tc>
        <w:tc>
          <w:tcPr>
            <w:tcW w:w="1420" w:type="dxa"/>
            <w:vAlign w:val="center"/>
          </w:tcPr>
          <w:p w14:paraId="2699548D">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124.7</w:t>
            </w:r>
          </w:p>
        </w:tc>
        <w:tc>
          <w:tcPr>
            <w:tcW w:w="1420" w:type="dxa"/>
            <w:vAlign w:val="center"/>
          </w:tcPr>
          <w:p w14:paraId="634D607D">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3.6</w:t>
            </w:r>
          </w:p>
        </w:tc>
        <w:tc>
          <w:tcPr>
            <w:tcW w:w="1421" w:type="dxa"/>
            <w:vAlign w:val="center"/>
          </w:tcPr>
          <w:p w14:paraId="2A7B8F40">
            <w:pPr>
              <w:pStyle w:val="40"/>
              <w:ind w:firstLine="0" w:firstLineChars="0"/>
              <w:jc w:val="center"/>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3.6</w:t>
            </w:r>
          </w:p>
        </w:tc>
      </w:tr>
      <w:tr w14:paraId="0D7E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0A856430">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17.2</w:t>
            </w:r>
          </w:p>
        </w:tc>
        <w:tc>
          <w:tcPr>
            <w:tcW w:w="1420" w:type="dxa"/>
            <w:vAlign w:val="center"/>
          </w:tcPr>
          <w:p w14:paraId="3A613C36">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w:t>
            </w:r>
            <w:r>
              <w:rPr>
                <w:rFonts w:hint="eastAsia" w:cs="Times New Roman"/>
                <w:b w:val="0"/>
                <w:bCs/>
                <w:color w:val="000000" w:themeColor="text1"/>
                <w:lang w:val="en-US" w:eastAsia="zh-CN"/>
                <w14:textFill>
                  <w14:solidFill>
                    <w14:schemeClr w14:val="tx1"/>
                  </w14:solidFill>
                </w14:textFill>
              </w:rPr>
              <w:t>23.7</w:t>
            </w:r>
          </w:p>
        </w:tc>
        <w:tc>
          <w:tcPr>
            <w:tcW w:w="1420" w:type="dxa"/>
            <w:vAlign w:val="center"/>
          </w:tcPr>
          <w:p w14:paraId="3F4FB4FD">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123.7</w:t>
            </w:r>
          </w:p>
        </w:tc>
        <w:tc>
          <w:tcPr>
            <w:tcW w:w="1420" w:type="dxa"/>
            <w:vAlign w:val="center"/>
          </w:tcPr>
          <w:p w14:paraId="6FDF31C9">
            <w:pPr>
              <w:pStyle w:val="40"/>
              <w:jc w:val="center"/>
              <w:rPr>
                <w:rFonts w:hint="default"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2.6</w:t>
            </w:r>
          </w:p>
        </w:tc>
        <w:tc>
          <w:tcPr>
            <w:tcW w:w="1421" w:type="dxa"/>
            <w:vAlign w:val="center"/>
          </w:tcPr>
          <w:p w14:paraId="6085F117">
            <w:pPr>
              <w:pStyle w:val="40"/>
              <w:ind w:firstLine="0" w:firstLineChars="0"/>
              <w:jc w:val="center"/>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2.6</w:t>
            </w:r>
          </w:p>
        </w:tc>
      </w:tr>
    </w:tbl>
    <w:p w14:paraId="38172FF3">
      <w:pPr>
        <w:snapToGrid w:val="0"/>
        <w:ind w:firstLine="0" w:firstLineChars="0"/>
        <w:rPr>
          <w:color w:val="000000" w:themeColor="text1"/>
          <w14:textFill>
            <w14:solidFill>
              <w14:schemeClr w14:val="tx1"/>
            </w14:solidFill>
          </w14:textFill>
        </w:rPr>
      </w:pPr>
    </w:p>
    <w:p w14:paraId="1880E20F">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26000" cy="2743200"/>
            <wp:effectExtent l="4445" t="4445" r="8255" b="14605"/>
            <wp:docPr id="10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236D0728">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 xml:space="preserve">10 </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工频电场强度</w:t>
      </w:r>
      <w:r>
        <w:rPr>
          <w:b/>
          <w:bCs/>
          <w:color w:val="000000" w:themeColor="text1"/>
          <w:sz w:val="21"/>
          <w:szCs w:val="21"/>
          <w14:textFill>
            <w14:solidFill>
              <w14:schemeClr w14:val="tx1"/>
            </w14:solidFill>
          </w14:textFill>
        </w:rPr>
        <w:t>10kV/m</w:t>
      </w:r>
      <w:r>
        <w:rPr>
          <w:rFonts w:hint="eastAsia"/>
          <w:b/>
          <w:bCs/>
          <w:color w:val="000000" w:themeColor="text1"/>
          <w:sz w:val="21"/>
          <w:szCs w:val="21"/>
          <w14:textFill>
            <w14:solidFill>
              <w14:schemeClr w14:val="tx1"/>
            </w14:solidFill>
          </w14:textFill>
        </w:rPr>
        <w:t>预测结果分布图</w:t>
      </w:r>
    </w:p>
    <w:p w14:paraId="28B85BBB">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5</w:t>
      </w: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4kV/m</w:t>
      </w:r>
      <w:r>
        <w:rPr>
          <w:rFonts w:hint="eastAsia" w:ascii="宋体" w:hAnsi="宋体" w:cs="宋体"/>
          <w:color w:val="000000" w:themeColor="text1"/>
          <w:kern w:val="0"/>
          <w:lang w:bidi="ar"/>
          <w14:textFill>
            <w14:solidFill>
              <w14:schemeClr w14:val="tx1"/>
            </w14:solidFill>
          </w14:textFill>
        </w:rPr>
        <w:t>等值线</w:t>
      </w:r>
    </w:p>
    <w:p w14:paraId="43A3D260">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本次评价对线下离地</w:t>
      </w:r>
      <w:r>
        <w:rPr>
          <w:color w:val="000000" w:themeColor="text1"/>
          <w:kern w:val="0"/>
          <w:lang w:bidi="ar"/>
          <w14:textFill>
            <w14:solidFill>
              <w14:schemeClr w14:val="tx1"/>
            </w14:solidFill>
          </w14:textFill>
        </w:rPr>
        <w:t>1.5m</w:t>
      </w:r>
      <w:r>
        <w:rPr>
          <w:rFonts w:hint="eastAsia" w:ascii="宋体" w:hAnsi="宋体" w:cs="宋体"/>
          <w:color w:val="000000" w:themeColor="text1"/>
          <w:kern w:val="0"/>
          <w:lang w:bidi="ar"/>
          <w14:textFill>
            <w14:solidFill>
              <w14:schemeClr w14:val="tx1"/>
            </w14:solidFill>
          </w14:textFill>
        </w:rPr>
        <w:t>处工频电场强度</w:t>
      </w:r>
      <w:r>
        <w:rPr>
          <w:color w:val="000000" w:themeColor="text1"/>
          <w:kern w:val="0"/>
          <w:lang w:bidi="ar"/>
          <w14:textFill>
            <w14:solidFill>
              <w14:schemeClr w14:val="tx1"/>
            </w14:solidFill>
          </w14:textFill>
        </w:rPr>
        <w:t>4kV/m</w:t>
      </w:r>
      <w:r>
        <w:rPr>
          <w:rFonts w:hint="eastAsia" w:ascii="宋体" w:hAnsi="宋体" w:cs="宋体"/>
          <w:color w:val="000000" w:themeColor="text1"/>
          <w:kern w:val="0"/>
          <w:lang w:bidi="ar"/>
          <w14:textFill>
            <w14:solidFill>
              <w14:schemeClr w14:val="tx1"/>
            </w14:solidFill>
          </w14:textFill>
        </w:rPr>
        <w:t>等值线进行预测，以最保守角度选择，相间距最大塔型，并行线路距离</w:t>
      </w:r>
      <w:r>
        <w:rPr>
          <w:color w:val="000000" w:themeColor="text1"/>
          <w:kern w:val="0"/>
          <w:lang w:bidi="ar"/>
          <w14:textFill>
            <w14:solidFill>
              <w14:schemeClr w14:val="tx1"/>
            </w14:solidFill>
          </w14:textFill>
        </w:rPr>
        <w:t>100m</w:t>
      </w:r>
      <w:r>
        <w:rPr>
          <w:rFonts w:hint="eastAsia" w:ascii="宋体" w:hAnsi="宋体" w:cs="宋体"/>
          <w:color w:val="000000" w:themeColor="text1"/>
          <w:kern w:val="0"/>
          <w:lang w:bidi="ar"/>
          <w14:textFill>
            <w14:solidFill>
              <w14:schemeClr w14:val="tx1"/>
            </w14:solidFill>
          </w14:textFill>
        </w:rPr>
        <w:t>进行预测。详见表</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11</w:t>
      </w:r>
      <w:r>
        <w:rPr>
          <w:rFonts w:hint="eastAsia" w:ascii="宋体" w:hAnsi="宋体" w:cs="宋体"/>
          <w:color w:val="000000" w:themeColor="text1"/>
          <w:kern w:val="0"/>
          <w:lang w:bidi="ar"/>
          <w14:textFill>
            <w14:solidFill>
              <w14:schemeClr w14:val="tx1"/>
            </w14:solidFill>
          </w14:textFill>
        </w:rPr>
        <w:t>及图</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11</w:t>
      </w:r>
      <w:r>
        <w:rPr>
          <w:rFonts w:hint="eastAsia" w:ascii="宋体" w:hAnsi="宋体" w:cs="宋体"/>
          <w:color w:val="000000" w:themeColor="text1"/>
          <w:kern w:val="0"/>
          <w:lang w:bidi="ar"/>
          <w14:textFill>
            <w14:solidFill>
              <w14:schemeClr w14:val="tx1"/>
            </w14:solidFill>
          </w14:textFill>
        </w:rPr>
        <w:t>。</w:t>
      </w:r>
    </w:p>
    <w:p w14:paraId="7ECA849D">
      <w:pPr>
        <w:widowControl/>
        <w:ind w:firstLine="0" w:firstLineChars="0"/>
        <w:jc w:val="center"/>
        <w:rPr>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表</w:t>
      </w:r>
      <w:r>
        <w:rPr>
          <w:rFonts w:eastAsia="TimesNewRomanPS-BoldMT"/>
          <w:b/>
          <w:bCs/>
          <w:color w:val="000000" w:themeColor="text1"/>
          <w:kern w:val="0"/>
          <w:sz w:val="21"/>
          <w:szCs w:val="21"/>
          <w:lang w:bidi="ar"/>
          <w14:textFill>
            <w14:solidFill>
              <w14:schemeClr w14:val="tx1"/>
            </w14:solidFill>
          </w14:textFill>
        </w:rPr>
        <w:t>6.1-</w:t>
      </w:r>
      <w:r>
        <w:rPr>
          <w:rFonts w:hint="eastAsia" w:eastAsia="TimesNewRomanPS-BoldMT"/>
          <w:b/>
          <w:bCs/>
          <w:color w:val="000000" w:themeColor="text1"/>
          <w:kern w:val="0"/>
          <w:sz w:val="21"/>
          <w:szCs w:val="21"/>
          <w:lang w:bidi="ar"/>
          <w14:textFill>
            <w14:solidFill>
              <w14:schemeClr w14:val="tx1"/>
            </w14:solidFill>
          </w14:textFill>
        </w:rPr>
        <w:t xml:space="preserve">11  </w:t>
      </w:r>
      <w:r>
        <w:rPr>
          <w:b/>
          <w:bCs/>
          <w:color w:val="000000" w:themeColor="text1"/>
          <w:kern w:val="0"/>
          <w:sz w:val="21"/>
          <w:szCs w:val="21"/>
          <w:lang w:bidi="ar"/>
          <w14:textFill>
            <w14:solidFill>
              <w14:schemeClr w14:val="tx1"/>
            </w14:solidFill>
          </w14:textFill>
        </w:rPr>
        <w:t>相间距最大塔型工频电场强度</w:t>
      </w:r>
      <w:r>
        <w:rPr>
          <w:rFonts w:eastAsia="TimesNewRomanPS-BoldMT"/>
          <w:b/>
          <w:bCs/>
          <w:color w:val="000000" w:themeColor="text1"/>
          <w:kern w:val="0"/>
          <w:sz w:val="21"/>
          <w:szCs w:val="21"/>
          <w:lang w:bidi="ar"/>
          <w14:textFill>
            <w14:solidFill>
              <w14:schemeClr w14:val="tx1"/>
            </w14:solidFill>
          </w14:textFill>
        </w:rPr>
        <w:t>4kV/m</w:t>
      </w:r>
      <w:r>
        <w:rPr>
          <w:b/>
          <w:bCs/>
          <w:color w:val="000000" w:themeColor="text1"/>
          <w:kern w:val="0"/>
          <w:sz w:val="21"/>
          <w:szCs w:val="21"/>
          <w:lang w:bidi="ar"/>
          <w14:textFill>
            <w14:solidFill>
              <w14:schemeClr w14:val="tx1"/>
            </w14:solidFill>
          </w14:textFill>
        </w:rPr>
        <w:t>等值线预测结果</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1420"/>
        <w:gridCol w:w="1420"/>
        <w:gridCol w:w="1420"/>
        <w:gridCol w:w="1421"/>
      </w:tblGrid>
      <w:tr w14:paraId="6E22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5"/>
            <w:vAlign w:val="center"/>
          </w:tcPr>
          <w:p w14:paraId="3A4E6FC6">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地面</w:t>
            </w:r>
            <w:r>
              <w:rPr>
                <w:color w:val="000000" w:themeColor="text1"/>
                <w14:textFill>
                  <w14:solidFill>
                    <w14:schemeClr w14:val="tx1"/>
                  </w14:solidFill>
                </w14:textFill>
              </w:rPr>
              <w:t>1.5m</w:t>
            </w:r>
            <w:r>
              <w:rPr>
                <w:rFonts w:hint="eastAsia"/>
                <w:color w:val="000000" w:themeColor="text1"/>
                <w14:textFill>
                  <w14:solidFill>
                    <w14:schemeClr w14:val="tx1"/>
                  </w14:solidFill>
                </w14:textFill>
              </w:rPr>
              <w:t>高度处</w:t>
            </w:r>
          </w:p>
        </w:tc>
      </w:tr>
      <w:tr w14:paraId="1C9A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14:paraId="49E2CF3D">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导线对地最小线高（</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5681" w:type="dxa"/>
            <w:gridSpan w:val="4"/>
            <w:vAlign w:val="center"/>
          </w:tcPr>
          <w:p w14:paraId="1D3530B4">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满足4</w:t>
            </w:r>
            <w:r>
              <w:rPr>
                <w:color w:val="000000" w:themeColor="text1"/>
                <w14:textFill>
                  <w14:solidFill>
                    <w14:schemeClr w14:val="tx1"/>
                  </w14:solidFill>
                </w14:textFill>
              </w:rPr>
              <w:t>kV/m</w:t>
            </w:r>
            <w:r>
              <w:rPr>
                <w:rFonts w:hint="eastAsia"/>
                <w:color w:val="000000" w:themeColor="text1"/>
                <w14:textFill>
                  <w14:solidFill>
                    <w14:schemeClr w14:val="tx1"/>
                  </w14:solidFill>
                </w14:textFill>
              </w:rPr>
              <w:t>最小距离</w:t>
            </w:r>
          </w:p>
        </w:tc>
      </w:tr>
      <w:tr w14:paraId="23FD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5FAB5E4F">
            <w:pPr>
              <w:pStyle w:val="40"/>
              <w:rPr>
                <w:color w:val="000000" w:themeColor="text1"/>
                <w14:textFill>
                  <w14:solidFill>
                    <w14:schemeClr w14:val="tx1"/>
                  </w14:solidFill>
                </w14:textFill>
              </w:rPr>
            </w:pPr>
          </w:p>
        </w:tc>
        <w:tc>
          <w:tcPr>
            <w:tcW w:w="2840" w:type="dxa"/>
            <w:gridSpan w:val="2"/>
            <w:vAlign w:val="center"/>
          </w:tcPr>
          <w:p w14:paraId="4C4DEFCA">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距塔杆中心（</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2841" w:type="dxa"/>
            <w:gridSpan w:val="2"/>
            <w:vAlign w:val="center"/>
          </w:tcPr>
          <w:p w14:paraId="64F4F238">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距边导线（</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r>
      <w:tr w14:paraId="648E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4681D0A1">
            <w:pPr>
              <w:pStyle w:val="40"/>
              <w:rPr>
                <w:rFonts w:ascii="Times New Roman" w:hAnsi="Times New Roman" w:cs="Times New Roman"/>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19.5</w:t>
            </w:r>
          </w:p>
        </w:tc>
        <w:tc>
          <w:tcPr>
            <w:tcW w:w="1420" w:type="dxa"/>
            <w:vAlign w:val="center"/>
          </w:tcPr>
          <w:p w14:paraId="7D2D7EB6">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-141.6</w:t>
            </w:r>
          </w:p>
        </w:tc>
        <w:tc>
          <w:tcPr>
            <w:tcW w:w="1420" w:type="dxa"/>
            <w:vAlign w:val="center"/>
          </w:tcPr>
          <w:p w14:paraId="5562FE3B">
            <w:pPr>
              <w:pStyle w:val="40"/>
              <w:ind w:firstLine="0" w:firstLineChars="0"/>
              <w:rPr>
                <w:rFonts w:ascii="Times New Roman" w:hAnsi="Times New Roman" w:cs="Times New Roman"/>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141.6</w:t>
            </w:r>
          </w:p>
        </w:tc>
        <w:tc>
          <w:tcPr>
            <w:tcW w:w="1420" w:type="dxa"/>
            <w:vAlign w:val="center"/>
          </w:tcPr>
          <w:p w14:paraId="51C00FD9">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20.5</w:t>
            </w:r>
          </w:p>
        </w:tc>
        <w:tc>
          <w:tcPr>
            <w:tcW w:w="1421" w:type="dxa"/>
            <w:vAlign w:val="center"/>
          </w:tcPr>
          <w:p w14:paraId="502CDFAF">
            <w:pPr>
              <w:pStyle w:val="40"/>
              <w:ind w:firstLine="0" w:firstLineChars="0"/>
              <w:rPr>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20.5</w:t>
            </w:r>
          </w:p>
        </w:tc>
      </w:tr>
      <w:tr w14:paraId="78C4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894827A">
            <w:pPr>
              <w:pStyle w:val="40"/>
              <w:rPr>
                <w:rFonts w:ascii="Times New Roman" w:hAnsi="Times New Roman" w:cs="Times New Roman"/>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2</w:t>
            </w:r>
            <w:r>
              <w:rPr>
                <w:rFonts w:hint="eastAsia" w:cs="Times New Roman"/>
                <w:b w:val="0"/>
                <w:bCs/>
                <w:color w:val="000000" w:themeColor="text1"/>
                <w:lang w:val="en-US" w:eastAsia="zh-CN"/>
                <w14:textFill>
                  <w14:solidFill>
                    <w14:schemeClr w14:val="tx1"/>
                  </w14:solidFill>
                </w14:textFill>
              </w:rPr>
              <w:t>1</w:t>
            </w:r>
            <w:r>
              <w:rPr>
                <w:rFonts w:hint="eastAsia" w:ascii="Times New Roman" w:hAnsi="Times New Roman" w:cs="Times New Roman"/>
                <w:b w:val="0"/>
                <w:bCs/>
                <w:color w:val="000000" w:themeColor="text1"/>
                <w:lang w:val="en-US" w:eastAsia="zh-CN"/>
                <w14:textFill>
                  <w14:solidFill>
                    <w14:schemeClr w14:val="tx1"/>
                  </w14:solidFill>
                </w14:textFill>
              </w:rPr>
              <w:t>.5</w:t>
            </w:r>
          </w:p>
        </w:tc>
        <w:tc>
          <w:tcPr>
            <w:tcW w:w="1420" w:type="dxa"/>
            <w:vAlign w:val="center"/>
          </w:tcPr>
          <w:p w14:paraId="345E49E1">
            <w:pPr>
              <w:pStyle w:val="40"/>
              <w:rPr>
                <w:rFonts w:hint="default" w:ascii="Times New Roman" w:hAnsi="Times New Roman"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-140.8</w:t>
            </w:r>
          </w:p>
        </w:tc>
        <w:tc>
          <w:tcPr>
            <w:tcW w:w="1420" w:type="dxa"/>
            <w:vAlign w:val="center"/>
          </w:tcPr>
          <w:p w14:paraId="20450220">
            <w:pPr>
              <w:pStyle w:val="40"/>
              <w:ind w:firstLine="0" w:firstLineChars="0"/>
              <w:rPr>
                <w:rFonts w:ascii="Times New Roman" w:hAnsi="Times New Roman" w:cs="Times New Roman"/>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140.8</w:t>
            </w:r>
          </w:p>
        </w:tc>
        <w:tc>
          <w:tcPr>
            <w:tcW w:w="1420" w:type="dxa"/>
            <w:vAlign w:val="center"/>
          </w:tcPr>
          <w:p w14:paraId="126F40BF">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19.</w:t>
            </w:r>
            <w:r>
              <w:rPr>
                <w:rFonts w:hint="eastAsia" w:cs="Times New Roman"/>
                <w:b w:val="0"/>
                <w:bCs/>
                <w:color w:val="000000" w:themeColor="text1"/>
                <w:lang w:val="en-US" w:eastAsia="zh-CN"/>
                <w14:textFill>
                  <w14:solidFill>
                    <w14:schemeClr w14:val="tx1"/>
                  </w14:solidFill>
                </w14:textFill>
              </w:rPr>
              <w:t>7</w:t>
            </w:r>
          </w:p>
        </w:tc>
        <w:tc>
          <w:tcPr>
            <w:tcW w:w="1421" w:type="dxa"/>
            <w:vAlign w:val="center"/>
          </w:tcPr>
          <w:p w14:paraId="51139EED">
            <w:pPr>
              <w:pStyle w:val="40"/>
              <w:ind w:firstLine="0" w:firstLineChars="0"/>
              <w:rPr>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19.</w:t>
            </w:r>
            <w:r>
              <w:rPr>
                <w:rFonts w:hint="eastAsia" w:cs="Times New Roman"/>
                <w:b w:val="0"/>
                <w:bCs/>
                <w:color w:val="000000" w:themeColor="text1"/>
                <w:lang w:val="en-US" w:eastAsia="zh-CN"/>
                <w14:textFill>
                  <w14:solidFill>
                    <w14:schemeClr w14:val="tx1"/>
                  </w14:solidFill>
                </w14:textFill>
              </w:rPr>
              <w:t>7</w:t>
            </w:r>
          </w:p>
        </w:tc>
      </w:tr>
      <w:tr w14:paraId="207A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2FCB9DCB">
            <w:pPr>
              <w:pStyle w:val="40"/>
              <w:rPr>
                <w:rFonts w:ascii="Times New Roman" w:hAnsi="Times New Roman" w:cs="Times New Roman"/>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2</w:t>
            </w:r>
            <w:r>
              <w:rPr>
                <w:rFonts w:hint="eastAsia" w:cs="Times New Roman"/>
                <w:b w:val="0"/>
                <w:bCs/>
                <w:color w:val="000000" w:themeColor="text1"/>
                <w:lang w:val="en-US" w:eastAsia="zh-CN"/>
                <w14:textFill>
                  <w14:solidFill>
                    <w14:schemeClr w14:val="tx1"/>
                  </w14:solidFill>
                </w14:textFill>
              </w:rPr>
              <w:t>3</w:t>
            </w:r>
            <w:r>
              <w:rPr>
                <w:rFonts w:hint="eastAsia" w:ascii="Times New Roman" w:hAnsi="Times New Roman" w:cs="Times New Roman"/>
                <w:b w:val="0"/>
                <w:bCs/>
                <w:color w:val="000000" w:themeColor="text1"/>
                <w:lang w:val="en-US" w:eastAsia="zh-CN"/>
                <w14:textFill>
                  <w14:solidFill>
                    <w14:schemeClr w14:val="tx1"/>
                  </w14:solidFill>
                </w14:textFill>
              </w:rPr>
              <w:t>.5</w:t>
            </w:r>
          </w:p>
        </w:tc>
        <w:tc>
          <w:tcPr>
            <w:tcW w:w="1420" w:type="dxa"/>
            <w:vAlign w:val="center"/>
          </w:tcPr>
          <w:p w14:paraId="317132B7">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-139.7</w:t>
            </w:r>
          </w:p>
        </w:tc>
        <w:tc>
          <w:tcPr>
            <w:tcW w:w="1420" w:type="dxa"/>
            <w:vAlign w:val="center"/>
          </w:tcPr>
          <w:p w14:paraId="5EB35246">
            <w:pPr>
              <w:pStyle w:val="40"/>
              <w:ind w:firstLine="0" w:firstLineChars="0"/>
              <w:rPr>
                <w:rFonts w:ascii="Times New Roman" w:hAnsi="Times New Roman" w:cs="Times New Roman"/>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139.7</w:t>
            </w:r>
          </w:p>
        </w:tc>
        <w:tc>
          <w:tcPr>
            <w:tcW w:w="1420" w:type="dxa"/>
            <w:vAlign w:val="center"/>
          </w:tcPr>
          <w:p w14:paraId="20681F53">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18.6</w:t>
            </w:r>
          </w:p>
        </w:tc>
        <w:tc>
          <w:tcPr>
            <w:tcW w:w="1421" w:type="dxa"/>
            <w:vAlign w:val="center"/>
          </w:tcPr>
          <w:p w14:paraId="5586691A">
            <w:pPr>
              <w:pStyle w:val="40"/>
              <w:ind w:firstLine="0" w:firstLineChars="0"/>
              <w:rPr>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18.6</w:t>
            </w:r>
          </w:p>
        </w:tc>
      </w:tr>
      <w:tr w14:paraId="1E27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2452A4AE">
            <w:pPr>
              <w:pStyle w:val="40"/>
              <w:rPr>
                <w:rFonts w:ascii="Times New Roman" w:hAnsi="Times New Roman" w:cs="Times New Roman"/>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2</w:t>
            </w:r>
            <w:r>
              <w:rPr>
                <w:rFonts w:hint="eastAsia" w:cs="Times New Roman"/>
                <w:b w:val="0"/>
                <w:bCs/>
                <w:color w:val="000000" w:themeColor="text1"/>
                <w:lang w:val="en-US" w:eastAsia="zh-CN"/>
                <w14:textFill>
                  <w14:solidFill>
                    <w14:schemeClr w14:val="tx1"/>
                  </w14:solidFill>
                </w14:textFill>
              </w:rPr>
              <w:t>5</w:t>
            </w:r>
            <w:r>
              <w:rPr>
                <w:rFonts w:hint="eastAsia" w:ascii="Times New Roman" w:hAnsi="Times New Roman" w:cs="Times New Roman"/>
                <w:b w:val="0"/>
                <w:bCs/>
                <w:color w:val="000000" w:themeColor="text1"/>
                <w:lang w:val="en-US" w:eastAsia="zh-CN"/>
                <w14:textFill>
                  <w14:solidFill>
                    <w14:schemeClr w14:val="tx1"/>
                  </w14:solidFill>
                </w14:textFill>
              </w:rPr>
              <w:t>.5</w:t>
            </w:r>
          </w:p>
        </w:tc>
        <w:tc>
          <w:tcPr>
            <w:tcW w:w="1420" w:type="dxa"/>
            <w:vAlign w:val="center"/>
          </w:tcPr>
          <w:p w14:paraId="11845B70">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-138.4</w:t>
            </w:r>
          </w:p>
        </w:tc>
        <w:tc>
          <w:tcPr>
            <w:tcW w:w="1420" w:type="dxa"/>
            <w:vAlign w:val="center"/>
          </w:tcPr>
          <w:p w14:paraId="1DB4A252">
            <w:pPr>
              <w:pStyle w:val="40"/>
              <w:ind w:firstLine="0" w:firstLineChars="0"/>
              <w:rPr>
                <w:rFonts w:ascii="Times New Roman" w:hAnsi="Times New Roman" w:cs="Times New Roman"/>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138.4</w:t>
            </w:r>
          </w:p>
        </w:tc>
        <w:tc>
          <w:tcPr>
            <w:tcW w:w="1420" w:type="dxa"/>
            <w:vAlign w:val="center"/>
          </w:tcPr>
          <w:p w14:paraId="35C3D3F8">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17.3</w:t>
            </w:r>
          </w:p>
        </w:tc>
        <w:tc>
          <w:tcPr>
            <w:tcW w:w="1421" w:type="dxa"/>
            <w:vAlign w:val="center"/>
          </w:tcPr>
          <w:p w14:paraId="34A7A311">
            <w:pPr>
              <w:pStyle w:val="40"/>
              <w:ind w:firstLine="0" w:firstLineChars="0"/>
              <w:rPr>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17.3</w:t>
            </w:r>
          </w:p>
        </w:tc>
      </w:tr>
      <w:tr w14:paraId="61CF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6F1BC701">
            <w:pPr>
              <w:pStyle w:val="40"/>
              <w:rPr>
                <w:rFonts w:ascii="Times New Roman" w:hAnsi="Times New Roman" w:cs="Times New Roman"/>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2</w:t>
            </w:r>
            <w:r>
              <w:rPr>
                <w:rFonts w:hint="eastAsia" w:cs="Times New Roman"/>
                <w:b w:val="0"/>
                <w:bCs/>
                <w:color w:val="000000" w:themeColor="text1"/>
                <w:lang w:val="en-US" w:eastAsia="zh-CN"/>
                <w14:textFill>
                  <w14:solidFill>
                    <w14:schemeClr w14:val="tx1"/>
                  </w14:solidFill>
                </w14:textFill>
              </w:rPr>
              <w:t>7</w:t>
            </w:r>
            <w:r>
              <w:rPr>
                <w:rFonts w:hint="eastAsia" w:ascii="Times New Roman" w:hAnsi="Times New Roman" w:cs="Times New Roman"/>
                <w:b w:val="0"/>
                <w:bCs/>
                <w:color w:val="000000" w:themeColor="text1"/>
                <w:lang w:val="en-US" w:eastAsia="zh-CN"/>
                <w14:textFill>
                  <w14:solidFill>
                    <w14:schemeClr w14:val="tx1"/>
                  </w14:solidFill>
                </w14:textFill>
              </w:rPr>
              <w:t>.5</w:t>
            </w:r>
          </w:p>
        </w:tc>
        <w:tc>
          <w:tcPr>
            <w:tcW w:w="1420" w:type="dxa"/>
            <w:vAlign w:val="center"/>
          </w:tcPr>
          <w:p w14:paraId="17AE64FB">
            <w:pPr>
              <w:pStyle w:val="40"/>
              <w:rPr>
                <w:rFonts w:hint="default" w:ascii="Times New Roman" w:hAnsi="Times New Roman"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-136.3</w:t>
            </w:r>
          </w:p>
        </w:tc>
        <w:tc>
          <w:tcPr>
            <w:tcW w:w="1420" w:type="dxa"/>
            <w:vAlign w:val="center"/>
          </w:tcPr>
          <w:p w14:paraId="1864AF27">
            <w:pPr>
              <w:pStyle w:val="40"/>
              <w:ind w:firstLine="0" w:firstLineChars="0"/>
              <w:rPr>
                <w:rFonts w:ascii="Times New Roman" w:hAnsi="Times New Roman" w:cs="Times New Roman"/>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136.3</w:t>
            </w:r>
          </w:p>
        </w:tc>
        <w:tc>
          <w:tcPr>
            <w:tcW w:w="1420" w:type="dxa"/>
            <w:vAlign w:val="center"/>
          </w:tcPr>
          <w:p w14:paraId="69A026F5">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15.2</w:t>
            </w:r>
          </w:p>
        </w:tc>
        <w:tc>
          <w:tcPr>
            <w:tcW w:w="1421" w:type="dxa"/>
            <w:vAlign w:val="center"/>
          </w:tcPr>
          <w:p w14:paraId="40038342">
            <w:pPr>
              <w:pStyle w:val="40"/>
              <w:ind w:firstLine="0" w:firstLineChars="0"/>
              <w:rPr>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15.2</w:t>
            </w:r>
          </w:p>
        </w:tc>
      </w:tr>
      <w:tr w14:paraId="283D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6A548354">
            <w:pPr>
              <w:pStyle w:val="40"/>
              <w:rPr>
                <w:rFonts w:ascii="Times New Roman" w:hAnsi="Times New Roman" w:cs="Times New Roman"/>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2</w:t>
            </w:r>
            <w:r>
              <w:rPr>
                <w:rFonts w:hint="eastAsia" w:cs="Times New Roman"/>
                <w:b w:val="0"/>
                <w:bCs/>
                <w:color w:val="000000" w:themeColor="text1"/>
                <w:lang w:val="en-US" w:eastAsia="zh-CN"/>
                <w14:textFill>
                  <w14:solidFill>
                    <w14:schemeClr w14:val="tx1"/>
                  </w14:solidFill>
                </w14:textFill>
              </w:rPr>
              <w:t>9</w:t>
            </w:r>
            <w:r>
              <w:rPr>
                <w:rFonts w:hint="eastAsia" w:ascii="Times New Roman" w:hAnsi="Times New Roman" w:cs="Times New Roman"/>
                <w:b w:val="0"/>
                <w:bCs/>
                <w:color w:val="000000" w:themeColor="text1"/>
                <w:lang w:val="en-US" w:eastAsia="zh-CN"/>
                <w14:textFill>
                  <w14:solidFill>
                    <w14:schemeClr w14:val="tx1"/>
                  </w14:solidFill>
                </w14:textFill>
              </w:rPr>
              <w:t>.5</w:t>
            </w:r>
          </w:p>
        </w:tc>
        <w:tc>
          <w:tcPr>
            <w:tcW w:w="1420" w:type="dxa"/>
            <w:vAlign w:val="center"/>
          </w:tcPr>
          <w:p w14:paraId="473F185D">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-133.3</w:t>
            </w:r>
          </w:p>
        </w:tc>
        <w:tc>
          <w:tcPr>
            <w:tcW w:w="1420" w:type="dxa"/>
            <w:vAlign w:val="center"/>
          </w:tcPr>
          <w:p w14:paraId="5A96825F">
            <w:pPr>
              <w:pStyle w:val="40"/>
              <w:ind w:firstLine="0" w:firstLineChars="0"/>
              <w:rPr>
                <w:rFonts w:ascii="Times New Roman" w:hAnsi="Times New Roman" w:cs="Times New Roman"/>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133.3</w:t>
            </w:r>
          </w:p>
        </w:tc>
        <w:tc>
          <w:tcPr>
            <w:tcW w:w="1420" w:type="dxa"/>
            <w:vAlign w:val="center"/>
          </w:tcPr>
          <w:p w14:paraId="5B146781">
            <w:pPr>
              <w:pStyle w:val="40"/>
              <w:rPr>
                <w:rFonts w:ascii="Times New Roman" w:hAnsi="Times New Roman" w:cs="Times New Roman"/>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w:t>
            </w:r>
            <w:r>
              <w:rPr>
                <w:rFonts w:hint="eastAsia" w:cs="Times New Roman"/>
                <w:b w:val="0"/>
                <w:bCs/>
                <w:color w:val="000000" w:themeColor="text1"/>
                <w:lang w:val="en-US" w:eastAsia="zh-CN"/>
                <w14:textFill>
                  <w14:solidFill>
                    <w14:schemeClr w14:val="tx1"/>
                  </w14:solidFill>
                </w14:textFill>
              </w:rPr>
              <w:t>2</w:t>
            </w:r>
            <w:r>
              <w:rPr>
                <w:rFonts w:hint="eastAsia" w:ascii="Times New Roman" w:hAnsi="Times New Roman" w:cs="Times New Roman"/>
                <w:b w:val="0"/>
                <w:bCs/>
                <w:color w:val="000000" w:themeColor="text1"/>
                <w:lang w:val="en-US" w:eastAsia="zh-CN"/>
                <w14:textFill>
                  <w14:solidFill>
                    <w14:schemeClr w14:val="tx1"/>
                  </w14:solidFill>
                </w14:textFill>
              </w:rPr>
              <w:t>.2</w:t>
            </w:r>
          </w:p>
        </w:tc>
        <w:tc>
          <w:tcPr>
            <w:tcW w:w="1421" w:type="dxa"/>
            <w:vAlign w:val="center"/>
          </w:tcPr>
          <w:p w14:paraId="38D39668">
            <w:pPr>
              <w:pStyle w:val="40"/>
              <w:ind w:firstLine="0" w:firstLineChars="0"/>
              <w:rPr>
                <w:b w:val="0"/>
                <w:bCs/>
                <w:color w:val="000000" w:themeColor="text1"/>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1</w:t>
            </w:r>
            <w:r>
              <w:rPr>
                <w:rFonts w:hint="eastAsia" w:cs="Times New Roman"/>
                <w:b w:val="0"/>
                <w:bCs/>
                <w:color w:val="000000" w:themeColor="text1"/>
                <w:lang w:val="en-US" w:eastAsia="zh-CN"/>
                <w14:textFill>
                  <w14:solidFill>
                    <w14:schemeClr w14:val="tx1"/>
                  </w14:solidFill>
                </w14:textFill>
              </w:rPr>
              <w:t>2</w:t>
            </w:r>
            <w:r>
              <w:rPr>
                <w:rFonts w:hint="eastAsia" w:ascii="Times New Roman" w:hAnsi="Times New Roman" w:cs="Times New Roman"/>
                <w:b w:val="0"/>
                <w:bCs/>
                <w:color w:val="000000" w:themeColor="text1"/>
                <w:lang w:val="en-US" w:eastAsia="zh-CN"/>
                <w14:textFill>
                  <w14:solidFill>
                    <w14:schemeClr w14:val="tx1"/>
                  </w14:solidFill>
                </w14:textFill>
              </w:rPr>
              <w:t>.2</w:t>
            </w:r>
          </w:p>
        </w:tc>
      </w:tr>
      <w:tr w14:paraId="170E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69A3EC03">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30.9</w:t>
            </w:r>
          </w:p>
        </w:tc>
        <w:tc>
          <w:tcPr>
            <w:tcW w:w="1420" w:type="dxa"/>
            <w:vAlign w:val="center"/>
          </w:tcPr>
          <w:p w14:paraId="50A21331">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-126.6</w:t>
            </w:r>
          </w:p>
        </w:tc>
        <w:tc>
          <w:tcPr>
            <w:tcW w:w="1420" w:type="dxa"/>
            <w:vAlign w:val="center"/>
          </w:tcPr>
          <w:p w14:paraId="74C7326A">
            <w:pPr>
              <w:pStyle w:val="40"/>
              <w:ind w:firstLine="0" w:firstLineChars="0"/>
              <w:rPr>
                <w:rFonts w:ascii="Times New Roman" w:hAnsi="Times New Roman" w:cs="Times New Roman"/>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126.6</w:t>
            </w:r>
          </w:p>
        </w:tc>
        <w:tc>
          <w:tcPr>
            <w:tcW w:w="1420" w:type="dxa"/>
            <w:vAlign w:val="center"/>
          </w:tcPr>
          <w:p w14:paraId="18E5F0C4">
            <w:pPr>
              <w:pStyle w:val="40"/>
              <w:rPr>
                <w:rFonts w:hint="default" w:ascii="Times New Roman" w:hAnsi="Times New Roman" w:cs="Times New Roman"/>
                <w:b w:val="0"/>
                <w:bCs/>
                <w:color w:val="000000" w:themeColor="text1"/>
                <w:lang w:val="en-US"/>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5.5</w:t>
            </w:r>
          </w:p>
        </w:tc>
        <w:tc>
          <w:tcPr>
            <w:tcW w:w="1421" w:type="dxa"/>
            <w:vAlign w:val="center"/>
          </w:tcPr>
          <w:p w14:paraId="4852442D">
            <w:pPr>
              <w:pStyle w:val="40"/>
              <w:ind w:firstLine="0" w:firstLineChars="0"/>
              <w:rPr>
                <w:b w:val="0"/>
                <w:bCs/>
                <w:color w:val="000000" w:themeColor="text1"/>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5.5</w:t>
            </w:r>
          </w:p>
        </w:tc>
      </w:tr>
    </w:tbl>
    <w:p w14:paraId="633765CA">
      <w:pPr>
        <w:snapToGrid w:val="0"/>
        <w:ind w:firstLine="0" w:firstLineChars="0"/>
        <w:jc w:val="center"/>
        <w:rPr>
          <w:color w:val="000000" w:themeColor="text1"/>
          <w14:textFill>
            <w14:solidFill>
              <w14:schemeClr w14:val="tx1"/>
            </w14:solidFill>
          </w14:textFill>
        </w:rPr>
      </w:pPr>
    </w:p>
    <w:p w14:paraId="3E178BB6">
      <w:pPr>
        <w:snapToGrid w:val="0"/>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26000" cy="2743200"/>
            <wp:effectExtent l="4445" t="4445" r="8255" b="14605"/>
            <wp:docPr id="1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28579C7C">
      <w:pPr>
        <w:snapToGrid w:val="0"/>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图</w:t>
      </w:r>
      <w:r>
        <w:rPr>
          <w:b/>
          <w:bCs/>
          <w:color w:val="000000" w:themeColor="text1"/>
          <w:sz w:val="21"/>
          <w:szCs w:val="21"/>
          <w:highlight w:val="none"/>
          <w14:textFill>
            <w14:solidFill>
              <w14:schemeClr w14:val="tx1"/>
            </w14:solidFill>
          </w14:textFill>
        </w:rPr>
        <w:t>6.1-</w:t>
      </w:r>
      <w:r>
        <w:rPr>
          <w:rFonts w:hint="eastAsia"/>
          <w:b/>
          <w:bCs/>
          <w:color w:val="000000" w:themeColor="text1"/>
          <w:sz w:val="21"/>
          <w:szCs w:val="21"/>
          <w:highlight w:val="none"/>
          <w14:textFill>
            <w14:solidFill>
              <w14:schemeClr w14:val="tx1"/>
            </w14:solidFill>
          </w14:textFill>
        </w:rPr>
        <w:t xml:space="preserve">11 </w:t>
      </w:r>
      <w:r>
        <w:rPr>
          <w:b/>
          <w:bCs/>
          <w:color w:val="000000" w:themeColor="text1"/>
          <w:sz w:val="21"/>
          <w:szCs w:val="21"/>
          <w:highlight w:val="none"/>
          <w14:textFill>
            <w14:solidFill>
              <w14:schemeClr w14:val="tx1"/>
            </w14:solidFill>
          </w14:textFill>
        </w:rPr>
        <w:t xml:space="preserve"> </w:t>
      </w:r>
      <w:r>
        <w:rPr>
          <w:rFonts w:hint="eastAsia"/>
          <w:b/>
          <w:bCs/>
          <w:color w:val="000000" w:themeColor="text1"/>
          <w:sz w:val="21"/>
          <w:szCs w:val="21"/>
          <w:highlight w:val="none"/>
          <w14:textFill>
            <w14:solidFill>
              <w14:schemeClr w14:val="tx1"/>
            </w14:solidFill>
          </w14:textFill>
        </w:rPr>
        <w:t>工频电场强度</w:t>
      </w:r>
      <w:r>
        <w:rPr>
          <w:b/>
          <w:bCs/>
          <w:color w:val="000000" w:themeColor="text1"/>
          <w:sz w:val="21"/>
          <w:szCs w:val="21"/>
          <w:highlight w:val="none"/>
          <w14:textFill>
            <w14:solidFill>
              <w14:schemeClr w14:val="tx1"/>
            </w14:solidFill>
          </w14:textFill>
        </w:rPr>
        <w:t>4kV/m</w:t>
      </w:r>
      <w:r>
        <w:rPr>
          <w:rFonts w:hint="eastAsia"/>
          <w:b/>
          <w:bCs/>
          <w:color w:val="000000" w:themeColor="text1"/>
          <w:sz w:val="21"/>
          <w:szCs w:val="21"/>
          <w:highlight w:val="none"/>
          <w14:textFill>
            <w14:solidFill>
              <w14:schemeClr w14:val="tx1"/>
            </w14:solidFill>
          </w14:textFill>
        </w:rPr>
        <w:t>预测结果分布图</w:t>
      </w:r>
    </w:p>
    <w:p w14:paraId="441B12F2">
      <w:pPr>
        <w:ind w:firstLine="0" w:firstLineChars="0"/>
        <w:outlineLvl w:val="3"/>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6.1.4.3并行同塔双回路线路预测结果</w:t>
      </w:r>
    </w:p>
    <w:p w14:paraId="5DB295D8">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对本工程终端塔双回路线路按照经过居民区、非居民区时导线对地最低高度</w:t>
      </w:r>
      <w:r>
        <w:rPr>
          <w:color w:val="000000" w:themeColor="text1"/>
          <w14:textFill>
            <w14:solidFill>
              <w14:schemeClr w14:val="tx1"/>
            </w14:solidFill>
          </w14:textFill>
        </w:rPr>
        <w:t>19.5m</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15.5m</w:t>
      </w:r>
      <w:r>
        <w:rPr>
          <w:rFonts w:hint="eastAsia"/>
          <w:color w:val="000000" w:themeColor="text1"/>
          <w14:textFill>
            <w14:solidFill>
              <w14:schemeClr w14:val="tx1"/>
            </w14:solidFill>
          </w14:textFill>
        </w:rPr>
        <w:t>要求进行电磁预测，工频电场强度计算结果见表</w:t>
      </w:r>
      <w:r>
        <w:rPr>
          <w:color w:val="000000" w:themeColor="text1"/>
          <w14:textFill>
            <w14:solidFill>
              <w14:schemeClr w14:val="tx1"/>
            </w14:solidFill>
          </w14:textFill>
        </w:rPr>
        <w:t>6.1-</w:t>
      </w:r>
      <w:r>
        <w:rPr>
          <w:rFonts w:hint="eastAsia"/>
          <w:color w:val="000000" w:themeColor="text1"/>
          <w14:textFill>
            <w14:solidFill>
              <w14:schemeClr w14:val="tx1"/>
            </w14:solidFill>
          </w14:textFill>
        </w:rPr>
        <w:t>12及图</w:t>
      </w:r>
      <w:r>
        <w:rPr>
          <w:color w:val="000000" w:themeColor="text1"/>
          <w14:textFill>
            <w14:solidFill>
              <w14:schemeClr w14:val="tx1"/>
            </w14:solidFill>
          </w14:textFill>
        </w:rPr>
        <w:t>6.1-</w:t>
      </w:r>
      <w:r>
        <w:rPr>
          <w:rFonts w:hint="eastAsia"/>
          <w:color w:val="000000" w:themeColor="text1"/>
          <w14:textFill>
            <w14:solidFill>
              <w14:schemeClr w14:val="tx1"/>
            </w14:solidFill>
          </w14:textFill>
        </w:rPr>
        <w:t>12。</w:t>
      </w:r>
    </w:p>
    <w:p w14:paraId="272B67B2">
      <w:pPr>
        <w:snapToGrid w:val="0"/>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表6.1-</w:t>
      </w:r>
      <w:r>
        <w:rPr>
          <w:rFonts w:hint="eastAsia"/>
          <w:b/>
          <w:bCs/>
          <w:color w:val="000000" w:themeColor="text1"/>
          <w:sz w:val="21"/>
          <w:szCs w:val="21"/>
          <w14:textFill>
            <w14:solidFill>
              <w14:schemeClr w14:val="tx1"/>
            </w14:solidFill>
          </w14:textFill>
        </w:rPr>
        <w:t>12</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并行同塔双回</w:t>
      </w:r>
      <w:r>
        <w:rPr>
          <w:b/>
          <w:bCs/>
          <w:color w:val="000000" w:themeColor="text1"/>
          <w:sz w:val="21"/>
          <w:szCs w:val="21"/>
          <w14:textFill>
            <w14:solidFill>
              <w14:schemeClr w14:val="tx1"/>
            </w14:solidFill>
          </w14:textFill>
        </w:rPr>
        <w:t>输电线路工频电场强度、工频磁感应强度预测结果</w:t>
      </w:r>
    </w:p>
    <w:tbl>
      <w:tblPr>
        <w:tblStyle w:val="2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77"/>
        <w:gridCol w:w="873"/>
        <w:gridCol w:w="815"/>
        <w:gridCol w:w="818"/>
        <w:gridCol w:w="1029"/>
        <w:gridCol w:w="876"/>
        <w:gridCol w:w="876"/>
        <w:gridCol w:w="876"/>
        <w:gridCol w:w="978"/>
      </w:tblGrid>
      <w:tr w14:paraId="5FD7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808" w:type="pct"/>
            <w:vMerge w:val="restart"/>
            <w:tcBorders>
              <w:top w:val="single" w:color="000000" w:sz="4" w:space="0"/>
              <w:left w:val="single" w:color="000000" w:sz="4" w:space="0"/>
              <w:right w:val="single" w:color="000000" w:sz="4" w:space="0"/>
            </w:tcBorders>
            <w:shd w:val="clear" w:color="auto" w:fill="auto"/>
            <w:vAlign w:val="center"/>
          </w:tcPr>
          <w:p w14:paraId="46AF45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到线路走廊中心的距离（m）</w:t>
            </w:r>
          </w:p>
        </w:tc>
        <w:tc>
          <w:tcPr>
            <w:tcW w:w="207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6C8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工频电场强度（单位：kV/m）</w:t>
            </w:r>
          </w:p>
        </w:tc>
        <w:tc>
          <w:tcPr>
            <w:tcW w:w="211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6B1F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工频磁感应强度（单位：μT）</w:t>
            </w:r>
          </w:p>
        </w:tc>
      </w:tr>
      <w:tr w14:paraId="2196B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vMerge w:val="continue"/>
            <w:tcBorders>
              <w:left w:val="single" w:color="000000" w:sz="4" w:space="0"/>
              <w:bottom w:val="single" w:color="000000" w:sz="4" w:space="0"/>
              <w:right w:val="single" w:color="000000" w:sz="4" w:space="0"/>
            </w:tcBorders>
            <w:shd w:val="clear" w:color="auto" w:fill="auto"/>
            <w:vAlign w:val="center"/>
          </w:tcPr>
          <w:p w14:paraId="1AAB48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919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线高15.5m</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A7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线高16.5m</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5F0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线高19.5m</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EF8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线高34.2m</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546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线高15.5m</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2B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线高16.5m</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0A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线高19.5m</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C9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t>线高34.2m</w:t>
            </w:r>
          </w:p>
        </w:tc>
      </w:tr>
      <w:tr w14:paraId="4620A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711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5DD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0.7428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92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0.697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716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0.5647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02E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0.0672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3A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4.1894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62E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BD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3.9783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E24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3.227</w:t>
            </w:r>
          </w:p>
        </w:tc>
      </w:tr>
      <w:tr w14:paraId="40D0B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273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221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0.7397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9F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0.692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1A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0.5546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A4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0.0501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2A4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4.2893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E5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4.234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0D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4.0672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45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3.282</w:t>
            </w:r>
          </w:p>
        </w:tc>
      </w:tr>
      <w:tr w14:paraId="52EF6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3A9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28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0.7357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1B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0.686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7E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0.5434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54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0.0404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0CF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4.3927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9C5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4.3345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342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4.1589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6BA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3.3382</w:t>
            </w:r>
          </w:p>
        </w:tc>
      </w:tr>
      <w:tr w14:paraId="4F40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D9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2AE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0.7305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6A4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0.6788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2F5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0.5308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4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B10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4.4998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8DC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4.4384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F86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4.2537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1EA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3.3955</w:t>
            </w:r>
          </w:p>
        </w:tc>
      </w:tr>
      <w:tr w14:paraId="68DC5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EDD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83A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0.7242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730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0.6704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F58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0.5167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CE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97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4.6109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255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4.5461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A49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4.3515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C03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3.4538</w:t>
            </w:r>
          </w:p>
        </w:tc>
      </w:tr>
      <w:tr w14:paraId="4B70A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26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395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0.7166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CE5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0.6606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7F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0.5012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62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0.0909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EB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F33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4.6577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5B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4.4525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849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3.5132</w:t>
            </w:r>
          </w:p>
        </w:tc>
      </w:tr>
      <w:tr w14:paraId="72C6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CA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B9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0.7077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F48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0.6494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29B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0.4842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813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0.1206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8D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4.8454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F71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4.7733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442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4.5569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6AF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3.5737</w:t>
            </w:r>
          </w:p>
        </w:tc>
      </w:tr>
      <w:tr w14:paraId="245D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D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26B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0.6973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ACA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0.6367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87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0.4655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3ED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0.1532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769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4.9694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4F6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4.8931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24C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4.6648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DB5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3.6353</w:t>
            </w:r>
          </w:p>
        </w:tc>
      </w:tr>
      <w:tr w14:paraId="255CF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809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953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0.6854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CC6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0.6224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79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0.4453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DBD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0.1883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39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4ED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5.0173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F9B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4.7763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276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3.6979</w:t>
            </w:r>
          </w:p>
        </w:tc>
      </w:tr>
      <w:tr w14:paraId="6A851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23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EFB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0.6719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B83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0.6064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E5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0.4236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FED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0.2258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D9B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5.2316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C9B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5.1462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7CF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4.8916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1E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3.7617</w:t>
            </w:r>
          </w:p>
        </w:tc>
      </w:tr>
      <w:tr w14:paraId="043C0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7C6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06D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0.6567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BE7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0.5888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640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0.4005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FDF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0.2657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405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5.3704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FD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5.2799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D4D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5.0107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51B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3.8264</w:t>
            </w:r>
          </w:p>
        </w:tc>
      </w:tr>
      <w:tr w14:paraId="4B6C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4A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48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0.6398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FFE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0.5695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E5D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0.3763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42D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0.3079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E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5.5146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8E8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5.4187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C25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5.1339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3F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3.8922</w:t>
            </w:r>
          </w:p>
        </w:tc>
      </w:tr>
      <w:tr w14:paraId="09019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0AF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9D4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0.6213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41D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0.5486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DCB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0.3516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960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0.3527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7F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5.6645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13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5.5628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ECF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5.2613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350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3.959</w:t>
            </w:r>
          </w:p>
        </w:tc>
      </w:tr>
      <w:tr w14:paraId="71BD1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D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63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0.6012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76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0.5264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CA2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0.3273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4A5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0.3999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B96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5.8204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A15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5.7124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0FA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5.393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48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4.0267</w:t>
            </w:r>
          </w:p>
        </w:tc>
      </w:tr>
      <w:tr w14:paraId="44DB7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22F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89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0.5796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73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0.5031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F95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0.3049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A02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0.4498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834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5.9826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00C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5.8678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120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5.5292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3C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4.0953</w:t>
            </w:r>
          </w:p>
        </w:tc>
      </w:tr>
      <w:tr w14:paraId="482E6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072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541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0.5571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BA5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0.4794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72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0.2867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00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0.5024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D6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6.1514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590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6.0293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808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5.6701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10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4.1648</w:t>
            </w:r>
          </w:p>
        </w:tc>
      </w:tr>
      <w:tr w14:paraId="1D2C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652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F6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0.5341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ABD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0.4563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C2D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0.276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B54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0.5577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ACA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6.3271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AA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6.1972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4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5.8158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EA2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4.2352</w:t>
            </w:r>
          </w:p>
        </w:tc>
      </w:tr>
      <w:tr w14:paraId="0F552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0E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9A3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0.5117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74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0.4352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C2A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0.2766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2B0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0.6159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54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4D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6.3717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230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5.9664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0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4.3063</w:t>
            </w:r>
          </w:p>
        </w:tc>
      </w:tr>
      <w:tr w14:paraId="4B6F1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01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67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0.4915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2AC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0.4186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B8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0.292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B3C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0.6771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E1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6.7006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033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6.5531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5A7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6.1222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193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4.3781</w:t>
            </w:r>
          </w:p>
        </w:tc>
      </w:tr>
      <w:tr w14:paraId="3193E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10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53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0.4755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CE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0.4093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2C2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0.3237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41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0.7413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AA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6.8993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3BC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6.7418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7C3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6.2833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696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4.4504</w:t>
            </w:r>
          </w:p>
        </w:tc>
      </w:tr>
      <w:tr w14:paraId="4E83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164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0D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0.4669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C9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0.4112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ED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0.3717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E0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0.8085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29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7.1063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45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6.9381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76C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6.4497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8D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4.5233</w:t>
            </w:r>
          </w:p>
        </w:tc>
      </w:tr>
      <w:tr w14:paraId="40BE1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59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E7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0.4693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D77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0.4279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F2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0.4348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A68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0.8789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8D3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7.3221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306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7.1422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9E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6.6218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009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4.5966</w:t>
            </w:r>
          </w:p>
        </w:tc>
      </w:tr>
      <w:tr w14:paraId="5731A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8BF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B8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0.4866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CE8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0.4625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DE2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0.5117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AD2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0.9525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C9D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7.5472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B3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7.3546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26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6.7994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26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4.6701</w:t>
            </w:r>
          </w:p>
        </w:tc>
      </w:tr>
      <w:tr w14:paraId="07A37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EA2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F14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0.5222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FC3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0.5163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293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0.6015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E50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191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7.7819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D1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7.5756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A29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6.9828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C40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4.7438</w:t>
            </w:r>
          </w:p>
        </w:tc>
      </w:tr>
      <w:tr w14:paraId="7BE3F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1ED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F14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0.5781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8C0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0.5897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223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0.7037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26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663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8.0267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D8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7.8054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33D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7.1721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45B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4.8174</w:t>
            </w:r>
          </w:p>
        </w:tc>
      </w:tr>
      <w:tr w14:paraId="6E8DD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CF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9A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0.6554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00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0.6825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766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0.8185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F73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7D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990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8.0444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4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7.3672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F9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4.8909</w:t>
            </w:r>
          </w:p>
        </w:tc>
      </w:tr>
      <w:tr w14:paraId="663E5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FA3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E4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0.7542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EA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0.7941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1A7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0.9459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C5E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1.2788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984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8.5484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3A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8.2929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4E6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7.5681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6F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4.964</w:t>
            </w:r>
          </w:p>
        </w:tc>
      </w:tr>
      <w:tr w14:paraId="48784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F42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F4F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0.8746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6D2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0.9246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859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1.0865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093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1.3683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08B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66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8.5511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910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7.7748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CA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5.0366</w:t>
            </w:r>
          </w:p>
        </w:tc>
      </w:tr>
      <w:tr w14:paraId="2D98B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E9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97D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1.0168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0D1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1.0744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812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1.2409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357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1.4608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4EA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9.1155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228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8.8193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6C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7.9872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1A2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5.1084</w:t>
            </w:r>
          </w:p>
        </w:tc>
      </w:tr>
      <w:tr w14:paraId="1ACC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A0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345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1.1814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5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1.244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86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1.4097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A30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1.5563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68B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34E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9.0975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0AA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8.205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E85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5.1792</w:t>
            </w:r>
          </w:p>
        </w:tc>
      </w:tr>
      <w:tr w14:paraId="221C9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17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4C6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1.3694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028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1.4346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12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1.5937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78F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1.6545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C9B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9.7309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5D3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9.3859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8B2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8.428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E27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5.2488</w:t>
            </w:r>
          </w:p>
        </w:tc>
      </w:tr>
      <w:tr w14:paraId="0B210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34D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5B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1.5822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4B0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1.6474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472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1.7936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58D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1.7553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DE9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10.0574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BB4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9.6845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8C7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8.6557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E69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5.3168</w:t>
            </w:r>
          </w:p>
        </w:tc>
      </w:tr>
      <w:tr w14:paraId="325C6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B73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ACA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1.8213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6B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1.8838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C13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2.0101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C9D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1.8585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B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10.3964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30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435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8.8875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4F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5.383</w:t>
            </w:r>
          </w:p>
        </w:tc>
      </w:tr>
      <w:tr w14:paraId="77290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D6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114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2.0888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90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2.1452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13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2.2438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97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1.9637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BA2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10.748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C98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F2A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9.1227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59C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5.4471</w:t>
            </w:r>
          </w:p>
        </w:tc>
      </w:tr>
      <w:tr w14:paraId="0C9ED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FBA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33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2.3865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E4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2.4333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A40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2.4952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F54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2.0707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158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11.1116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095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10.638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0B1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9.3604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2B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5.5088</w:t>
            </w:r>
          </w:p>
        </w:tc>
      </w:tr>
      <w:tr w14:paraId="236F1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C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C6F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2.7164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B6F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2.7494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F6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2.7646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E7D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2.1791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E1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11.4867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72B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61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9.5994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951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5.5677</w:t>
            </w:r>
          </w:p>
        </w:tc>
      </w:tr>
      <w:tr w14:paraId="5D218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641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335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3.0804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DB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3.0947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C21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3.052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0C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2.2884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F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11.8722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4C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11.3147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94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9.8382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68D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5.6235</w:t>
            </w:r>
          </w:p>
        </w:tc>
      </w:tr>
      <w:tr w14:paraId="51913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94F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3F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3.4801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E32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3.4702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DA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3.3568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B4B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2.3983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1C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12.2665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617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11.6615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E3A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10.0752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5B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5.6759</w:t>
            </w:r>
          </w:p>
        </w:tc>
      </w:tr>
      <w:tr w14:paraId="0A540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1FF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4B7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3.9165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72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3.8761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A91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3.6784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92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2.5082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EA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12.6674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0B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12.0109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237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10.3081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D5A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5.7245</w:t>
            </w:r>
          </w:p>
        </w:tc>
      </w:tr>
      <w:tr w14:paraId="02107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1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A4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63E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4.312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1B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4.0151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355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2.6177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CF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13.0721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10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12.3601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62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10.5346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E46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5.769</w:t>
            </w:r>
          </w:p>
        </w:tc>
      </w:tr>
      <w:tr w14:paraId="2FF5D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26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30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4.8999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1D0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4.7765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1A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4.365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0BA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4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13.4766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98E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12.7052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836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10.7518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14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5.809</w:t>
            </w:r>
          </w:p>
        </w:tc>
      </w:tr>
      <w:tr w14:paraId="7E6D1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769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8BB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5.4437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A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5.2667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A44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4.7251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961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2.8327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DC8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13.876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64E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13.0418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367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10.9563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711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5.8442</w:t>
            </w:r>
          </w:p>
        </w:tc>
      </w:tr>
      <w:tr w14:paraId="185E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2B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AFA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6.0175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1B7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5.7784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00C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5.0917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BF2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2.9371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106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14.2641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CA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13.3641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D23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11.1446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98A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5.8744</w:t>
            </w:r>
          </w:p>
        </w:tc>
      </w:tr>
      <w:tr w14:paraId="3B0E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B8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69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6.6149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AFD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6.3055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3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5.4601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058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3.0387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50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14.6332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CA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13.6656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C15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11.3126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0BA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5.8992</w:t>
            </w:r>
          </w:p>
        </w:tc>
      </w:tr>
      <w:tr w14:paraId="7346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497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940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7.2267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216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6.8397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235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5.8249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8F7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3.1368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92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14.9743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689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13.9387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905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11.4559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D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5.9184</w:t>
            </w:r>
          </w:p>
        </w:tc>
      </w:tr>
      <w:tr w14:paraId="77DD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525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6F6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7.8409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57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7.3706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730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6.1799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B5E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3.2308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3DF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15.2769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AE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14.1747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19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8CD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5.9318</w:t>
            </w:r>
          </w:p>
        </w:tc>
      </w:tr>
      <w:tr w14:paraId="021B8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B29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6A3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8.4428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A7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7.8861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E3F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6.518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6C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3.3202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B5A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15.5293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30E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14.3645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5C1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11.6502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594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5.9392</w:t>
            </w:r>
          </w:p>
        </w:tc>
      </w:tr>
      <w:tr w14:paraId="49B71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F8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707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9.0147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FBC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8.3719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4F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6.8319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26F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3.4044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34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15.719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347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14.4984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00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11.6921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72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5.9406</w:t>
            </w:r>
          </w:p>
        </w:tc>
      </w:tr>
      <w:tr w14:paraId="215F3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AF9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597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9.5374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2EC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8.813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785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7.1143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1B9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C1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15.8334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C60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14.5671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2E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11.6917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19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5.9359</w:t>
            </w:r>
          </w:p>
        </w:tc>
      </w:tr>
      <w:tr w14:paraId="56069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9F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356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9.9907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27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9.1942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25E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7.3581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DEB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3.5556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800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15.8606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8E0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14.5617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F88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11.6453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620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5.9252</w:t>
            </w:r>
          </w:p>
        </w:tc>
      </w:tr>
      <w:tr w14:paraId="463A4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65F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655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10.3557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9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9.5013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A85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7.557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1AE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3.6219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887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15.7905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484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14.4753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77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11.5505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E3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5.9086</w:t>
            </w:r>
          </w:p>
        </w:tc>
      </w:tr>
      <w:tr w14:paraId="7162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273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376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10.6161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5A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9.7225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B18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7.7061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5E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3.6817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499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15.616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F4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14.303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05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11.4057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A9A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5.8863</w:t>
            </w:r>
          </w:p>
        </w:tc>
      </w:tr>
      <w:tr w14:paraId="2983A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7D1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0B4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10.7604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810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9.8495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6B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7.8019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44E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3.7348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020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15.3337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200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14.0428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C9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11.2105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38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5.8586</w:t>
            </w:r>
          </w:p>
        </w:tc>
      </w:tr>
      <w:tr w14:paraId="2936C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022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729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10.7832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A3B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9.8785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236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7.843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8A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3.7812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80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14.9445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CF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13.6956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C15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10.9662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13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5.8258</w:t>
            </w:r>
          </w:p>
        </w:tc>
      </w:tr>
      <w:tr w14:paraId="3A3C1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27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A6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10.6858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25E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9.8106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31F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463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B3A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14.4541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45D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13.2659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A3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10.6749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575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5.7883</w:t>
            </w:r>
          </w:p>
        </w:tc>
      </w:tr>
      <w:tr w14:paraId="76184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E55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686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10.4765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07C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9.6516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7B1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7.7656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1F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3.8545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2F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13.8718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247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12.7609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934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10.3405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1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5.7467</w:t>
            </w:r>
          </w:p>
        </w:tc>
      </w:tr>
      <w:tr w14:paraId="7D514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3C4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4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10.1689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3E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9.4116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70B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7.6542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22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3.8817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8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13.2103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1C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12.1899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2B3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9.9677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AC7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5.7015</w:t>
            </w:r>
          </w:p>
        </w:tc>
      </w:tr>
      <w:tr w14:paraId="03DD0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E4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017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9.7809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DA4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9.1041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793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7.5019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8A1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3.9033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E63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12.4841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1A5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5E9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9.562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B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5.6534</w:t>
            </w:r>
          </w:p>
        </w:tc>
      </w:tr>
      <w:tr w14:paraId="0767F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611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60D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9.3327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B3F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8.7442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FD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7.3157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7B3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3.9195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A8F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11.7082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2C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10.8951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11A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9.1299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150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5.6031</w:t>
            </w:r>
          </w:p>
        </w:tc>
      </w:tr>
      <w:tr w14:paraId="352F8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93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E3B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8.8449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FE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8.3479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1FE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7.1036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B6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3.9309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81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10.8977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4EF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69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8.6781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6C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5.5514</w:t>
            </w:r>
          </w:p>
        </w:tc>
      </w:tr>
      <w:tr w14:paraId="02CD1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68C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D96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8.337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F1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7.9308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5D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6.8735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81A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3.9382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65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061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9.4749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1F3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8.2134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75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5.4989</w:t>
            </w:r>
          </w:p>
        </w:tc>
      </w:tr>
      <w:tr w14:paraId="4F742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04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D39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7.8268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3CF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7.5072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39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6.6336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62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3.9418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3CA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9.2255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AE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8.7455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22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7.7429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5A6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5.4465</w:t>
            </w:r>
          </w:p>
        </w:tc>
      </w:tr>
      <w:tr w14:paraId="1671C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5A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879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7.3291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734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D7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6.3913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CA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3.9426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A63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8.3866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A27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8.0164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4F9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7.2739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C3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5.3949</w:t>
            </w:r>
          </w:p>
        </w:tc>
      </w:tr>
      <w:tr w14:paraId="1CC4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19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998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6.8561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E49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6.6898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1C4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6.1534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A8E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CFD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7.5583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73A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7.2965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E07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6.8137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421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5.3451</w:t>
            </w:r>
          </w:p>
        </w:tc>
      </w:tr>
      <w:tr w14:paraId="639C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6A5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A1B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6.4175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00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6.3154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01E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5.9262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660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3.9378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2F2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6.7488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0B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6.5944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3F6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6.3698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563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5.2977</w:t>
            </w:r>
          </w:p>
        </w:tc>
      </w:tr>
      <w:tr w14:paraId="3F03A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02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7E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6.0203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3B7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5.9737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79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5.7149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07F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3.9335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40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DD4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5.9191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27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5.9501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C8F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5.2534</w:t>
            </w:r>
          </w:p>
        </w:tc>
      </w:tr>
      <w:tr w14:paraId="471A6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AD0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1F1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5.6697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A83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AF3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5.524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5B7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3.9288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8B6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5.2189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FF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5.2807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DDC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5.5632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CCA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5.213</w:t>
            </w:r>
          </w:p>
        </w:tc>
      </w:tr>
      <w:tr w14:paraId="52CFE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59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F3D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5.3694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A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5.4083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3EC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5.357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D8F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3.9242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1A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4.5195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34F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4.6925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92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5.2184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0F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5.177</w:t>
            </w:r>
          </w:p>
        </w:tc>
      </w:tr>
      <w:tr w14:paraId="28E93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57B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4C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5.1217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A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5.1914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58B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5.217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33B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3.9202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270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3.886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901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4.1718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43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4.9254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927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5.1459</w:t>
            </w:r>
          </w:p>
        </w:tc>
      </w:tr>
      <w:tr w14:paraId="1A41C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B9B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A33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4.9281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38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5.0213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7C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5.1062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3D7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3.9171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D20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3.3467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19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3.7421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CC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4.6941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7D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5.1202</w:t>
            </w:r>
          </w:p>
        </w:tc>
      </w:tr>
      <w:tr w14:paraId="2032B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6D1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C48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4.7896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ABD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4.8992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3C7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5.0263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942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3.9153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1E1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2.9445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DFB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3.4328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FBC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4.5338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70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5.1001</w:t>
            </w:r>
          </w:p>
        </w:tc>
      </w:tr>
      <w:tr w14:paraId="126D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7C0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FF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4.7067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730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4.8261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C8D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4.9785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808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3.915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50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2.7323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C4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3.2734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92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4.4513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995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5.0858</w:t>
            </w:r>
          </w:p>
        </w:tc>
      </w:tr>
      <w:tr w14:paraId="4D0A5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7F5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11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4.6797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439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4.8024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6B1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4.9634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CA3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3.9164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97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2.7483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04D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3.2823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6A3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4.4501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337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5.0775</w:t>
            </w:r>
          </w:p>
        </w:tc>
      </w:tr>
      <w:tr w14:paraId="1776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F9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DA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4.7086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33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4.8283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B0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4.9812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C3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3.9195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FC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2.9856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0ED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3.4557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540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4.5292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A5D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5.075</w:t>
            </w:r>
          </w:p>
        </w:tc>
      </w:tr>
      <w:tr w14:paraId="03DD8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D67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8B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4.7935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7F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4.9035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DB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5.0318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BF8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3.9243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4E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3.3974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7F7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3.7701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D6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4.6835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7D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5.0783</w:t>
            </w:r>
          </w:p>
        </w:tc>
      </w:tr>
      <w:tr w14:paraId="4CA3D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3F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9E2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4.934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6F6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5.0278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299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5.1145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DB9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3.9306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C7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3.9301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82A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4.1937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B9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4.9048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2C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5.087</w:t>
            </w:r>
          </w:p>
        </w:tc>
      </w:tr>
      <w:tr w14:paraId="41115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128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D4E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5.1297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C6A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5.2002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269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5.2281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5E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3.9383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7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4.5434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6C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473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5.1832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D93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5.1007</w:t>
            </w:r>
          </w:p>
        </w:tc>
      </w:tr>
      <w:tr w14:paraId="73FB6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F91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77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5.3797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2CB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5.4196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72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5.3711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195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3.947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5EE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5.2114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0A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5.2598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328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5.5086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FEB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5.119</w:t>
            </w:r>
          </w:p>
        </w:tc>
      </w:tr>
      <w:tr w14:paraId="6F1B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8FB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2A3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5.6824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C58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5.6839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5E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5.5412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826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3.9563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04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5.9181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DA6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5.8639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BD2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5.8713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FEF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5.1413</w:t>
            </w:r>
          </w:p>
        </w:tc>
      </w:tr>
      <w:tr w14:paraId="74560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15A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CF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6.0356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4E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5.9903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F64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5.7354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7E7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3.9658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53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6.6531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D7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6.4984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128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6.2626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2FB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5.1669</w:t>
            </w:r>
          </w:p>
        </w:tc>
      </w:tr>
      <w:tr w14:paraId="2A08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F6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EF8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6.4356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6B2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6.3349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356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5.9502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FE8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733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14C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7.1543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F1C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6.6744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D8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5.1952</w:t>
            </w:r>
          </w:p>
        </w:tc>
      </w:tr>
      <w:tr w14:paraId="6DE86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07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9B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6.8773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047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6.7126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D31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6.1811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738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3.9832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029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8.1796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7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7.8243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A5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7.0995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06D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5.2254</w:t>
            </w:r>
          </w:p>
        </w:tc>
      </w:tr>
      <w:tr w14:paraId="72350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60B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88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7.3535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71C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7.1163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EC4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6.4229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13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143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8.9584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811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8.5011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B59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7.5312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87D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5.2568</w:t>
            </w:r>
          </w:p>
        </w:tc>
      </w:tr>
      <w:tr w14:paraId="2C2BB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FEC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131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7.8548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18E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7.5373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25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6.6694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11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3.9946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A9C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9.7386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715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9.1775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5B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7.9628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158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5.2886</w:t>
            </w:r>
          </w:p>
        </w:tc>
      </w:tr>
      <w:tr w14:paraId="5536F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900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178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8.369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97D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7.965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DC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6.914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CEB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3.9965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CE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10.5116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304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9.8455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FB6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8.3881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705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5.32</w:t>
            </w:r>
          </w:p>
        </w:tc>
      </w:tr>
      <w:tr w14:paraId="19248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D2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AB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8.8812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EA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8.3866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57A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7.149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54F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2A8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11.2676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F1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10.4963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DEE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8.8007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EE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5.3502</w:t>
            </w:r>
          </w:p>
        </w:tc>
      </w:tr>
      <w:tr w14:paraId="55C47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BC7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30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9.3739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8D3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8.7879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75D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7.3665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394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3.9895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9CB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11.9951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B76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87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9.1943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EE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5.3786</w:t>
            </w:r>
          </w:p>
        </w:tc>
      </w:tr>
      <w:tr w14:paraId="424D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86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AF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9.8274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1BB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9.1534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66C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7.5585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58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3.9794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AB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12.6809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B8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11.7061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F2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9.5627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AFA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5.4045</w:t>
            </w:r>
          </w:p>
        </w:tc>
      </w:tr>
      <w:tr w14:paraId="5853A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D2B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256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10.2214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67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9.467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D9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7.7172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781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3.9643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92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13.311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C0F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12.2435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87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9.9001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35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5.4272</w:t>
            </w:r>
          </w:p>
        </w:tc>
      </w:tr>
      <w:tr w14:paraId="72AB7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4C1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BDB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10.5356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41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9.7136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AF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7.8355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81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3.9438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20B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13.8712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74A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12.7213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E00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10.2008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7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5.4461</w:t>
            </w:r>
          </w:p>
        </w:tc>
      </w:tr>
      <w:tr w14:paraId="48FF5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DF1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917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10.7523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26E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8A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7.9074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86A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3.9174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3A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14.3482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981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13.1295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FBE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10.4602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181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5.4609</w:t>
            </w:r>
          </w:p>
        </w:tc>
      </w:tr>
      <w:tr w14:paraId="475E7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99C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781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10.8577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4C7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9.9561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E22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7.9285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66E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3.8849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860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14.7305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6A3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13.4599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95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10.6741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8A7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5.4709</w:t>
            </w:r>
          </w:p>
        </w:tc>
      </w:tr>
      <w:tr w14:paraId="63F69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F9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CA0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10.8438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16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9.936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4A5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7.8961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94F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3.8462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B7E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15.0102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7BA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13.7064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A17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10.8399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66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5.476</w:t>
            </w:r>
          </w:p>
        </w:tc>
      </w:tr>
      <w:tr w14:paraId="07F6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796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A23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10.7091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A38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9.8186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2FE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7.8097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F3C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3.8013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DE5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15.1832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5CE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13.8659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3DE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10.956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A4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5.4759</w:t>
            </w:r>
          </w:p>
        </w:tc>
      </w:tr>
      <w:tr w14:paraId="2C377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1FF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8A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10.4591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943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9.6077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46B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7.6707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E07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13F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15.2498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A5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13.9384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8FE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11.022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B9A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5.4704</w:t>
            </w:r>
          </w:p>
        </w:tc>
      </w:tr>
      <w:tr w14:paraId="6D746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1D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0FB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10.1053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782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9.3117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B21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7.4826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D29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3.6927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056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15.2145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145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13.9272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AE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11.039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BE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5.4595</w:t>
            </w:r>
          </w:p>
        </w:tc>
      </w:tr>
      <w:tr w14:paraId="1A953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00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96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9.6638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9B6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8.9423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F5D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7.2503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622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3.6296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DC5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15.0856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21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13.8378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8A7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11.0092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864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5.4431</w:t>
            </w:r>
          </w:p>
        </w:tc>
      </w:tr>
      <w:tr w14:paraId="304C6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96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477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9.1537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77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8.5137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DC5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6.9802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8D3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3.561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C9D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14.8738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2E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13.6781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4C6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10.9358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BC5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5.4213</w:t>
            </w:r>
          </w:p>
        </w:tc>
      </w:tr>
      <w:tr w14:paraId="71124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ED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905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8.5948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94E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8.041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DD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6.6792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FDB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3.4874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33E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14.5916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253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13.4574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16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10.8229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F7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5.3944</w:t>
            </w:r>
          </w:p>
        </w:tc>
      </w:tr>
      <w:tr w14:paraId="283D8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69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E43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8.0066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C09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7.5394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C21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6.3548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BA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3.4092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0C3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14.252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117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13.1854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917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10.6749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BC9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5.3625</w:t>
            </w:r>
          </w:p>
        </w:tc>
      </w:tr>
      <w:tr w14:paraId="17374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C03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B53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7.4065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20E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7.0229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EB3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6.0144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9C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3.3272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F3A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13.8678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631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12.8722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C6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10.4968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F5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5.326</w:t>
            </w:r>
          </w:p>
        </w:tc>
      </w:tr>
      <w:tr w14:paraId="3536E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5E1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74B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6.8094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02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6.5038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CEF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5.6649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8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3.2418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EFB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13.4507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9E3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12.5272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329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10.2935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260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5.2852</w:t>
            </w:r>
          </w:p>
        </w:tc>
      </w:tr>
      <w:tr w14:paraId="29E39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278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976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6.2273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B0E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5.9925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CE7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5.3127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05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3.1537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9AB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13.0114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F4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12.1591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D3A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10.0699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AFB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5.2405</w:t>
            </w:r>
          </w:p>
        </w:tc>
      </w:tr>
      <w:tr w14:paraId="51C86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00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BD7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5.6693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0DD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5.4972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A55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4.9632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2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3.0637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28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12.5591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6C2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11.7758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0AE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9.8307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998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5.1925</w:t>
            </w:r>
          </w:p>
        </w:tc>
      </w:tr>
      <w:tr w14:paraId="01257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44D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64C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5.1418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A91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5.0242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601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4.6213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03C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2.9724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4BB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12.1015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35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11.3841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934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9.5802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E46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5.1415</w:t>
            </w:r>
          </w:p>
        </w:tc>
      </w:tr>
      <w:tr w14:paraId="62290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8E5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4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4.649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887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4.5778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2C9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4.2908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040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2.8807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FB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68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10.9898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6E8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9.3225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68E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5.0882</w:t>
            </w:r>
          </w:p>
        </w:tc>
      </w:tr>
      <w:tr w14:paraId="68377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53D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2AE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4.1932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A0F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4.1609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325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3.9745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06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2.7891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71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7CA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10.5979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16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9.0613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4C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5.033</w:t>
            </w:r>
          </w:p>
        </w:tc>
      </w:tr>
      <w:tr w14:paraId="40521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3BA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874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3.7753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E46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3.7749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29A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3.6749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17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2.6984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1A0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10.7556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D1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10.2125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254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8.7997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616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4.9765</w:t>
            </w:r>
          </w:p>
        </w:tc>
      </w:tr>
      <w:tr w14:paraId="69FCE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11A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A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3.395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7E9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3.4206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947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3.3935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B0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2.6092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18F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10.3303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67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9.8371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13A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8.5408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F8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4.9192</w:t>
            </w:r>
          </w:p>
        </w:tc>
      </w:tr>
      <w:tr w14:paraId="4AFAF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908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6FD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3.0515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92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3.0978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0D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3.1314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7E0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2.5224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7A3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9.9219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4F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9.4746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FC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8.2872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02E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4.8618</w:t>
            </w:r>
          </w:p>
        </w:tc>
      </w:tr>
      <w:tr w14:paraId="7E78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D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54E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2.7431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0F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2.8057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8B2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2.8893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EC5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2.4384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E52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9.5327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D64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9.1274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EFF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8.0412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EC2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4.8048</w:t>
            </w:r>
          </w:p>
        </w:tc>
      </w:tr>
      <w:tr w14:paraId="4E0BF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26A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55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2.4683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4E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2.5432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671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2.6674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445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2.358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AC2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9.1646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EFA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8.7976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289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7.8049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894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4.7487</w:t>
            </w:r>
          </w:p>
        </w:tc>
      </w:tr>
      <w:tr w14:paraId="578A7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D70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B07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2.225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AB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2.3093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A7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2.4658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57B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2.2818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B8F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8.8192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F74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20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7.5803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41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4.694</w:t>
            </w:r>
          </w:p>
        </w:tc>
      </w:tr>
      <w:tr w14:paraId="1B971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F60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C1C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2.0115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C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2.1026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9FE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2.2845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CAA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2.2103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7C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59D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8.1973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222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7.3692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E2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4.6413</w:t>
            </w:r>
          </w:p>
        </w:tc>
      </w:tr>
      <w:tr w14:paraId="4E6E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70B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E9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1.8259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25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1.9218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35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2.1232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FD4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2.1441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DB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8.2024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D19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1EA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7.173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D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4.5911</w:t>
            </w:r>
          </w:p>
        </w:tc>
      </w:tr>
      <w:tr w14:paraId="4DBFC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74C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096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1.6667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D28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1.7658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DAE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1.9819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937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2.0838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F41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7.9336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AAF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7.6866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90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6.9934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14B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4.5438</w:t>
            </w:r>
          </w:p>
        </w:tc>
      </w:tr>
      <w:tr w14:paraId="4D01D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7AB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31E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1.5324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248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1.6335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80D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1.8602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34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2.0298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E8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DF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7.4683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582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6.8316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CF6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4.4999</w:t>
            </w:r>
          </w:p>
        </w:tc>
      </w:tr>
      <w:tr w14:paraId="503AC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EC9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329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1.4219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9A5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1.524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CB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1.7582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F20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1.9825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788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7.4817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7C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7.2765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FE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6.6891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62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4.4597</w:t>
            </w:r>
          </w:p>
        </w:tc>
      </w:tr>
      <w:tr w14:paraId="36A4D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760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3AB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1.334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A7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1.4366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015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1.6756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C98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1.9425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00A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30C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7.1124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1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6.5669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AE4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4.4236</w:t>
            </w:r>
          </w:p>
        </w:tc>
      </w:tr>
      <w:tr w14:paraId="57587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F78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BC7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1.268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60B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1.3706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F36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1.6124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B8A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F7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7.1522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1F5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6.9772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33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6.4662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FF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4.3918</w:t>
            </w:r>
          </w:p>
        </w:tc>
      </w:tr>
      <w:tr w14:paraId="4E664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1E8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3C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1.2234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19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1.3257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587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1.5686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300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1.8853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36F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7.0362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B14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1D8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6.3878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C13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4.3648</w:t>
            </w:r>
          </w:p>
        </w:tc>
      </w:tr>
      <w:tr w14:paraId="30942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9A3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5B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1.1995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676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1.3015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7D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1.5442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7D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1.8687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41A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6.9542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238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6.7978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59E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6.3326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A06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4.3426</w:t>
            </w:r>
          </w:p>
        </w:tc>
      </w:tr>
      <w:tr w14:paraId="0A805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330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C72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1.1961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A7F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1.2977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09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1.5391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B0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1.8601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D7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6.9069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BAB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6.7553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AA0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6.3011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48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4.3255</w:t>
            </w:r>
          </w:p>
        </w:tc>
      </w:tr>
      <w:tr w14:paraId="53DA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6DC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C7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1.2129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71B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1.314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CF1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1.5531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7D6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1.8598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965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6.8951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F26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6.7451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569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6.2939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670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4.3135</w:t>
            </w:r>
          </w:p>
        </w:tc>
      </w:tr>
      <w:tr w14:paraId="21F85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E94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6D9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1.2496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8D3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1.3503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7D0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1.586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82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1.8674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39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6.9191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F1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6.7677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99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6.3112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D5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4.3067</w:t>
            </w:r>
          </w:p>
        </w:tc>
      </w:tr>
      <w:tr w14:paraId="0E5E4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AC8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656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1.3065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227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1.4066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6F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1.6377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F6F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3C9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6.9792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57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6.8232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81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6.353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495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4.305</w:t>
            </w:r>
          </w:p>
        </w:tc>
      </w:tr>
      <w:tr w14:paraId="55053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6B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CB9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1.3837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6B2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1.4829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54F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1.708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BAF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1.9063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DE2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7.0754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1BB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6.9115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C20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6.4192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37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4.3085</w:t>
            </w:r>
          </w:p>
        </w:tc>
      </w:tr>
      <w:tr w14:paraId="47B35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8C7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A72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1.4816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C9B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1.5796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E61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1.7968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C39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1.9368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ACD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7.2075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EA0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7.0323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B8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6.5093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63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4.3169</w:t>
            </w:r>
          </w:p>
        </w:tc>
      </w:tr>
      <w:tr w14:paraId="23945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182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7A7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1.601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A8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1.6972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247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1.9039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3EC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1.9742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C89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7.3749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C12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7.1851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33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6.623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B65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4.33</w:t>
            </w:r>
          </w:p>
        </w:tc>
      </w:tr>
      <w:tr w14:paraId="7B9B2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A3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2A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1.743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2DF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1.8363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FB3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2.0295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BFD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FB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7.5772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956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7.3694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574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6.7594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18F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4.3478</w:t>
            </w:r>
          </w:p>
        </w:tc>
      </w:tr>
      <w:tr w14:paraId="288C8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20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E8B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1.9087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6E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1.9979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12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2.1737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50E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2.0677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1D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7.8138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1CA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7.5844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A5D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6.9178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10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4.3698</w:t>
            </w:r>
          </w:p>
        </w:tc>
      </w:tr>
      <w:tr w14:paraId="4DA2D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C9D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09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2.0996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90F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2.1831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4D8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2.3366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F62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2.1227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B83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8.0838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194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7.8293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DA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7.0972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39F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4.3957</w:t>
            </w:r>
          </w:p>
        </w:tc>
      </w:tr>
      <w:tr w14:paraId="5BA5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33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9BA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2.3174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3ED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2.3932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5A0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2.5185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F5F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2.1824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F5E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8.3864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4B1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8.103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2C1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7.2964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C5F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4.4253</w:t>
            </w:r>
          </w:p>
        </w:tc>
      </w:tr>
      <w:tr w14:paraId="29B6D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D7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532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2.5639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A0C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2.6294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64B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2.7195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9D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2.2461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5B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BEA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8.4046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97A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7.5143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7A0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4.458</w:t>
            </w:r>
          </w:p>
        </w:tc>
      </w:tr>
      <w:tr w14:paraId="01C35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AE4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23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2.841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D5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2.893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651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2.9398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45F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2.3133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F42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9.0864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CB4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ABE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7.7496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00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4.4934</w:t>
            </w:r>
          </w:p>
        </w:tc>
      </w:tr>
      <w:tr w14:paraId="0FC62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6CB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4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3.1507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C1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3.1854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4F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3.1792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9E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2.3832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58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9.4818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89C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13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8.0006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C3E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4.531</w:t>
            </w:r>
          </w:p>
        </w:tc>
      </w:tr>
      <w:tr w14:paraId="696C8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504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787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3.4946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17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3.5075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D78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3.4374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44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2.455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D9F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9.906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D1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9.4649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4C6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8.2658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33A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4.5705</w:t>
            </w:r>
          </w:p>
        </w:tc>
      </w:tr>
      <w:tr w14:paraId="46836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C9E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1D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3.8742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F4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5D8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3.7139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B73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2.5282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37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10.3574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4DA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9.8653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4B8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8.5432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6B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4.6112</w:t>
            </w:r>
          </w:p>
        </w:tc>
      </w:tr>
      <w:tr w14:paraId="05A88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25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99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4.2905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BEE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4.2431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0C6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4.0073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524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2.6018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125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10.8343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CE5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10.2859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A3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8.8308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175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4.6527</w:t>
            </w:r>
          </w:p>
        </w:tc>
      </w:tr>
      <w:tr w14:paraId="2F5D2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D1D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72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4.7437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C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4.6561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02C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4.3161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C7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2.6752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3F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11.3343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CC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10.7243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FDD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9.1262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C37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4.6944</w:t>
            </w:r>
          </w:p>
        </w:tc>
      </w:tr>
      <w:tr w14:paraId="55857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54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EE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5.2327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8B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5.0975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CD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4.6379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C74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2.7476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7EA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11.8544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292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11.1773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7C5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9.4267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C8B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4.7358</w:t>
            </w:r>
          </w:p>
        </w:tc>
      </w:tr>
      <w:tr w14:paraId="26BB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A9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D8A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5.7554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4C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5.5642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297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4.9696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ED3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2.8181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740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12.3905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E5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11.6411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F0F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9.7291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84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4.7765</w:t>
            </w:r>
          </w:p>
        </w:tc>
      </w:tr>
      <w:tr w14:paraId="44589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462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7FC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6.3073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A3A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6.052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2D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5.3073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849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2.886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B7F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12.9376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EA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12.1108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A64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10.0302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929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4.8158</w:t>
            </w:r>
          </w:p>
        </w:tc>
      </w:tr>
      <w:tr w14:paraId="19C74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680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79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6.882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8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6.5544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F76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5.6462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1B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2.9505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468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13.4894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612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12.5808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8F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10.3259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1A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4.8533</w:t>
            </w:r>
          </w:p>
        </w:tc>
      </w:tr>
      <w:tr w14:paraId="7CF8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C7C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F4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7.4704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E02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7.063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2B5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5.9805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77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3.0109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6A4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14.0377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E30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13.0441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71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10.6123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61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4.8886</w:t>
            </w:r>
          </w:p>
        </w:tc>
      </w:tr>
      <w:tr w14:paraId="7E114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9B6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2C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8.0603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1C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7.5676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76B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6.3037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368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3.0664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8BF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14.5733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D9C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13.493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2A5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10.8847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F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4.9213</w:t>
            </w:r>
          </w:p>
        </w:tc>
      </w:tr>
      <w:tr w14:paraId="70489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B43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CC3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8.6367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A60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8.0554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388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6.6088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5A6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3.1163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C0F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15.0848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E20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13.9185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D3F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11.1385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434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4.9508</w:t>
            </w:r>
          </w:p>
        </w:tc>
      </w:tr>
      <w:tr w14:paraId="727D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D1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F57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9.1821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FA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8.5124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6A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6.8881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1EA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3.1601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B0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15.5601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23F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14.3108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A49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11.3691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C8E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4.977</w:t>
            </w:r>
          </w:p>
        </w:tc>
      </w:tr>
      <w:tr w14:paraId="4B08D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CFF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5EC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9.6769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75E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8.9232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0C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7.134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23C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3.1971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685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15.9858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E09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3A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11.5716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2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4.9995</w:t>
            </w:r>
          </w:p>
        </w:tc>
      </w:tr>
      <w:tr w14:paraId="5B0EE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67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CC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10.101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9BD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9.2725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E7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7.3393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C14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C5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16.3487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983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14.9563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E88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11.7419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09F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5.0181</w:t>
            </w:r>
          </w:p>
        </w:tc>
      </w:tr>
      <w:tr w14:paraId="47D5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96B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13A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10.4352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690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9.546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60D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7.4974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7DE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3.2494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B8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16.6363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06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15.1907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FDA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11.8763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4C5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5.0325</w:t>
            </w:r>
          </w:p>
        </w:tc>
      </w:tr>
      <w:tr w14:paraId="22F3B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3B7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AA5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10.6631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9D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9.7315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965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7.6032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EBB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BB7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16.8382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39D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15.3557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052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11.9718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E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5.0428</w:t>
            </w:r>
          </w:p>
        </w:tc>
      </w:tr>
      <w:tr w14:paraId="6B892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84C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B15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10.773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66D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9.8205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FE5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7.6529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FFF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3.2707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63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16.9473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6C7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15.4464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A42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12.0266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6E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5.0487</w:t>
            </w:r>
          </w:p>
        </w:tc>
      </w:tr>
      <w:tr w14:paraId="0110F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946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06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10.7591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A74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9.809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D9A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7.6449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48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3.2696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39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16.9602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75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15.4605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F3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0"/>
                <w:szCs w:val="20"/>
                <w:u w:val="none"/>
                <w:lang w:val="en-US" w:eastAsia="zh-CN" w:bidi="ar"/>
                <w14:textFill>
                  <w14:solidFill>
                    <w14:schemeClr w14:val="tx1"/>
                  </w14:solidFill>
                </w14:textFill>
              </w:rPr>
              <w:t>12.0399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CE2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5.0504</w:t>
            </w:r>
          </w:p>
        </w:tc>
      </w:tr>
      <w:tr w14:paraId="27272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612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9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10.6225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FD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9.6975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44A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7.5794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C7F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3.2607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4C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16.8781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83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15.399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399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12.0122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54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5.0479</w:t>
            </w:r>
          </w:p>
        </w:tc>
      </w:tr>
      <w:tr w14:paraId="10131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14C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D4D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10.3709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CD2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9.4918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7C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7.4588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9D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3.2443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AF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16.7064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38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15.2657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DAB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11.9452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C4B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5.0414</w:t>
            </w:r>
          </w:p>
        </w:tc>
      </w:tr>
      <w:tr w14:paraId="00CF3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84A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98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10.0176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34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9.2014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D3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7.2873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25E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3.2209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63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16.4543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092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15.0672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4F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11.8418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E26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5.0311</w:t>
            </w:r>
          </w:p>
        </w:tc>
      </w:tr>
      <w:tr w14:paraId="701CC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FE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7B6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9.5799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538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8.8392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AB2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7.0708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563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3.1911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98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16.1338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410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14.8123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8EE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11.7056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86B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5.0173</w:t>
            </w:r>
          </w:p>
        </w:tc>
      </w:tr>
      <w:tr w14:paraId="57DF9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84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1DC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9.0774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4EB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8.4201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BDB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6.8161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31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3.1554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AE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15.7584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0CA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14.511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BA9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11.5413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DB6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5.0003</w:t>
            </w:r>
          </w:p>
        </w:tc>
      </w:tr>
      <w:tr w14:paraId="23191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915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CA4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8.5303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D81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7.9595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DF2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6.531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AA6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3.1147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1D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15.3426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0D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14.1742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9D3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11.3538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CA2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4.9806</w:t>
            </w:r>
          </w:p>
        </w:tc>
      </w:tr>
      <w:tr w14:paraId="1322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66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998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7.9576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6E7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7.4727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8F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6.2235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AFE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31D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14.9002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80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13.8127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1C7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11.1486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6FA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4.9584</w:t>
            </w:r>
          </w:p>
        </w:tc>
      </w:tr>
      <w:tr w14:paraId="707E3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41A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FC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7.3766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D5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6.9739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29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5.9016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938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3.0221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604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14.4443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245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13.4369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188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10.9308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88B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4.9345</w:t>
            </w:r>
          </w:p>
        </w:tc>
      </w:tr>
      <w:tr w14:paraId="4ECC6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0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A8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6.8019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A3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6.4757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CDB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5.5733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19B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2.9723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EF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13.9866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A2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13.0564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B58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10.706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31E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4.9091</w:t>
            </w:r>
          </w:p>
        </w:tc>
      </w:tr>
      <w:tr w14:paraId="53AA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FC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4A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6.2459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DDF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5.989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AD4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5.2459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BF8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2.9217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71F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13.5374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0E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12.6798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CEE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10.4792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4D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4.8829</w:t>
            </w:r>
          </w:p>
        </w:tc>
      </w:tr>
      <w:tr w14:paraId="69461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02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351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5.7184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8C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5.5232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CA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4.9266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CC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2.8715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28D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13.1056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7EE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12.3149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B8B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10.2551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089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4.8564</w:t>
            </w:r>
          </w:p>
        </w:tc>
      </w:tr>
      <w:tr w14:paraId="3AD48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ACB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390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5.2277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DE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5.0864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0CB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4.622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E5A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2.8228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AC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12.6985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17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11.9683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75C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10.0382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C6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4.8301</w:t>
            </w:r>
          </w:p>
        </w:tc>
      </w:tr>
      <w:tr w14:paraId="6C280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314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4E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4.7807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079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4.6857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47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4.3386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CF2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2.7769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31B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12.3225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6C6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11.6458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B8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9.8326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08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4.8047</w:t>
            </w:r>
          </w:p>
        </w:tc>
      </w:tr>
      <w:tr w14:paraId="0EB48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3F2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C07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4.3838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8B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4.328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AA5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4.0827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809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2.7351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5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F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11.3524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152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9.642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5B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4.7805</w:t>
            </w:r>
          </w:p>
        </w:tc>
      </w:tr>
      <w:tr w14:paraId="45DA0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D36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CB9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4.0431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DED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4.0197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FC8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3.8605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CC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2.6983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CD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11.6844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C9F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11.0925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7E3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9.4696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CE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4.7581</w:t>
            </w:r>
          </w:p>
        </w:tc>
      </w:tr>
      <w:tr w14:paraId="7352F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ED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9B9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3.7654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A86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3.7678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326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3.6778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887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2.6675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D1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11.4306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063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10.8696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CDF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9.3184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ADD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4.738</w:t>
            </w:r>
          </w:p>
        </w:tc>
      </w:tr>
      <w:tr w14:paraId="5CFE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54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37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3.5576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A7E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3.5789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8BE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3.5404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DD6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2.6436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96A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11.2248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816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7ED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9.1907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0B4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4.7206</w:t>
            </w:r>
          </w:p>
        </w:tc>
      </w:tr>
      <w:tr w14:paraId="1EFD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41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91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3.426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018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3.4592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74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3.4531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BEF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2.6272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1F7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11.0696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3A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10.547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468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9.0887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6C9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4.7062</w:t>
            </w:r>
          </w:p>
        </w:tc>
      </w:tr>
      <w:tr w14:paraId="40C3F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AFD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7A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3.3758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6C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3.4134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4E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3.419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15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2.6186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547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10.9671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CF5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10.4518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CBD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9.014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F88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4.6951</w:t>
            </w:r>
          </w:p>
        </w:tc>
      </w:tr>
      <w:tr w14:paraId="469B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B1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2B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3.4092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BA5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3.4434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E73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3.4398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6A2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2.6182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828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10.9187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8AD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10.4027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EA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8.9678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9C8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4.6877</w:t>
            </w:r>
          </w:p>
        </w:tc>
      </w:tr>
      <w:tr w14:paraId="630E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827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410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3.5249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8A1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3.5481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DB2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3.5144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3D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2.6257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538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10.9252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8D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10.4004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BA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8.9507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4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4.684</w:t>
            </w:r>
          </w:p>
        </w:tc>
      </w:tr>
      <w:tr w14:paraId="4165E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A1D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D9B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3.7187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C95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3.7236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3D4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B2B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2.6408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BF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10.9868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60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10.4452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081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8.9628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B0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4.6841</w:t>
            </w:r>
          </w:p>
        </w:tc>
      </w:tr>
      <w:tr w14:paraId="0F254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A2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66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3.9846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1A7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3.9641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A49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3.8121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B0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47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11.1027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4CC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10.5362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C40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9.0038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50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4.6882</w:t>
            </w:r>
          </w:p>
        </w:tc>
      </w:tr>
      <w:tr w14:paraId="001D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7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D95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4.3155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27A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4.2628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C7E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4.0252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A31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2.6914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C3A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11.2714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00D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10.6722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E8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9.0728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9F8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4.696</w:t>
            </w:r>
          </w:p>
        </w:tc>
      </w:tr>
      <w:tr w14:paraId="4262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EA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41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4.7048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7C3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4.6127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90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4.2731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CA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2.7252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B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11.4907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B64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10.8509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3C6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9.168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F2D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4.7075</w:t>
            </w:r>
          </w:p>
        </w:tc>
      </w:tr>
      <w:tr w14:paraId="3B89E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2B6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6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5.1456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80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5.007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E02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4.5496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CD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2.7632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D48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11.7571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15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11.0691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525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9.2875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20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4.7224</w:t>
            </w:r>
          </w:p>
        </w:tc>
      </w:tr>
      <w:tr w14:paraId="17417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85C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CC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5.6313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D6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5.4385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03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4.8482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C86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2.8042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A20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12.0663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A66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19F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9.4284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9BB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4.7405</w:t>
            </w:r>
          </w:p>
        </w:tc>
      </w:tr>
      <w:tr w14:paraId="271B6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F6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B33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6.1547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B1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5.8999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A07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5.1622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FCF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2.8471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81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12.4128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A2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11.6075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16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9.5876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4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4.7613</w:t>
            </w:r>
          </w:p>
        </w:tc>
      </w:tr>
      <w:tr w14:paraId="2D4B0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F17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83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6.7073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C1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6.3828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DBF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5.4846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4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2.8905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D5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12.7898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C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11.9166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D4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9.761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DF6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4.7846</w:t>
            </w:r>
          </w:p>
        </w:tc>
      </w:tr>
      <w:tr w14:paraId="08F0A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AA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8F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7.2789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E4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6.8775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343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5.8084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99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2.9333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049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13.1892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64B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12.2434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77B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9.9445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3B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4.8099</w:t>
            </w:r>
          </w:p>
        </w:tc>
      </w:tr>
      <w:tr w14:paraId="7C98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BB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CA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7.857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A96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7.3729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80D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6.1257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89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2.9741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4CF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13.6014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795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12.5797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C1B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10.1332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A64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4.8365</w:t>
            </w:r>
          </w:p>
        </w:tc>
      </w:tr>
      <w:tr w14:paraId="42247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915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610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8.4267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718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7.8562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3F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6.4286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5DE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3.012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8A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14.0155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A5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12.9165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EDE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10.322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30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4.8641</w:t>
            </w:r>
          </w:p>
        </w:tc>
      </w:tr>
      <w:tr w14:paraId="66C3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EA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9C1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8.9706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A79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8.3131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4A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6.709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0BF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3.0458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E8B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14.4191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409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13.2438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59A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10.5057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BE8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4.8922</w:t>
            </w:r>
          </w:p>
        </w:tc>
      </w:tr>
      <w:tr w14:paraId="430F6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9F0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4F4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9.4693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C6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8.728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87B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6.9585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219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3.0746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7FC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14.7988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E3D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13.5513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DC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10.6788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770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4.92</w:t>
            </w:r>
          </w:p>
        </w:tc>
      </w:tr>
      <w:tr w14:paraId="084FB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395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A3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9.9027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56A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9.0855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21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7.1695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24C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3.0974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FC2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15.141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ED4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13.8283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582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10.8363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AA1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4.9473</w:t>
            </w:r>
          </w:p>
        </w:tc>
      </w:tr>
      <w:tr w14:paraId="3954C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C33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C7D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10.2508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2F5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9.3704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FF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7.3348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BB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3.1137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CF1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15.4323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BD6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14.0649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B7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10.9731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1EF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4.9733</w:t>
            </w:r>
          </w:p>
        </w:tc>
      </w:tr>
      <w:tr w14:paraId="5C200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DB6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C69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10.4963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88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9.5698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24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7.4486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7F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3.1227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30E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15.6607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2B6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14.252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B0A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11.085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C6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4.9976</w:t>
            </w:r>
          </w:p>
        </w:tc>
      </w:tr>
      <w:tr w14:paraId="4E554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7B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E60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10.6258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4D9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9.674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780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7.5066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E44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3.1241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B3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15.8163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FBF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14.3823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AC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11.1685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1C4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5.0199</w:t>
            </w:r>
          </w:p>
        </w:tc>
      </w:tr>
      <w:tr w14:paraId="73D77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3A5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64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10.6314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BE3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9.6773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39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7.5064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049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3.1174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417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15.8927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EA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14.4509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061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11.2209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0B8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5.0395</w:t>
            </w:r>
          </w:p>
        </w:tc>
      </w:tr>
      <w:tr w14:paraId="1742E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E4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2A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10.5122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102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9.5789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55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7.4476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23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3.1026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86C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15.8872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4E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14.4556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C9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11.2406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2CB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5.0563</w:t>
            </w:r>
          </w:p>
        </w:tc>
      </w:tr>
      <w:tr w14:paraId="0F3BE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5AE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C63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10.2738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5E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9.3831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E72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7.3319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21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3.0795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F96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15.8011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F26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14.3966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33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11.2273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8E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5.0697</w:t>
            </w:r>
          </w:p>
        </w:tc>
      </w:tr>
      <w:tr w14:paraId="5C46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6E1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BCA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9.9281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6B2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9.0983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241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7.1631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5B6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3.0482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9B3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15.6392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E32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14.2773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4B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11.1814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3AF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5.0797</w:t>
            </w:r>
          </w:p>
        </w:tc>
      </w:tr>
      <w:tr w14:paraId="368A0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208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F3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9.4915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47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8.7367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75D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6.9462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9E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3.0089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E61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15.4095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C3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14.1027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3E3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11.1044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868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5.0859</w:t>
            </w:r>
          </w:p>
        </w:tc>
      </w:tr>
      <w:tr w14:paraId="79ACD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7DE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98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8.9834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7E1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8.3128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29B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6.6879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25D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2.962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C6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15.1217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2A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13.8796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18D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10.9986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5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5.0883</w:t>
            </w:r>
          </w:p>
        </w:tc>
      </w:tr>
      <w:tr w14:paraId="072BD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B61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6D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8.424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3A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7.8419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A04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6.3954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48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2.9078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60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14.7868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E42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13.6159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53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10.8669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7B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5.0866</w:t>
            </w:r>
          </w:p>
        </w:tc>
      </w:tr>
      <w:tr w14:paraId="2526B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FC8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1A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7.8328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C74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7.3394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CA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6.0763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11D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2.8468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633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14.4157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EDD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13.3194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C3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10.7125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CC3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5.0809</w:t>
            </w:r>
          </w:p>
        </w:tc>
      </w:tr>
      <w:tr w14:paraId="39E8A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149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FD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7.2277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A9B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6.8196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DE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5.7383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24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2.7795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0B8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14.0187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64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12.9981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520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10.5387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202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5.0711</w:t>
            </w:r>
          </w:p>
        </w:tc>
      </w:tr>
      <w:tr w14:paraId="60E91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9A6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6ED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6.6235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A1A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6.295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C2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5.3883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FA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2.7066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281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13.6052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99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12.6592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A8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10.349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628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5.0573</w:t>
            </w:r>
          </w:p>
        </w:tc>
      </w:tr>
      <w:tr w14:paraId="21B57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AF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1C5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6.0325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EAF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5.7761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C7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99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2.6287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EFA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13.1829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0A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12.3091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14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10.1467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56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5.0396</w:t>
            </w:r>
          </w:p>
        </w:tc>
      </w:tr>
      <w:tr w14:paraId="7E748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54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89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5.4639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EB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5.2712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56D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4.678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17E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2.5465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DEF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12.7586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487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11.9533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820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9.9348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AD5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5.018</w:t>
            </w:r>
          </w:p>
        </w:tc>
      </w:tr>
      <w:tr w14:paraId="046F0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D1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07B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4.9242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AE0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4.7867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DDB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4.3281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AF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2.4606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B9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12.3373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97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11.5963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8DD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9.716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250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4.9928</w:t>
            </w:r>
          </w:p>
        </w:tc>
      </w:tr>
      <w:tr w14:paraId="5DEA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D3B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1F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4.4176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3E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4.3269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66D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3.9871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145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2.3717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BD8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93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11.2418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5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9.493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DC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4.964</w:t>
            </w:r>
          </w:p>
        </w:tc>
      </w:tr>
      <w:tr w14:paraId="78D0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15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35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3.9463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6AD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3.8947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5A0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3.658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E33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2.2805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0E4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11.5187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08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10.8926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A0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9.2676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F2D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4.9319</w:t>
            </w:r>
          </w:p>
        </w:tc>
      </w:tr>
      <w:tr w14:paraId="70B50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9E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9E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3.5114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66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3.4917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6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3.3432</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8D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2.1876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2F0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11.1263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851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10.5509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E4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9.0418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790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4.8966</w:t>
            </w:r>
          </w:p>
        </w:tc>
      </w:tr>
      <w:tr w14:paraId="4DC59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CE5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99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3.1124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E04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3.1183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D7C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3.0441</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CCC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2.0935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A21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10.7473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29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10.2181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7C6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8.8169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1E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4.8584</w:t>
            </w:r>
          </w:p>
        </w:tc>
      </w:tr>
      <w:tr w14:paraId="7300D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6E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053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2.7483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12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2.7743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158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2.7616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10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1.9989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2AB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10.3824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91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9.8954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8B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8.5942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051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4.8175</w:t>
            </w:r>
          </w:p>
        </w:tc>
      </w:tr>
      <w:tr w14:paraId="42948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66E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973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2.4176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2C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2.4588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C8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2.4964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65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1.9043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82B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10.032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FE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9.5833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CF6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8.3747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62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4.7742</w:t>
            </w:r>
          </w:p>
        </w:tc>
      </w:tr>
      <w:tr w14:paraId="76862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0C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18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2.1184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379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2.1707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E30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2.2483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C09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1.8101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95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9.6961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DC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9.2823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5B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8.1591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E2F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4.7286</w:t>
            </w:r>
          </w:p>
        </w:tc>
      </w:tr>
      <w:tr w14:paraId="351D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25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949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1.8486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3AD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1.9085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97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2.0174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600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1.7168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1E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9.3745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A4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8.9925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92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7.948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5C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4.6809</w:t>
            </w:r>
          </w:p>
        </w:tc>
      </w:tr>
      <w:tr w14:paraId="4BA09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CEA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29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1.6063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05B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1.6707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941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1.803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5F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1.6247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4F5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9.067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9E6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8.7137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5D8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7.7417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C98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4.6315</w:t>
            </w:r>
          </w:p>
        </w:tc>
      </w:tr>
      <w:tr w14:paraId="39FEB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102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DD1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1.3895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D1D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1.4557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EBF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1.6047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E4C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1.5342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DCB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8.773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65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799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7.5406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9C6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4.5804</w:t>
            </w:r>
          </w:p>
        </w:tc>
      </w:tr>
      <w:tr w14:paraId="6E801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A14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8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1.1965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FD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1.2621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48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1.4218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B24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1.4455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8A5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8.492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EB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8.1889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31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7.3449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0D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4.5279</w:t>
            </w:r>
          </w:p>
        </w:tc>
      </w:tr>
      <w:tr w14:paraId="123F4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52A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B6F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1.0257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8F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1.0885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C1F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1.2534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065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1.3589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774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8.2235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40B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7.9421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58D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7.1547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D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4.4742</w:t>
            </w:r>
          </w:p>
        </w:tc>
      </w:tr>
      <w:tr w14:paraId="20C05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108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A0A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0.8759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27A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0.9338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549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1.0989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7DC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1.2746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655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7.9669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427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7.7054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137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6.97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314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4.4195</w:t>
            </w:r>
          </w:p>
        </w:tc>
      </w:tr>
      <w:tr w14:paraId="38B7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CF7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F2F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0.7464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09A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0.797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2D9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0.9576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94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975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7.7216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57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7.4782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4B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6.7908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90A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4.3639</w:t>
            </w:r>
          </w:p>
        </w:tc>
      </w:tr>
      <w:tr w14:paraId="58927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85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ECD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0.6369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8FB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0.6776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3DB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0.8288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934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1.1134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5B4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7.487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984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7.2603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427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6.6171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62F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4.3076</w:t>
            </w:r>
          </w:p>
        </w:tc>
      </w:tr>
      <w:tr w14:paraId="62DF0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83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435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0.5474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9B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0.5756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5B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0.7118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0B8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1.0367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09E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7.2626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67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7.0511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B8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6.4488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FE2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4.2508</w:t>
            </w:r>
          </w:p>
        </w:tc>
      </w:tr>
      <w:tr w14:paraId="6D5A3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6BF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EF7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0.4786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28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0.4913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442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0.6065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8C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0.9628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F91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7.0478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B8A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6.8503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3BA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6.2857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10E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4.1935</w:t>
            </w:r>
          </w:p>
        </w:tc>
      </w:tr>
      <w:tr w14:paraId="3E71B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F9E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F1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0.4307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539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0.4255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91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0.5124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C45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0.8916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36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6.8422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4D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6.6575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D4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6.1278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EAE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4.136</w:t>
            </w:r>
          </w:p>
        </w:tc>
      </w:tr>
      <w:tr w14:paraId="6FDD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45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56B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0.4033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9B2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0.3791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3B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0.4299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F53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0.8233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726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6.6452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AAE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6.4724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DC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5.975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39B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4.0783</w:t>
            </w:r>
          </w:p>
        </w:tc>
      </w:tr>
      <w:tr w14:paraId="61CC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75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3E1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0.3939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F72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0.3523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30B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0.3596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46C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0.7577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D9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6.4564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8B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6.2945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F71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5.827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83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4.0206</w:t>
            </w:r>
          </w:p>
        </w:tc>
      </w:tr>
      <w:tr w14:paraId="0EA24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1A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BB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0.3988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EDC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0.3434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80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0.3026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3B0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0.6949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5D4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6.2753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AD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6.1235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8F9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5.6838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C7E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3.9629</w:t>
            </w:r>
          </w:p>
        </w:tc>
      </w:tr>
      <w:tr w14:paraId="1C757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77D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8B3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0.4137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A0B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0.3489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E97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0.2609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213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0.6349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64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6.1016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49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5.9591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71D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5.5452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37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3.9054</w:t>
            </w:r>
          </w:p>
        </w:tc>
      </w:tr>
      <w:tr w14:paraId="02877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17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043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0.4347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055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0.3644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48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0.2363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6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0.5775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C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5.9348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114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5.8009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BE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5.4111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5D5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3.8481</w:t>
            </w:r>
          </w:p>
        </w:tc>
      </w:tr>
      <w:tr w14:paraId="72AB4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4D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CA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0.4588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BCB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0.3861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485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0.2288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5A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0.5229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07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5.7747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305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5.6488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3A2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5.2812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55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3.7911</w:t>
            </w:r>
          </w:p>
        </w:tc>
      </w:tr>
      <w:tr w14:paraId="04E74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986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F7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0.4841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609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0.4108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DEF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0.2359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ADD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0.4708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14F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5.6208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473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5.5023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4D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5.1556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EC0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3.7344</w:t>
            </w:r>
          </w:p>
        </w:tc>
      </w:tr>
      <w:tr w14:paraId="7946C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FF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722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0.5092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F8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0.4367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09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0.253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F58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0.4212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BED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5.4729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7BB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5.3612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1D2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5.0339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047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3.6782</w:t>
            </w:r>
          </w:p>
        </w:tc>
      </w:tr>
      <w:tr w14:paraId="16E50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704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C1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0.5334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2E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0.4623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3EC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0.2758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161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0.3741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39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5.3306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2B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5.2254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24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4.9161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64B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3.6225</w:t>
            </w:r>
          </w:p>
        </w:tc>
      </w:tr>
      <w:tr w14:paraId="766FB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546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8CC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0.5561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A58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0.487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A1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0.3014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4C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0.3295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C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5.1937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31F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5.0944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294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4.802</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348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3.5673</w:t>
            </w:r>
          </w:p>
        </w:tc>
      </w:tr>
      <w:tr w14:paraId="71CC3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823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FFF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0.5772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88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0.5102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599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0.3277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D32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0.2871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380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5.0619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3B2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4.9682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0D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4.6916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AF6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3.5127</w:t>
            </w:r>
          </w:p>
        </w:tc>
      </w:tr>
      <w:tr w14:paraId="5D500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46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E8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0.5965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3FF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0.5317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E77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0.3535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2A6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0.2471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57B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4.935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A1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4.8464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248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4.5846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5AA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3.4587</w:t>
            </w:r>
          </w:p>
        </w:tc>
      </w:tr>
      <w:tr w14:paraId="60764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E03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113</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E93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0.6139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7E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0.5515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34D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0.3783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F93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0.2093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29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4.8127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E7C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4.729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B8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4.481</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A25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3.4053</w:t>
            </w:r>
          </w:p>
        </w:tc>
      </w:tr>
      <w:tr w14:paraId="62446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20F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114</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964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0.6296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A89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0.5695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87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0.4016</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0C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0.1737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D58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4.6948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4F1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4.6156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EF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4.3806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77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3.3526</w:t>
            </w:r>
          </w:p>
        </w:tc>
      </w:tr>
      <w:tr w14:paraId="410E8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A7A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189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0.6436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5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0.5857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905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0.4233</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9F7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0.1404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7C6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4.5811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B1B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4.5062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CA1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4.2833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B8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3.3006</w:t>
            </w:r>
          </w:p>
        </w:tc>
      </w:tr>
      <w:tr w14:paraId="4ECE9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043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179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0.6559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8D2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0.6003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B5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0.4434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5B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0.1096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50B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4.4715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1B5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4.4005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FF2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4.189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EB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3.2493</w:t>
            </w:r>
          </w:p>
        </w:tc>
      </w:tr>
      <w:tr w14:paraId="484B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F77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117</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CB1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0.6667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535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0.6132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DD1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0.4618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746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0.0816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76E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4.3657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209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4.2984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6EF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4.0976</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0B2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3.1987</w:t>
            </w:r>
          </w:p>
        </w:tc>
      </w:tr>
      <w:tr w14:paraId="79A1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A5E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118</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81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0.6761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DB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0.6246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477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0.4785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14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0.0579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61C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4.2635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03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4.1997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6C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4.009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A05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3.1489</w:t>
            </w:r>
          </w:p>
        </w:tc>
      </w:tr>
      <w:tr w14:paraId="4EB00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4EF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119</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9B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0.6841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A89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0.6347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43B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0.4938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B6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0.0421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D0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4.1649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A7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4.1043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291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3.923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06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3.0999</w:t>
            </w:r>
          </w:p>
        </w:tc>
      </w:tr>
      <w:tr w14:paraId="32EC3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73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120</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C3B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0.6909</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FAD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0.6433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ED9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0.5075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882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0.0407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C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4.0696</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37A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4.0121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84E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3.8397</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3C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3.0516</w:t>
            </w:r>
          </w:p>
        </w:tc>
      </w:tr>
      <w:tr w14:paraId="27408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EAD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121</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C7E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0.6964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1F5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0.6508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F7A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0.5198</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3D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0.0527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4F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3.9775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9FA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3.9228</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62B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3.7588</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AD7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3.004</w:t>
            </w:r>
          </w:p>
        </w:tc>
      </w:tr>
      <w:tr w14:paraId="6649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AA0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122</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60E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0.701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F53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0.6571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6A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0.5309</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389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0.0701</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A47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3.8885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2BE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3.8365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761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3.6804</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256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2.9573</w:t>
            </w:r>
          </w:p>
        </w:tc>
      </w:tr>
      <w:tr w14:paraId="72E53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3C208">
            <w:pPr>
              <w:pStyle w:val="40"/>
              <w:ind w:firstLine="0" w:firstLineChars="0"/>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最大值</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DA6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10.8577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FDF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9.9561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A5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7.9285</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F51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3.9965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1A1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16.9602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CE1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15.4605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6E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12.0399</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7C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5.9406</w:t>
            </w:r>
          </w:p>
        </w:tc>
      </w:tr>
      <w:tr w14:paraId="6632C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3FB3D">
            <w:pPr>
              <w:pStyle w:val="40"/>
              <w:ind w:firstLine="0" w:firstLineChars="0"/>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b w:val="0"/>
                <w:bCs/>
                <w:color w:val="000000" w:themeColor="text1"/>
                <w:szCs w:val="21"/>
                <w14:textFill>
                  <w14:solidFill>
                    <w14:schemeClr w14:val="tx1"/>
                  </w14:solidFill>
                </w14:textFill>
              </w:rPr>
              <w:t>边导线位置的值（71.99m，按72m选取）</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0F9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10.3557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CB6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9.5013</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FF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7.557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F0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3.6219</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6A0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15.7905</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DA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14.4753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6B5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11.5505</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BC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5.9086</w:t>
            </w:r>
          </w:p>
        </w:tc>
      </w:tr>
      <w:tr w14:paraId="120CF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4C51A">
            <w:pPr>
              <w:pStyle w:val="40"/>
              <w:ind w:firstLine="0" w:firstLineChars="0"/>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b w:val="0"/>
                <w:bCs/>
                <w:color w:val="000000" w:themeColor="text1"/>
                <w:szCs w:val="21"/>
                <w14:textFill>
                  <w14:solidFill>
                    <w14:schemeClr w14:val="tx1"/>
                  </w14:solidFill>
                </w14:textFill>
              </w:rPr>
              <w:t>边导线地面投影外两侧各50m范围的值（121.99m，按122m选取）</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7D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0.7428</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AAB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0.697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2C7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0.5647</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F4A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0.0672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934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4.1894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3C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4.137</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D7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3.9783</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A1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3.227</w:t>
            </w:r>
          </w:p>
        </w:tc>
      </w:tr>
      <w:tr w14:paraId="3901F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8"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D705068">
            <w:pPr>
              <w:pStyle w:val="40"/>
              <w:ind w:firstLine="0" w:firstLineChars="0"/>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标准限值</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B47F">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10</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8B5A4">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BA6E1">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4</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95FB1">
            <w:pPr>
              <w:snapToGrid w:val="0"/>
              <w:spacing w:line="240" w:lineRule="auto"/>
              <w:ind w:firstLine="0" w:firstLineChars="0"/>
              <w:jc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color w:val="000000" w:themeColor="text1"/>
                <w:kern w:val="0"/>
                <w:sz w:val="21"/>
                <w:szCs w:val="21"/>
                <w:lang w:bidi="ar"/>
                <w14:textFill>
                  <w14:solidFill>
                    <w14:schemeClr w14:val="tx1"/>
                  </w14:solidFill>
                </w14:textFill>
              </w:rPr>
              <w:t>4</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C22F043">
            <w:pPr>
              <w:pStyle w:val="40"/>
              <w:ind w:firstLine="0" w:firstLineChars="0"/>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8D4B89E">
            <w:pPr>
              <w:pStyle w:val="40"/>
              <w:ind w:firstLine="0" w:firstLineChars="0"/>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bottom"/>
          </w:tcPr>
          <w:p w14:paraId="2AF961BE">
            <w:pPr>
              <w:pStyle w:val="40"/>
              <w:ind w:firstLine="0" w:firstLineChars="0"/>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bottom"/>
          </w:tcPr>
          <w:p w14:paraId="73CEB0E3">
            <w:pPr>
              <w:pStyle w:val="40"/>
              <w:ind w:firstLine="0" w:firstLineChars="0"/>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b w:val="0"/>
                <w:bCs/>
                <w:color w:val="000000" w:themeColor="text1"/>
                <w14:textFill>
                  <w14:solidFill>
                    <w14:schemeClr w14:val="tx1"/>
                  </w14:solidFill>
                </w14:textFill>
              </w:rPr>
              <w:t>100</w:t>
            </w:r>
          </w:p>
        </w:tc>
      </w:tr>
    </w:tbl>
    <w:p w14:paraId="26009787">
      <w:pPr>
        <w:snapToGrid w:val="0"/>
        <w:ind w:firstLine="0" w:firstLineChars="0"/>
        <w:jc w:val="center"/>
        <w:rPr>
          <w:b/>
          <w:bCs/>
          <w:color w:val="000000" w:themeColor="text1"/>
          <w:sz w:val="21"/>
          <w:szCs w:val="21"/>
          <w14:textFill>
            <w14:solidFill>
              <w14:schemeClr w14:val="tx1"/>
            </w14:solidFill>
          </w14:textFill>
        </w:rPr>
      </w:pPr>
    </w:p>
    <w:p w14:paraId="15A4158D">
      <w:pPr>
        <w:snapToGrid w:val="0"/>
        <w:ind w:firstLine="480"/>
        <w:rPr>
          <w:color w:val="000000" w:themeColor="text1"/>
          <w14:textFill>
            <w14:solidFill>
              <w14:schemeClr w14:val="tx1"/>
            </w14:solidFill>
          </w14:textFill>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5"/>
        <w:gridCol w:w="4256"/>
      </w:tblGrid>
      <w:tr w14:paraId="21CA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5" w:type="dxa"/>
          </w:tcPr>
          <w:p w14:paraId="52DB7C4B">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68575" cy="1508760"/>
                  <wp:effectExtent l="0" t="0" r="3175" b="15240"/>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75"/>
                          <a:stretch>
                            <a:fillRect/>
                          </a:stretch>
                        </pic:blipFill>
                        <pic:spPr>
                          <a:xfrm>
                            <a:off x="0" y="0"/>
                            <a:ext cx="2568575" cy="1508760"/>
                          </a:xfrm>
                          <a:prstGeom prst="rect">
                            <a:avLst/>
                          </a:prstGeom>
                          <a:noFill/>
                          <a:ln>
                            <a:noFill/>
                          </a:ln>
                        </pic:spPr>
                      </pic:pic>
                    </a:graphicData>
                  </a:graphic>
                </wp:inline>
              </w:drawing>
            </w:r>
          </w:p>
        </w:tc>
        <w:tc>
          <w:tcPr>
            <w:tcW w:w="4256" w:type="dxa"/>
          </w:tcPr>
          <w:p w14:paraId="493C1A51">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5240" cy="1513840"/>
                  <wp:effectExtent l="0" t="0" r="16510" b="10160"/>
                  <wp:docPr id="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
                          <pic:cNvPicPr>
                            <a:picLocks noChangeAspect="1"/>
                          </pic:cNvPicPr>
                        </pic:nvPicPr>
                        <pic:blipFill>
                          <a:blip r:embed="rId76"/>
                          <a:stretch>
                            <a:fillRect/>
                          </a:stretch>
                        </pic:blipFill>
                        <pic:spPr>
                          <a:xfrm>
                            <a:off x="0" y="0"/>
                            <a:ext cx="2555240" cy="1513840"/>
                          </a:xfrm>
                          <a:prstGeom prst="rect">
                            <a:avLst/>
                          </a:prstGeom>
                          <a:noFill/>
                          <a:ln>
                            <a:noFill/>
                          </a:ln>
                        </pic:spPr>
                      </pic:pic>
                    </a:graphicData>
                  </a:graphic>
                </wp:inline>
              </w:drawing>
            </w:r>
          </w:p>
        </w:tc>
      </w:tr>
      <w:tr w14:paraId="12C8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5" w:type="dxa"/>
            <w:vAlign w:val="center"/>
          </w:tcPr>
          <w:p w14:paraId="712EF1F0">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4256" w:type="dxa"/>
            <w:vAlign w:val="center"/>
          </w:tcPr>
          <w:p w14:paraId="3104734F">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1F6C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2"/>
            <w:vAlign w:val="center"/>
          </w:tcPr>
          <w:p w14:paraId="2C06E431">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color w:val="000000" w:themeColor="text1"/>
                <w:kern w:val="0"/>
                <w:sz w:val="21"/>
                <w:szCs w:val="21"/>
                <w:lang w:bidi="ar"/>
                <w14:textFill>
                  <w14:solidFill>
                    <w14:schemeClr w14:val="tx1"/>
                  </w14:solidFill>
                </w14:textFill>
              </w:rPr>
              <w:t>15.5m</w:t>
            </w:r>
            <w:r>
              <w:rPr>
                <w:rFonts w:hint="eastAsia" w:ascii="宋体" w:hAnsi="宋体" w:cs="宋体"/>
                <w:color w:val="000000" w:themeColor="text1"/>
                <w:kern w:val="0"/>
                <w:sz w:val="21"/>
                <w:szCs w:val="21"/>
                <w:lang w:bidi="ar"/>
                <w14:textFill>
                  <w14:solidFill>
                    <w14:schemeClr w14:val="tx1"/>
                  </w14:solidFill>
                </w14:textFill>
              </w:rPr>
              <w:t>时（非居民区）地面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r w14:paraId="42B4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4265" w:type="dxa"/>
          </w:tcPr>
          <w:p w14:paraId="30D52069">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7145" cy="1499870"/>
                  <wp:effectExtent l="0" t="0" r="14605" b="5080"/>
                  <wp:docPr id="8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5"/>
                          <pic:cNvPicPr>
                            <a:picLocks noChangeAspect="1"/>
                          </pic:cNvPicPr>
                        </pic:nvPicPr>
                        <pic:blipFill>
                          <a:blip r:embed="rId77"/>
                          <a:stretch>
                            <a:fillRect/>
                          </a:stretch>
                        </pic:blipFill>
                        <pic:spPr>
                          <a:xfrm>
                            <a:off x="0" y="0"/>
                            <a:ext cx="2557145" cy="1499870"/>
                          </a:xfrm>
                          <a:prstGeom prst="rect">
                            <a:avLst/>
                          </a:prstGeom>
                          <a:noFill/>
                          <a:ln>
                            <a:noFill/>
                          </a:ln>
                        </pic:spPr>
                      </pic:pic>
                    </a:graphicData>
                  </a:graphic>
                </wp:inline>
              </w:drawing>
            </w:r>
          </w:p>
        </w:tc>
        <w:tc>
          <w:tcPr>
            <w:tcW w:w="4256" w:type="dxa"/>
          </w:tcPr>
          <w:p w14:paraId="7B493648">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3970" cy="1511935"/>
                  <wp:effectExtent l="0" t="0" r="17780" b="12065"/>
                  <wp:docPr id="8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6"/>
                          <pic:cNvPicPr>
                            <a:picLocks noChangeAspect="1"/>
                          </pic:cNvPicPr>
                        </pic:nvPicPr>
                        <pic:blipFill>
                          <a:blip r:embed="rId78"/>
                          <a:stretch>
                            <a:fillRect/>
                          </a:stretch>
                        </pic:blipFill>
                        <pic:spPr>
                          <a:xfrm>
                            <a:off x="0" y="0"/>
                            <a:ext cx="2553970" cy="1511935"/>
                          </a:xfrm>
                          <a:prstGeom prst="rect">
                            <a:avLst/>
                          </a:prstGeom>
                          <a:noFill/>
                          <a:ln>
                            <a:noFill/>
                          </a:ln>
                        </pic:spPr>
                      </pic:pic>
                    </a:graphicData>
                  </a:graphic>
                </wp:inline>
              </w:drawing>
            </w:r>
          </w:p>
        </w:tc>
      </w:tr>
      <w:tr w14:paraId="1061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vAlign w:val="center"/>
          </w:tcPr>
          <w:p w14:paraId="1B48A373">
            <w:pPr>
              <w:widowControl/>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4256" w:type="dxa"/>
            <w:vAlign w:val="center"/>
          </w:tcPr>
          <w:p w14:paraId="4CB32A13">
            <w:pPr>
              <w:snapToGrid w:val="0"/>
              <w:spacing w:line="240" w:lineRule="auto"/>
              <w:ind w:firstLine="0" w:firstLineChars="0"/>
              <w:jc w:val="center"/>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0756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2"/>
          </w:tcPr>
          <w:p w14:paraId="1941AB56">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导线高度16.</w:t>
            </w:r>
            <w:r>
              <w:rPr>
                <w:rFonts w:hint="eastAsia"/>
                <w:color w:val="000000" w:themeColor="text1"/>
                <w:sz w:val="21"/>
                <w:szCs w:val="21"/>
                <w:lang w:val="en-US" w:eastAsia="zh-CN"/>
                <w14:textFill>
                  <w14:solidFill>
                    <w14:schemeClr w14:val="tx1"/>
                  </w14:solidFill>
                </w14:textFill>
              </w:rPr>
              <w:t>5</w:t>
            </w:r>
            <w:r>
              <w:rPr>
                <w:rFonts w:hint="eastAsia"/>
                <w:color w:val="000000" w:themeColor="text1"/>
                <w:sz w:val="21"/>
                <w:szCs w:val="21"/>
                <w14:textFill>
                  <w14:solidFill>
                    <w14:schemeClr w14:val="tx1"/>
                  </w14:solidFill>
                </w14:textFill>
              </w:rPr>
              <w:t>m时地面1.5m高度处</w:t>
            </w:r>
          </w:p>
        </w:tc>
      </w:tr>
      <w:tr w14:paraId="694DD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shd w:val="clear" w:color="auto" w:fill="auto"/>
          </w:tcPr>
          <w:p w14:paraId="25A59896">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67940" cy="1520190"/>
                  <wp:effectExtent l="0" t="0" r="3810" b="3810"/>
                  <wp:docPr id="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
                          <pic:cNvPicPr>
                            <a:picLocks noChangeAspect="1"/>
                          </pic:cNvPicPr>
                        </pic:nvPicPr>
                        <pic:blipFill>
                          <a:blip r:embed="rId79"/>
                          <a:stretch>
                            <a:fillRect/>
                          </a:stretch>
                        </pic:blipFill>
                        <pic:spPr>
                          <a:xfrm>
                            <a:off x="0" y="0"/>
                            <a:ext cx="2567940" cy="1520190"/>
                          </a:xfrm>
                          <a:prstGeom prst="rect">
                            <a:avLst/>
                          </a:prstGeom>
                          <a:noFill/>
                          <a:ln>
                            <a:noFill/>
                          </a:ln>
                        </pic:spPr>
                      </pic:pic>
                    </a:graphicData>
                  </a:graphic>
                </wp:inline>
              </w:drawing>
            </w:r>
          </w:p>
        </w:tc>
        <w:tc>
          <w:tcPr>
            <w:tcW w:w="4256" w:type="dxa"/>
            <w:shd w:val="clear" w:color="auto" w:fill="auto"/>
          </w:tcPr>
          <w:p w14:paraId="5CDB6F68">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3970" cy="1510030"/>
                  <wp:effectExtent l="0" t="0" r="17780" b="13970"/>
                  <wp:docPr id="7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
                          <pic:cNvPicPr>
                            <a:picLocks noChangeAspect="1"/>
                          </pic:cNvPicPr>
                        </pic:nvPicPr>
                        <pic:blipFill>
                          <a:blip r:embed="rId80"/>
                          <a:stretch>
                            <a:fillRect/>
                          </a:stretch>
                        </pic:blipFill>
                        <pic:spPr>
                          <a:xfrm>
                            <a:off x="0" y="0"/>
                            <a:ext cx="2553970" cy="1510030"/>
                          </a:xfrm>
                          <a:prstGeom prst="rect">
                            <a:avLst/>
                          </a:prstGeom>
                          <a:noFill/>
                          <a:ln>
                            <a:noFill/>
                          </a:ln>
                        </pic:spPr>
                      </pic:pic>
                    </a:graphicData>
                  </a:graphic>
                </wp:inline>
              </w:drawing>
            </w:r>
          </w:p>
        </w:tc>
      </w:tr>
      <w:tr w14:paraId="73A3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shd w:val="clear" w:color="auto" w:fill="auto"/>
            <w:vAlign w:val="center"/>
          </w:tcPr>
          <w:p w14:paraId="6B0FD2D0">
            <w:pPr>
              <w:widowControl/>
              <w:spacing w:line="240" w:lineRule="auto"/>
              <w:ind w:firstLine="0" w:firstLineChars="0"/>
              <w:jc w:val="center"/>
              <w:rPr>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4256" w:type="dxa"/>
            <w:shd w:val="clear" w:color="auto" w:fill="auto"/>
            <w:vAlign w:val="center"/>
          </w:tcPr>
          <w:p w14:paraId="591772FE">
            <w:pPr>
              <w:snapToGrid w:val="0"/>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0AB4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2"/>
            <w:shd w:val="clear" w:color="auto" w:fill="auto"/>
          </w:tcPr>
          <w:p w14:paraId="5C46298D">
            <w:pPr>
              <w:snapToGrid w:val="0"/>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rFonts w:hint="eastAsia"/>
                <w:color w:val="000000" w:themeColor="text1"/>
                <w:kern w:val="0"/>
                <w:sz w:val="21"/>
                <w:szCs w:val="21"/>
                <w:lang w:bidi="ar"/>
                <w14:textFill>
                  <w14:solidFill>
                    <w14:schemeClr w14:val="tx1"/>
                  </w14:solidFill>
                </w14:textFill>
              </w:rPr>
              <w:t>19.5</w:t>
            </w:r>
            <w:r>
              <w:rPr>
                <w:color w:val="000000" w:themeColor="text1"/>
                <w:kern w:val="0"/>
                <w:sz w:val="21"/>
                <w:szCs w:val="21"/>
                <w:lang w:bidi="ar"/>
                <w14:textFill>
                  <w14:solidFill>
                    <w14:schemeClr w14:val="tx1"/>
                  </w14:solidFill>
                </w14:textFill>
              </w:rPr>
              <w:t>m</w:t>
            </w:r>
            <w:r>
              <w:rPr>
                <w:rFonts w:hint="eastAsia"/>
                <w:color w:val="000000" w:themeColor="text1"/>
                <w:kern w:val="0"/>
                <w:sz w:val="21"/>
                <w:szCs w:val="21"/>
                <w:lang w:bidi="ar"/>
                <w14:textFill>
                  <w14:solidFill>
                    <w14:schemeClr w14:val="tx1"/>
                  </w14:solidFill>
                </w14:textFill>
              </w:rPr>
              <w:t>时</w:t>
            </w:r>
            <w:r>
              <w:rPr>
                <w:rFonts w:hint="eastAsia"/>
                <w:color w:val="000000" w:themeColor="text1"/>
                <w:sz w:val="21"/>
                <w:szCs w:val="21"/>
                <w14:textFill>
                  <w14:solidFill>
                    <w14:schemeClr w14:val="tx1"/>
                  </w14:solidFill>
                </w14:textFill>
              </w:rPr>
              <w:t>（居民区）</w:t>
            </w:r>
            <w:r>
              <w:rPr>
                <w:rFonts w:hint="eastAsia" w:ascii="宋体" w:hAnsi="宋体" w:cs="宋体"/>
                <w:color w:val="000000" w:themeColor="text1"/>
                <w:kern w:val="0"/>
                <w:sz w:val="21"/>
                <w:szCs w:val="21"/>
                <w:lang w:bidi="ar"/>
                <w14:textFill>
                  <w14:solidFill>
                    <w14:schemeClr w14:val="tx1"/>
                  </w14:solidFill>
                </w14:textFill>
              </w:rPr>
              <w:t>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r w14:paraId="1B06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tcPr>
          <w:p w14:paraId="58BC8F35">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7145" cy="1508760"/>
                  <wp:effectExtent l="0" t="0" r="14605" b="15240"/>
                  <wp:docPr id="8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7"/>
                          <pic:cNvPicPr>
                            <a:picLocks noChangeAspect="1"/>
                          </pic:cNvPicPr>
                        </pic:nvPicPr>
                        <pic:blipFill>
                          <a:blip r:embed="rId81"/>
                          <a:stretch>
                            <a:fillRect/>
                          </a:stretch>
                        </pic:blipFill>
                        <pic:spPr>
                          <a:xfrm>
                            <a:off x="0" y="0"/>
                            <a:ext cx="2557145" cy="1508760"/>
                          </a:xfrm>
                          <a:prstGeom prst="rect">
                            <a:avLst/>
                          </a:prstGeom>
                          <a:noFill/>
                          <a:ln>
                            <a:noFill/>
                          </a:ln>
                        </pic:spPr>
                      </pic:pic>
                    </a:graphicData>
                  </a:graphic>
                </wp:inline>
              </w:drawing>
            </w:r>
          </w:p>
        </w:tc>
        <w:tc>
          <w:tcPr>
            <w:tcW w:w="4256" w:type="dxa"/>
          </w:tcPr>
          <w:p w14:paraId="54CEC270">
            <w:pPr>
              <w:snapToGrid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8415" cy="1511935"/>
                  <wp:effectExtent l="0" t="0" r="13335" b="12065"/>
                  <wp:docPr id="8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
                          <pic:cNvPicPr>
                            <a:picLocks noChangeAspect="1"/>
                          </pic:cNvPicPr>
                        </pic:nvPicPr>
                        <pic:blipFill>
                          <a:blip r:embed="rId82"/>
                          <a:stretch>
                            <a:fillRect/>
                          </a:stretch>
                        </pic:blipFill>
                        <pic:spPr>
                          <a:xfrm>
                            <a:off x="0" y="0"/>
                            <a:ext cx="2558415" cy="1511935"/>
                          </a:xfrm>
                          <a:prstGeom prst="rect">
                            <a:avLst/>
                          </a:prstGeom>
                          <a:noFill/>
                          <a:ln>
                            <a:noFill/>
                          </a:ln>
                        </pic:spPr>
                      </pic:pic>
                    </a:graphicData>
                  </a:graphic>
                </wp:inline>
              </w:drawing>
            </w:r>
          </w:p>
        </w:tc>
      </w:tr>
      <w:tr w14:paraId="1B09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5" w:type="dxa"/>
            <w:vAlign w:val="center"/>
          </w:tcPr>
          <w:p w14:paraId="565B8360">
            <w:pPr>
              <w:widowControl/>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工频电场强度</w:t>
            </w:r>
          </w:p>
        </w:tc>
        <w:tc>
          <w:tcPr>
            <w:tcW w:w="4256" w:type="dxa"/>
            <w:vAlign w:val="center"/>
          </w:tcPr>
          <w:p w14:paraId="0FCBDDD5">
            <w:pPr>
              <w:snapToGrid w:val="0"/>
              <w:spacing w:line="240" w:lineRule="auto"/>
              <w:ind w:firstLine="0" w:firstLineChars="0"/>
              <w:jc w:val="center"/>
              <w:rPr>
                <w:color w:val="000000" w:themeColor="text1"/>
                <w14:textFill>
                  <w14:solidFill>
                    <w14:schemeClr w14:val="tx1"/>
                  </w14:solidFill>
                </w14:textFill>
              </w:rPr>
            </w:pPr>
            <w:r>
              <w:rPr>
                <w:rFonts w:hint="eastAsia"/>
                <w:color w:val="000000" w:themeColor="text1"/>
                <w:sz w:val="21"/>
                <w:szCs w:val="21"/>
                <w14:textFill>
                  <w14:solidFill>
                    <w14:schemeClr w14:val="tx1"/>
                  </w14:solidFill>
                </w14:textFill>
              </w:rPr>
              <w:t>磁感应强度</w:t>
            </w:r>
          </w:p>
        </w:tc>
      </w:tr>
      <w:tr w14:paraId="33A2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2"/>
          </w:tcPr>
          <w:p w14:paraId="67D6B9CB">
            <w:pPr>
              <w:snapToGrid w:val="0"/>
              <w:spacing w:line="240" w:lineRule="auto"/>
              <w:ind w:firstLine="0" w:firstLineChars="0"/>
              <w:jc w:val="center"/>
              <w:rPr>
                <w:color w:val="000000" w:themeColor="text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导线高度</w:t>
            </w:r>
            <w:r>
              <w:rPr>
                <w:rFonts w:hint="eastAsia"/>
                <w:color w:val="000000" w:themeColor="text1"/>
                <w:kern w:val="0"/>
                <w:sz w:val="21"/>
                <w:szCs w:val="21"/>
                <w:lang w:bidi="ar"/>
                <w14:textFill>
                  <w14:solidFill>
                    <w14:schemeClr w14:val="tx1"/>
                  </w14:solidFill>
                </w14:textFill>
              </w:rPr>
              <w:t>34.</w:t>
            </w:r>
            <w:r>
              <w:rPr>
                <w:rFonts w:hint="eastAsia"/>
                <w:color w:val="000000" w:themeColor="text1"/>
                <w:kern w:val="0"/>
                <w:sz w:val="21"/>
                <w:szCs w:val="21"/>
                <w:lang w:val="en-US" w:eastAsia="zh-CN" w:bidi="ar"/>
                <w14:textFill>
                  <w14:solidFill>
                    <w14:schemeClr w14:val="tx1"/>
                  </w14:solidFill>
                </w14:textFill>
              </w:rPr>
              <w:t>2</w:t>
            </w:r>
            <w:r>
              <w:rPr>
                <w:color w:val="000000" w:themeColor="text1"/>
                <w:kern w:val="0"/>
                <w:sz w:val="21"/>
                <w:szCs w:val="21"/>
                <w:lang w:bidi="ar"/>
                <w14:textFill>
                  <w14:solidFill>
                    <w14:schemeClr w14:val="tx1"/>
                  </w14:solidFill>
                </w14:textFill>
              </w:rPr>
              <w:t>m</w:t>
            </w:r>
            <w:r>
              <w:rPr>
                <w:rFonts w:hint="eastAsia" w:ascii="宋体" w:hAnsi="宋体" w:cs="宋体"/>
                <w:color w:val="000000" w:themeColor="text1"/>
                <w:kern w:val="0"/>
                <w:sz w:val="21"/>
                <w:szCs w:val="21"/>
                <w:lang w:bidi="ar"/>
                <w14:textFill>
                  <w14:solidFill>
                    <w14:schemeClr w14:val="tx1"/>
                  </w14:solidFill>
                </w14:textFill>
              </w:rPr>
              <w:t>时地面</w:t>
            </w:r>
            <w:r>
              <w:rPr>
                <w:color w:val="000000" w:themeColor="text1"/>
                <w:kern w:val="0"/>
                <w:sz w:val="21"/>
                <w:szCs w:val="21"/>
                <w:lang w:bidi="ar"/>
                <w14:textFill>
                  <w14:solidFill>
                    <w14:schemeClr w14:val="tx1"/>
                  </w14:solidFill>
                </w14:textFill>
              </w:rPr>
              <w:t>1.5m</w:t>
            </w:r>
            <w:r>
              <w:rPr>
                <w:rFonts w:hint="eastAsia" w:ascii="宋体" w:hAnsi="宋体" w:cs="宋体"/>
                <w:color w:val="000000" w:themeColor="text1"/>
                <w:kern w:val="0"/>
                <w:sz w:val="21"/>
                <w:szCs w:val="21"/>
                <w:lang w:bidi="ar"/>
                <w14:textFill>
                  <w14:solidFill>
                    <w14:schemeClr w14:val="tx1"/>
                  </w14:solidFill>
                </w14:textFill>
              </w:rPr>
              <w:t>高度处</w:t>
            </w:r>
          </w:p>
        </w:tc>
      </w:tr>
    </w:tbl>
    <w:p w14:paraId="011C5AEB">
      <w:pPr>
        <w:ind w:firstLine="422"/>
        <w:rPr>
          <w:color w:val="000000" w:themeColor="text1"/>
          <w14:textFill>
            <w14:solidFill>
              <w14:schemeClr w14:val="tx1"/>
            </w14:solidFill>
          </w14:textFill>
        </w:rPr>
      </w:pPr>
      <w:r>
        <w:rPr>
          <w:rFonts w:hint="eastAsia"/>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 xml:space="preserve">12 </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同塔双回线路工频电场强度、磁感应强度分布图（750-SDJ塔型）</w:t>
      </w:r>
    </w:p>
    <w:p w14:paraId="37D8A1C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控制线下工频电场强度小于10kV/m所需最低线高</w:t>
      </w:r>
    </w:p>
    <w:p w14:paraId="0CC3B9F9">
      <w:pPr>
        <w:ind w:firstLine="480"/>
        <w:rPr>
          <w:color w:val="000000" w:themeColor="text1"/>
          <w14:textFill>
            <w14:solidFill>
              <w14:schemeClr w14:val="tx1"/>
            </w14:solidFill>
          </w14:textFill>
        </w:rPr>
      </w:pPr>
      <w:r>
        <w:rPr>
          <w:color w:val="000000" w:themeColor="text1"/>
          <w14:textFill>
            <w14:solidFill>
              <w14:schemeClr w14:val="tx1"/>
            </w14:solidFill>
          </w14:textFill>
        </w:rPr>
        <w:t>根据《电磁环境控制限值》</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GB8702-2014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，线路经过耕地、园地、牧草地、畜禽饲养地、道路等场所时，需控制地面1.5m高度处工频电场强度小于10kV/m。经预测，为使线下地面1.5m高度处工频电场强度小于10kV/m控制限值，相间距最</w:t>
      </w:r>
      <w:r>
        <w:rPr>
          <w:rFonts w:hint="eastAsia"/>
          <w:color w:val="000000" w:themeColor="text1"/>
          <w14:textFill>
            <w14:solidFill>
              <w14:schemeClr w14:val="tx1"/>
            </w14:solidFill>
          </w14:textFill>
        </w:rPr>
        <w:t>大</w:t>
      </w:r>
      <w:r>
        <w:rPr>
          <w:color w:val="000000" w:themeColor="text1"/>
          <w14:textFill>
            <w14:solidFill>
              <w14:schemeClr w14:val="tx1"/>
            </w14:solidFill>
          </w14:textFill>
        </w:rPr>
        <w:t>塔型导线最小对地高度需达到</w:t>
      </w:r>
      <w:r>
        <w:rPr>
          <w:rFonts w:hint="eastAsia"/>
          <w:color w:val="000000" w:themeColor="text1"/>
          <w14:textFill>
            <w14:solidFill>
              <w14:schemeClr w14:val="tx1"/>
            </w14:solidFill>
          </w14:textFill>
        </w:rPr>
        <w:t>16.</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m。相应线高工频电场强度、预测结果见表6.1</w:t>
      </w:r>
      <w:r>
        <w:rPr>
          <w:rFonts w:hint="eastAsia"/>
          <w:color w:val="000000" w:themeColor="text1"/>
          <w14:textFill>
            <w14:solidFill>
              <w14:schemeClr w14:val="tx1"/>
            </w14:solidFill>
          </w14:textFill>
        </w:rPr>
        <w:t>-13</w:t>
      </w:r>
      <w:r>
        <w:rPr>
          <w:color w:val="000000" w:themeColor="text1"/>
          <w14:textFill>
            <w14:solidFill>
              <w14:schemeClr w14:val="tx1"/>
            </w14:solidFill>
          </w14:textFill>
        </w:rPr>
        <w:t>。</w:t>
      </w:r>
    </w:p>
    <w:p w14:paraId="4BC24080">
      <w:pPr>
        <w:pStyle w:val="38"/>
        <w:ind w:firstLine="0" w:firstLineChars="0"/>
        <w:rPr>
          <w:color w:val="000000" w:themeColor="text1"/>
          <w14:textFill>
            <w14:solidFill>
              <w14:schemeClr w14:val="tx1"/>
            </w14:solidFill>
          </w14:textFill>
        </w:rPr>
      </w:pPr>
      <w:r>
        <w:rPr>
          <w:bCs/>
          <w:color w:val="000000" w:themeColor="text1"/>
          <w14:textFill>
            <w14:solidFill>
              <w14:schemeClr w14:val="tx1"/>
            </w14:solidFill>
          </w14:textFill>
        </w:rPr>
        <w:t>表6.1</w:t>
      </w:r>
      <w:r>
        <w:rPr>
          <w:rFonts w:hint="eastAsia"/>
          <w:bCs/>
          <w:color w:val="000000" w:themeColor="text1"/>
          <w14:textFill>
            <w14:solidFill>
              <w14:schemeClr w14:val="tx1"/>
            </w14:solidFill>
          </w14:textFill>
        </w:rPr>
        <w:t xml:space="preserve">-13  </w:t>
      </w:r>
      <w:r>
        <w:rPr>
          <w:bCs/>
          <w:color w:val="000000" w:themeColor="text1"/>
          <w14:textFill>
            <w14:solidFill>
              <w14:schemeClr w14:val="tx1"/>
            </w14:solidFill>
          </w14:textFill>
        </w:rPr>
        <w:t>控制工频电场强度小于10kV/m对应线高的工频电场强度预测结果</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3"/>
        <w:gridCol w:w="4195"/>
      </w:tblGrid>
      <w:tr w14:paraId="7B8B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76314D6E">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计算直线塔型</w:t>
            </w:r>
          </w:p>
        </w:tc>
        <w:tc>
          <w:tcPr>
            <w:tcW w:w="2462" w:type="pct"/>
          </w:tcPr>
          <w:p w14:paraId="5C747A7B">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相间距最大塔型（750-SDJ）</w:t>
            </w:r>
          </w:p>
        </w:tc>
      </w:tr>
      <w:tr w14:paraId="7E05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shd w:val="clear" w:color="auto" w:fill="auto"/>
          </w:tcPr>
          <w:p w14:paraId="39A7AAD4">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10kV/m对于最低线高，m</w:t>
            </w:r>
          </w:p>
        </w:tc>
        <w:tc>
          <w:tcPr>
            <w:tcW w:w="2462" w:type="pct"/>
            <w:shd w:val="clear" w:color="auto" w:fill="auto"/>
          </w:tcPr>
          <w:p w14:paraId="705167BF">
            <w:pPr>
              <w:pStyle w:val="40"/>
              <w:rPr>
                <w:rFonts w:hint="eastAsia"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16.</w:t>
            </w:r>
            <w:r>
              <w:rPr>
                <w:rFonts w:hint="eastAsia"/>
                <w:b w:val="0"/>
                <w:bCs/>
                <w:color w:val="000000" w:themeColor="text1"/>
                <w:lang w:val="en-US" w:eastAsia="zh-CN"/>
                <w14:textFill>
                  <w14:solidFill>
                    <w14:schemeClr w14:val="tx1"/>
                  </w14:solidFill>
                </w14:textFill>
              </w:rPr>
              <w:t>5</w:t>
            </w:r>
          </w:p>
        </w:tc>
      </w:tr>
      <w:tr w14:paraId="5FF9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45EE55EA">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最大值，kV/m</w:t>
            </w:r>
          </w:p>
        </w:tc>
        <w:tc>
          <w:tcPr>
            <w:tcW w:w="2462" w:type="pct"/>
          </w:tcPr>
          <w:p w14:paraId="6362CA59">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9.9</w:t>
            </w:r>
            <w:r>
              <w:rPr>
                <w:rFonts w:hint="eastAsia"/>
                <w:b w:val="0"/>
                <w:bCs/>
                <w:color w:val="000000" w:themeColor="text1"/>
                <w:lang w:val="en-US" w:eastAsia="zh-CN"/>
                <w14:textFill>
                  <w14:solidFill>
                    <w14:schemeClr w14:val="tx1"/>
                  </w14:solidFill>
                </w14:textFill>
              </w:rPr>
              <w:t>561</w:t>
            </w:r>
          </w:p>
        </w:tc>
      </w:tr>
      <w:tr w14:paraId="3F10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pct"/>
          </w:tcPr>
          <w:p w14:paraId="054C8972">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最大值点位置与边导线距离，m</w:t>
            </w:r>
          </w:p>
        </w:tc>
        <w:tc>
          <w:tcPr>
            <w:tcW w:w="2462" w:type="pct"/>
          </w:tcPr>
          <w:p w14:paraId="64417AC8">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9.01</w:t>
            </w:r>
          </w:p>
        </w:tc>
      </w:tr>
    </w:tbl>
    <w:p w14:paraId="6C06CEC5">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10kV</w:t>
      </w:r>
      <w:r>
        <w:rPr>
          <w:rFonts w:hint="eastAsia"/>
          <w:color w:val="000000" w:themeColor="text1"/>
          <w14:textFill>
            <w14:solidFill>
              <w14:schemeClr w14:val="tx1"/>
            </w14:solidFill>
          </w14:textFill>
        </w:rPr>
        <w:t>等值线</w:t>
      </w:r>
    </w:p>
    <w:p w14:paraId="5C373D59">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本次评价对线下离地</w:t>
      </w:r>
      <w:r>
        <w:rPr>
          <w:color w:val="000000" w:themeColor="text1"/>
          <w14:textFill>
            <w14:solidFill>
              <w14:schemeClr w14:val="tx1"/>
            </w14:solidFill>
          </w14:textFill>
        </w:rPr>
        <w:t>1.5m</w:t>
      </w:r>
      <w:r>
        <w:rPr>
          <w:rFonts w:hint="eastAsia"/>
          <w:color w:val="000000" w:themeColor="text1"/>
          <w14:textFill>
            <w14:solidFill>
              <w14:schemeClr w14:val="tx1"/>
            </w14:solidFill>
          </w14:textFill>
        </w:rPr>
        <w:t>处工频电场强度</w:t>
      </w:r>
      <w:r>
        <w:rPr>
          <w:color w:val="000000" w:themeColor="text1"/>
          <w14:textFill>
            <w14:solidFill>
              <w14:schemeClr w14:val="tx1"/>
            </w14:solidFill>
          </w14:textFill>
        </w:rPr>
        <w:t>10kV/m</w:t>
      </w:r>
      <w:r>
        <w:rPr>
          <w:rFonts w:hint="eastAsia"/>
          <w:color w:val="000000" w:themeColor="text1"/>
          <w14:textFill>
            <w14:solidFill>
              <w14:schemeClr w14:val="tx1"/>
            </w14:solidFill>
          </w14:textFill>
        </w:rPr>
        <w:t>等值线进行预测，以最保守角度选择，相间距最大塔型，并行线路距离</w:t>
      </w:r>
      <w:r>
        <w:rPr>
          <w:color w:val="000000" w:themeColor="text1"/>
          <w14:textFill>
            <w14:solidFill>
              <w14:schemeClr w14:val="tx1"/>
            </w14:solidFill>
          </w14:textFill>
        </w:rPr>
        <w:t>100m</w:t>
      </w:r>
      <w:r>
        <w:rPr>
          <w:rFonts w:hint="eastAsia"/>
          <w:color w:val="000000" w:themeColor="text1"/>
          <w14:textFill>
            <w14:solidFill>
              <w14:schemeClr w14:val="tx1"/>
            </w14:solidFill>
          </w14:textFill>
        </w:rPr>
        <w:t>进行预测。详见表</w:t>
      </w:r>
      <w:r>
        <w:rPr>
          <w:color w:val="000000" w:themeColor="text1"/>
          <w14:textFill>
            <w14:solidFill>
              <w14:schemeClr w14:val="tx1"/>
            </w14:solidFill>
          </w14:textFill>
        </w:rPr>
        <w:t>6.1-</w:t>
      </w:r>
      <w:r>
        <w:rPr>
          <w:rFonts w:hint="eastAsia"/>
          <w:color w:val="000000" w:themeColor="text1"/>
          <w14:textFill>
            <w14:solidFill>
              <w14:schemeClr w14:val="tx1"/>
            </w14:solidFill>
          </w14:textFill>
        </w:rPr>
        <w:t>14及图</w:t>
      </w:r>
      <w:r>
        <w:rPr>
          <w:color w:val="000000" w:themeColor="text1"/>
          <w14:textFill>
            <w14:solidFill>
              <w14:schemeClr w14:val="tx1"/>
            </w14:solidFill>
          </w14:textFill>
        </w:rPr>
        <w:t>6.1-</w:t>
      </w:r>
      <w:r>
        <w:rPr>
          <w:rFonts w:hint="eastAsia"/>
          <w:color w:val="000000" w:themeColor="text1"/>
          <w14:textFill>
            <w14:solidFill>
              <w14:schemeClr w14:val="tx1"/>
            </w14:solidFill>
          </w14:textFill>
        </w:rPr>
        <w:t>13。</w:t>
      </w:r>
    </w:p>
    <w:p w14:paraId="4E395AD2">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14</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 xml:space="preserve"> 相间距最大塔型工频电场强度</w:t>
      </w:r>
      <w:r>
        <w:rPr>
          <w:b/>
          <w:bCs/>
          <w:color w:val="000000" w:themeColor="text1"/>
          <w:sz w:val="21"/>
          <w:szCs w:val="21"/>
          <w14:textFill>
            <w14:solidFill>
              <w14:schemeClr w14:val="tx1"/>
            </w14:solidFill>
          </w14:textFill>
        </w:rPr>
        <w:t>10kV/m</w:t>
      </w:r>
      <w:r>
        <w:rPr>
          <w:rFonts w:hint="eastAsia"/>
          <w:b/>
          <w:bCs/>
          <w:color w:val="000000" w:themeColor="text1"/>
          <w:sz w:val="21"/>
          <w:szCs w:val="21"/>
          <w14:textFill>
            <w14:solidFill>
              <w14:schemeClr w14:val="tx1"/>
            </w14:solidFill>
          </w14:textFill>
        </w:rPr>
        <w:t>等值线预测结果</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1420"/>
        <w:gridCol w:w="1420"/>
        <w:gridCol w:w="1420"/>
        <w:gridCol w:w="1421"/>
      </w:tblGrid>
      <w:tr w14:paraId="7592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5"/>
          </w:tcPr>
          <w:p w14:paraId="095DFBD1">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地面</w:t>
            </w:r>
            <w:r>
              <w:rPr>
                <w:color w:val="000000" w:themeColor="text1"/>
                <w14:textFill>
                  <w14:solidFill>
                    <w14:schemeClr w14:val="tx1"/>
                  </w14:solidFill>
                </w14:textFill>
              </w:rPr>
              <w:t>1.5m</w:t>
            </w:r>
            <w:r>
              <w:rPr>
                <w:rFonts w:hint="eastAsia"/>
                <w:color w:val="000000" w:themeColor="text1"/>
                <w14:textFill>
                  <w14:solidFill>
                    <w14:schemeClr w14:val="tx1"/>
                  </w14:solidFill>
                </w14:textFill>
              </w:rPr>
              <w:t>高度处</w:t>
            </w:r>
          </w:p>
        </w:tc>
      </w:tr>
      <w:tr w14:paraId="66A7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tcPr>
          <w:p w14:paraId="02C93DED">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导线对地最小线高（</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5681" w:type="dxa"/>
            <w:gridSpan w:val="4"/>
          </w:tcPr>
          <w:p w14:paraId="7D5951E2">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满足10</w:t>
            </w:r>
            <w:r>
              <w:rPr>
                <w:color w:val="000000" w:themeColor="text1"/>
                <w14:textFill>
                  <w14:solidFill>
                    <w14:schemeClr w14:val="tx1"/>
                  </w14:solidFill>
                </w14:textFill>
              </w:rPr>
              <w:t>kV/m</w:t>
            </w:r>
            <w:r>
              <w:rPr>
                <w:rFonts w:hint="eastAsia"/>
                <w:color w:val="000000" w:themeColor="text1"/>
                <w14:textFill>
                  <w14:solidFill>
                    <w14:schemeClr w14:val="tx1"/>
                  </w14:solidFill>
                </w14:textFill>
              </w:rPr>
              <w:t>最小距离</w:t>
            </w:r>
          </w:p>
        </w:tc>
      </w:tr>
      <w:tr w14:paraId="0C75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tcPr>
          <w:p w14:paraId="3C11EBCD">
            <w:pPr>
              <w:pStyle w:val="40"/>
              <w:rPr>
                <w:color w:val="000000" w:themeColor="text1"/>
                <w14:textFill>
                  <w14:solidFill>
                    <w14:schemeClr w14:val="tx1"/>
                  </w14:solidFill>
                </w14:textFill>
              </w:rPr>
            </w:pPr>
          </w:p>
        </w:tc>
        <w:tc>
          <w:tcPr>
            <w:tcW w:w="2840" w:type="dxa"/>
            <w:gridSpan w:val="2"/>
          </w:tcPr>
          <w:p w14:paraId="168FE6E6">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距塔杆中心（</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2841" w:type="dxa"/>
            <w:gridSpan w:val="2"/>
          </w:tcPr>
          <w:p w14:paraId="2999CDB6">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距边导线（</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r>
      <w:tr w14:paraId="6C92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1603E5FB">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15.5</w:t>
            </w:r>
          </w:p>
        </w:tc>
        <w:tc>
          <w:tcPr>
            <w:tcW w:w="1420" w:type="dxa"/>
            <w:vAlign w:val="bottom"/>
          </w:tcPr>
          <w:p w14:paraId="2E9A90B9">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72.9</w:t>
            </w:r>
          </w:p>
        </w:tc>
        <w:tc>
          <w:tcPr>
            <w:tcW w:w="1420" w:type="dxa"/>
            <w:vAlign w:val="bottom"/>
          </w:tcPr>
          <w:p w14:paraId="7AAEC812">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72.7</w:t>
            </w:r>
          </w:p>
        </w:tc>
        <w:tc>
          <w:tcPr>
            <w:tcW w:w="1420" w:type="dxa"/>
            <w:shd w:val="clear" w:color="auto" w:fill="auto"/>
            <w:vAlign w:val="center"/>
          </w:tcPr>
          <w:p w14:paraId="1E3E4397">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50.91</w:t>
            </w:r>
          </w:p>
        </w:tc>
        <w:tc>
          <w:tcPr>
            <w:tcW w:w="1421" w:type="dxa"/>
            <w:vAlign w:val="center"/>
          </w:tcPr>
          <w:p w14:paraId="55B3C4CE">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50.71</w:t>
            </w:r>
          </w:p>
        </w:tc>
      </w:tr>
      <w:tr w14:paraId="527EF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3853767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15.7</w:t>
            </w:r>
          </w:p>
        </w:tc>
        <w:tc>
          <w:tcPr>
            <w:tcW w:w="1420" w:type="dxa"/>
            <w:vAlign w:val="bottom"/>
          </w:tcPr>
          <w:p w14:paraId="74F38146">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72.7</w:t>
            </w:r>
          </w:p>
        </w:tc>
        <w:tc>
          <w:tcPr>
            <w:tcW w:w="1420" w:type="dxa"/>
            <w:vAlign w:val="bottom"/>
          </w:tcPr>
          <w:p w14:paraId="3CB34B6C">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72.3</w:t>
            </w:r>
          </w:p>
        </w:tc>
        <w:tc>
          <w:tcPr>
            <w:tcW w:w="1420" w:type="dxa"/>
            <w:shd w:val="clear" w:color="auto" w:fill="auto"/>
            <w:vAlign w:val="center"/>
          </w:tcPr>
          <w:p w14:paraId="456144C7">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50.71</w:t>
            </w:r>
          </w:p>
        </w:tc>
        <w:tc>
          <w:tcPr>
            <w:tcW w:w="1421" w:type="dxa"/>
            <w:vAlign w:val="center"/>
          </w:tcPr>
          <w:p w14:paraId="3F985844">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50.31</w:t>
            </w:r>
          </w:p>
        </w:tc>
      </w:tr>
      <w:tr w14:paraId="53F8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6BEDB30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15.9</w:t>
            </w:r>
          </w:p>
        </w:tc>
        <w:tc>
          <w:tcPr>
            <w:tcW w:w="1420" w:type="dxa"/>
            <w:vAlign w:val="bottom"/>
          </w:tcPr>
          <w:p w14:paraId="18FAC6FA">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71.4</w:t>
            </w:r>
          </w:p>
        </w:tc>
        <w:tc>
          <w:tcPr>
            <w:tcW w:w="1420" w:type="dxa"/>
            <w:vAlign w:val="bottom"/>
          </w:tcPr>
          <w:p w14:paraId="67B022C9">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71.7</w:t>
            </w:r>
          </w:p>
        </w:tc>
        <w:tc>
          <w:tcPr>
            <w:tcW w:w="1420" w:type="dxa"/>
            <w:shd w:val="clear" w:color="auto" w:fill="auto"/>
            <w:vAlign w:val="center"/>
          </w:tcPr>
          <w:p w14:paraId="6B335B2C">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49.41</w:t>
            </w:r>
          </w:p>
        </w:tc>
        <w:tc>
          <w:tcPr>
            <w:tcW w:w="1421" w:type="dxa"/>
            <w:vAlign w:val="center"/>
          </w:tcPr>
          <w:p w14:paraId="2C3DA53D">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49.71</w:t>
            </w:r>
          </w:p>
        </w:tc>
      </w:tr>
      <w:tr w14:paraId="2886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10576047">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16.1</w:t>
            </w:r>
          </w:p>
        </w:tc>
        <w:tc>
          <w:tcPr>
            <w:tcW w:w="1420" w:type="dxa"/>
            <w:vAlign w:val="bottom"/>
          </w:tcPr>
          <w:p w14:paraId="03154429">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71.2</w:t>
            </w:r>
          </w:p>
        </w:tc>
        <w:tc>
          <w:tcPr>
            <w:tcW w:w="1420" w:type="dxa"/>
            <w:vAlign w:val="bottom"/>
          </w:tcPr>
          <w:p w14:paraId="61E48D7E">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70.6</w:t>
            </w:r>
          </w:p>
        </w:tc>
        <w:tc>
          <w:tcPr>
            <w:tcW w:w="1420" w:type="dxa"/>
            <w:shd w:val="clear" w:color="auto" w:fill="auto"/>
            <w:vAlign w:val="center"/>
          </w:tcPr>
          <w:p w14:paraId="18150840">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49.21</w:t>
            </w:r>
          </w:p>
        </w:tc>
        <w:tc>
          <w:tcPr>
            <w:tcW w:w="1421" w:type="dxa"/>
            <w:vAlign w:val="center"/>
          </w:tcPr>
          <w:p w14:paraId="79EA31D3">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48.61</w:t>
            </w:r>
          </w:p>
        </w:tc>
      </w:tr>
      <w:tr w14:paraId="52DE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45A2BC60">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16.3</w:t>
            </w:r>
          </w:p>
        </w:tc>
        <w:tc>
          <w:tcPr>
            <w:tcW w:w="1420" w:type="dxa"/>
            <w:vAlign w:val="bottom"/>
          </w:tcPr>
          <w:p w14:paraId="0F21868B">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70.2</w:t>
            </w:r>
          </w:p>
        </w:tc>
        <w:tc>
          <w:tcPr>
            <w:tcW w:w="1420" w:type="dxa"/>
            <w:vAlign w:val="bottom"/>
          </w:tcPr>
          <w:p w14:paraId="143349E8">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69.6</w:t>
            </w:r>
          </w:p>
        </w:tc>
        <w:tc>
          <w:tcPr>
            <w:tcW w:w="1420" w:type="dxa"/>
            <w:shd w:val="clear" w:color="auto" w:fill="auto"/>
            <w:vAlign w:val="center"/>
          </w:tcPr>
          <w:p w14:paraId="0EA700BB">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48.21</w:t>
            </w:r>
          </w:p>
        </w:tc>
        <w:tc>
          <w:tcPr>
            <w:tcW w:w="1421" w:type="dxa"/>
            <w:vAlign w:val="center"/>
          </w:tcPr>
          <w:p w14:paraId="37D3C94C">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47.61</w:t>
            </w:r>
          </w:p>
        </w:tc>
      </w:tr>
      <w:tr w14:paraId="7300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2F9A5623">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16.5</w:t>
            </w:r>
          </w:p>
        </w:tc>
        <w:tc>
          <w:tcPr>
            <w:tcW w:w="1420" w:type="dxa"/>
            <w:vAlign w:val="bottom"/>
          </w:tcPr>
          <w:p w14:paraId="4EE74DA3">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69.7</w:t>
            </w:r>
          </w:p>
        </w:tc>
        <w:tc>
          <w:tcPr>
            <w:tcW w:w="1420" w:type="dxa"/>
            <w:shd w:val="clear" w:color="auto" w:fill="auto"/>
            <w:vAlign w:val="bottom"/>
          </w:tcPr>
          <w:p w14:paraId="1A9A46A6">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69.3</w:t>
            </w:r>
          </w:p>
        </w:tc>
        <w:tc>
          <w:tcPr>
            <w:tcW w:w="1420" w:type="dxa"/>
            <w:shd w:val="clear" w:color="auto" w:fill="auto"/>
            <w:vAlign w:val="center"/>
          </w:tcPr>
          <w:p w14:paraId="2B951F61">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47.71</w:t>
            </w:r>
          </w:p>
        </w:tc>
        <w:tc>
          <w:tcPr>
            <w:tcW w:w="1421" w:type="dxa"/>
            <w:vAlign w:val="center"/>
          </w:tcPr>
          <w:p w14:paraId="12E1943F">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47.31</w:t>
            </w:r>
          </w:p>
        </w:tc>
      </w:tr>
    </w:tbl>
    <w:p w14:paraId="0812449A">
      <w:pPr>
        <w:snapToGrid w:val="0"/>
        <w:ind w:firstLine="0" w:firstLineChars="0"/>
        <w:rPr>
          <w:color w:val="000000" w:themeColor="text1"/>
          <w14:textFill>
            <w14:solidFill>
              <w14:schemeClr w14:val="tx1"/>
            </w14:solidFill>
          </w14:textFill>
        </w:rPr>
      </w:pPr>
    </w:p>
    <w:p w14:paraId="3FDE89CF">
      <w:pPr>
        <w:snapToGrid w:val="0"/>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26000" cy="2743200"/>
            <wp:effectExtent l="4445" t="4445" r="8255" b="14605"/>
            <wp:docPr id="9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57599713">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 xml:space="preserve">13 </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工频电场强度</w:t>
      </w:r>
      <w:r>
        <w:rPr>
          <w:b/>
          <w:bCs/>
          <w:color w:val="000000" w:themeColor="text1"/>
          <w:sz w:val="21"/>
          <w:szCs w:val="21"/>
          <w14:textFill>
            <w14:solidFill>
              <w14:schemeClr w14:val="tx1"/>
            </w14:solidFill>
          </w14:textFill>
        </w:rPr>
        <w:t>10kV/m</w:t>
      </w:r>
      <w:r>
        <w:rPr>
          <w:rFonts w:hint="eastAsia"/>
          <w:b/>
          <w:bCs/>
          <w:color w:val="000000" w:themeColor="text1"/>
          <w:sz w:val="21"/>
          <w:szCs w:val="21"/>
          <w14:textFill>
            <w14:solidFill>
              <w14:schemeClr w14:val="tx1"/>
            </w14:solidFill>
          </w14:textFill>
        </w:rPr>
        <w:t>预测结果分布图</w:t>
      </w:r>
    </w:p>
    <w:p w14:paraId="23059BA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5</w:t>
      </w: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4kV/m</w:t>
      </w:r>
      <w:r>
        <w:rPr>
          <w:rFonts w:hint="eastAsia" w:ascii="宋体" w:hAnsi="宋体" w:cs="宋体"/>
          <w:color w:val="000000" w:themeColor="text1"/>
          <w:kern w:val="0"/>
          <w:lang w:bidi="ar"/>
          <w14:textFill>
            <w14:solidFill>
              <w14:schemeClr w14:val="tx1"/>
            </w14:solidFill>
          </w14:textFill>
        </w:rPr>
        <w:t>等值线</w:t>
      </w:r>
    </w:p>
    <w:p w14:paraId="29322BA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本次评价对线下离地</w:t>
      </w:r>
      <w:r>
        <w:rPr>
          <w:color w:val="000000" w:themeColor="text1"/>
          <w:kern w:val="0"/>
          <w:lang w:bidi="ar"/>
          <w14:textFill>
            <w14:solidFill>
              <w14:schemeClr w14:val="tx1"/>
            </w14:solidFill>
          </w14:textFill>
        </w:rPr>
        <w:t>1.5m</w:t>
      </w:r>
      <w:r>
        <w:rPr>
          <w:rFonts w:hint="eastAsia" w:ascii="宋体" w:hAnsi="宋体" w:cs="宋体"/>
          <w:color w:val="000000" w:themeColor="text1"/>
          <w:kern w:val="0"/>
          <w:lang w:bidi="ar"/>
          <w14:textFill>
            <w14:solidFill>
              <w14:schemeClr w14:val="tx1"/>
            </w14:solidFill>
          </w14:textFill>
        </w:rPr>
        <w:t>处工频电场强度</w:t>
      </w:r>
      <w:r>
        <w:rPr>
          <w:color w:val="000000" w:themeColor="text1"/>
          <w:kern w:val="0"/>
          <w:lang w:bidi="ar"/>
          <w14:textFill>
            <w14:solidFill>
              <w14:schemeClr w14:val="tx1"/>
            </w14:solidFill>
          </w14:textFill>
        </w:rPr>
        <w:t>4kV/m</w:t>
      </w:r>
      <w:r>
        <w:rPr>
          <w:rFonts w:hint="eastAsia" w:ascii="宋体" w:hAnsi="宋体" w:cs="宋体"/>
          <w:color w:val="000000" w:themeColor="text1"/>
          <w:kern w:val="0"/>
          <w:lang w:bidi="ar"/>
          <w14:textFill>
            <w14:solidFill>
              <w14:schemeClr w14:val="tx1"/>
            </w14:solidFill>
          </w14:textFill>
        </w:rPr>
        <w:t>等值线进行预测，以最保守角度选择，相间距最大塔型，并行线路距离</w:t>
      </w:r>
      <w:r>
        <w:rPr>
          <w:color w:val="000000" w:themeColor="text1"/>
          <w:kern w:val="0"/>
          <w:lang w:bidi="ar"/>
          <w14:textFill>
            <w14:solidFill>
              <w14:schemeClr w14:val="tx1"/>
            </w14:solidFill>
          </w14:textFill>
        </w:rPr>
        <w:t>100m</w:t>
      </w:r>
      <w:r>
        <w:rPr>
          <w:rFonts w:hint="eastAsia" w:ascii="宋体" w:hAnsi="宋体" w:cs="宋体"/>
          <w:color w:val="000000" w:themeColor="text1"/>
          <w:kern w:val="0"/>
          <w:lang w:bidi="ar"/>
          <w14:textFill>
            <w14:solidFill>
              <w14:schemeClr w14:val="tx1"/>
            </w14:solidFill>
          </w14:textFill>
        </w:rPr>
        <w:t>进行预测。详见表</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15</w:t>
      </w:r>
      <w:r>
        <w:rPr>
          <w:rFonts w:hint="eastAsia" w:ascii="宋体" w:hAnsi="宋体" w:cs="宋体"/>
          <w:color w:val="000000" w:themeColor="text1"/>
          <w:kern w:val="0"/>
          <w:lang w:bidi="ar"/>
          <w14:textFill>
            <w14:solidFill>
              <w14:schemeClr w14:val="tx1"/>
            </w14:solidFill>
          </w14:textFill>
        </w:rPr>
        <w:t>及图</w:t>
      </w:r>
      <w:r>
        <w:rPr>
          <w:color w:val="000000" w:themeColor="text1"/>
          <w:kern w:val="0"/>
          <w:lang w:bidi="ar"/>
          <w14:textFill>
            <w14:solidFill>
              <w14:schemeClr w14:val="tx1"/>
            </w14:solidFill>
          </w14:textFill>
        </w:rPr>
        <w:t>6.1-</w:t>
      </w:r>
      <w:r>
        <w:rPr>
          <w:rFonts w:hint="eastAsia"/>
          <w:color w:val="000000" w:themeColor="text1"/>
          <w:kern w:val="0"/>
          <w:lang w:bidi="ar"/>
          <w14:textFill>
            <w14:solidFill>
              <w14:schemeClr w14:val="tx1"/>
            </w14:solidFill>
          </w14:textFill>
        </w:rPr>
        <w:t>14</w:t>
      </w:r>
      <w:r>
        <w:rPr>
          <w:rFonts w:hint="eastAsia" w:ascii="宋体" w:hAnsi="宋体" w:cs="宋体"/>
          <w:color w:val="000000" w:themeColor="text1"/>
          <w:kern w:val="0"/>
          <w:lang w:bidi="ar"/>
          <w14:textFill>
            <w14:solidFill>
              <w14:schemeClr w14:val="tx1"/>
            </w14:solidFill>
          </w14:textFill>
        </w:rPr>
        <w:t>。</w:t>
      </w:r>
    </w:p>
    <w:p w14:paraId="04C10CB9">
      <w:pPr>
        <w:widowControl/>
        <w:ind w:firstLine="0" w:firstLineChars="0"/>
        <w:jc w:val="center"/>
        <w:rPr>
          <w:color w:val="000000" w:themeColor="text1"/>
          <w:sz w:val="21"/>
          <w:szCs w:val="21"/>
          <w14:textFill>
            <w14:solidFill>
              <w14:schemeClr w14:val="tx1"/>
            </w14:solidFill>
          </w14:textFill>
        </w:rPr>
      </w:pPr>
      <w:r>
        <w:rPr>
          <w:b/>
          <w:bCs/>
          <w:color w:val="000000" w:themeColor="text1"/>
          <w:kern w:val="0"/>
          <w:sz w:val="21"/>
          <w:szCs w:val="21"/>
          <w:lang w:bidi="ar"/>
          <w14:textFill>
            <w14:solidFill>
              <w14:schemeClr w14:val="tx1"/>
            </w14:solidFill>
          </w14:textFill>
        </w:rPr>
        <w:t>表</w:t>
      </w:r>
      <w:r>
        <w:rPr>
          <w:rFonts w:eastAsia="TimesNewRomanPS-BoldMT"/>
          <w:b/>
          <w:bCs/>
          <w:color w:val="000000" w:themeColor="text1"/>
          <w:kern w:val="0"/>
          <w:sz w:val="21"/>
          <w:szCs w:val="21"/>
          <w:lang w:bidi="ar"/>
          <w14:textFill>
            <w14:solidFill>
              <w14:schemeClr w14:val="tx1"/>
            </w14:solidFill>
          </w14:textFill>
        </w:rPr>
        <w:t>6.1-1</w:t>
      </w:r>
      <w:r>
        <w:rPr>
          <w:rFonts w:hint="eastAsia" w:eastAsia="TimesNewRomanPS-BoldMT"/>
          <w:b/>
          <w:bCs/>
          <w:color w:val="000000" w:themeColor="text1"/>
          <w:kern w:val="0"/>
          <w:sz w:val="21"/>
          <w:szCs w:val="21"/>
          <w:lang w:bidi="ar"/>
          <w14:textFill>
            <w14:solidFill>
              <w14:schemeClr w14:val="tx1"/>
            </w14:solidFill>
          </w14:textFill>
        </w:rPr>
        <w:t>5</w:t>
      </w:r>
      <w:r>
        <w:rPr>
          <w:rFonts w:eastAsia="TimesNewRomanPS-BoldMT"/>
          <w:b/>
          <w:bCs/>
          <w:color w:val="000000" w:themeColor="text1"/>
          <w:kern w:val="0"/>
          <w:sz w:val="21"/>
          <w:szCs w:val="21"/>
          <w:lang w:bidi="ar"/>
          <w14:textFill>
            <w14:solidFill>
              <w14:schemeClr w14:val="tx1"/>
            </w14:solidFill>
          </w14:textFill>
        </w:rPr>
        <w:t xml:space="preserve"> </w:t>
      </w:r>
      <w:r>
        <w:rPr>
          <w:rFonts w:hint="eastAsia" w:eastAsia="TimesNewRomanPS-BoldMT"/>
          <w:b/>
          <w:bCs/>
          <w:color w:val="000000" w:themeColor="text1"/>
          <w:kern w:val="0"/>
          <w:sz w:val="21"/>
          <w:szCs w:val="21"/>
          <w:lang w:bidi="ar"/>
          <w14:textFill>
            <w14:solidFill>
              <w14:schemeClr w14:val="tx1"/>
            </w14:solidFill>
          </w14:textFill>
        </w:rPr>
        <w:t xml:space="preserve"> </w:t>
      </w:r>
      <w:r>
        <w:rPr>
          <w:b/>
          <w:bCs/>
          <w:color w:val="000000" w:themeColor="text1"/>
          <w:kern w:val="0"/>
          <w:sz w:val="21"/>
          <w:szCs w:val="21"/>
          <w:lang w:bidi="ar"/>
          <w14:textFill>
            <w14:solidFill>
              <w14:schemeClr w14:val="tx1"/>
            </w14:solidFill>
          </w14:textFill>
        </w:rPr>
        <w:t>相间距最大塔型工频电场强度</w:t>
      </w:r>
      <w:r>
        <w:rPr>
          <w:rFonts w:eastAsia="TimesNewRomanPS-BoldMT"/>
          <w:b/>
          <w:bCs/>
          <w:color w:val="000000" w:themeColor="text1"/>
          <w:kern w:val="0"/>
          <w:sz w:val="21"/>
          <w:szCs w:val="21"/>
          <w:lang w:bidi="ar"/>
          <w14:textFill>
            <w14:solidFill>
              <w14:schemeClr w14:val="tx1"/>
            </w14:solidFill>
          </w14:textFill>
        </w:rPr>
        <w:t>4kV/m</w:t>
      </w:r>
      <w:r>
        <w:rPr>
          <w:b/>
          <w:bCs/>
          <w:color w:val="000000" w:themeColor="text1"/>
          <w:kern w:val="0"/>
          <w:sz w:val="21"/>
          <w:szCs w:val="21"/>
          <w:lang w:bidi="ar"/>
          <w14:textFill>
            <w14:solidFill>
              <w14:schemeClr w14:val="tx1"/>
            </w14:solidFill>
          </w14:textFill>
        </w:rPr>
        <w:t>等值线预测结果</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1420"/>
        <w:gridCol w:w="1420"/>
        <w:gridCol w:w="1420"/>
        <w:gridCol w:w="1421"/>
      </w:tblGrid>
      <w:tr w14:paraId="2B80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5"/>
            <w:vAlign w:val="center"/>
          </w:tcPr>
          <w:p w14:paraId="7D11B606">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地面</w:t>
            </w:r>
            <w:r>
              <w:rPr>
                <w:color w:val="000000" w:themeColor="text1"/>
                <w14:textFill>
                  <w14:solidFill>
                    <w14:schemeClr w14:val="tx1"/>
                  </w14:solidFill>
                </w14:textFill>
              </w:rPr>
              <w:t>1.5m</w:t>
            </w:r>
            <w:r>
              <w:rPr>
                <w:rFonts w:hint="eastAsia"/>
                <w:color w:val="000000" w:themeColor="text1"/>
                <w14:textFill>
                  <w14:solidFill>
                    <w14:schemeClr w14:val="tx1"/>
                  </w14:solidFill>
                </w14:textFill>
              </w:rPr>
              <w:t>高度处</w:t>
            </w:r>
          </w:p>
        </w:tc>
      </w:tr>
      <w:tr w14:paraId="34CC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14:paraId="0D085294">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导线对地最小线高（</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5681" w:type="dxa"/>
            <w:gridSpan w:val="4"/>
            <w:vAlign w:val="center"/>
          </w:tcPr>
          <w:p w14:paraId="1354BC67">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满足4</w:t>
            </w:r>
            <w:r>
              <w:rPr>
                <w:color w:val="000000" w:themeColor="text1"/>
                <w14:textFill>
                  <w14:solidFill>
                    <w14:schemeClr w14:val="tx1"/>
                  </w14:solidFill>
                </w14:textFill>
              </w:rPr>
              <w:t>kV/m</w:t>
            </w:r>
            <w:r>
              <w:rPr>
                <w:rFonts w:hint="eastAsia"/>
                <w:color w:val="000000" w:themeColor="text1"/>
                <w14:textFill>
                  <w14:solidFill>
                    <w14:schemeClr w14:val="tx1"/>
                  </w14:solidFill>
                </w14:textFill>
              </w:rPr>
              <w:t>最小距离</w:t>
            </w:r>
          </w:p>
        </w:tc>
      </w:tr>
      <w:tr w14:paraId="561D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14:paraId="23FA7F84">
            <w:pPr>
              <w:pStyle w:val="40"/>
              <w:rPr>
                <w:color w:val="000000" w:themeColor="text1"/>
                <w14:textFill>
                  <w14:solidFill>
                    <w14:schemeClr w14:val="tx1"/>
                  </w14:solidFill>
                </w14:textFill>
              </w:rPr>
            </w:pPr>
          </w:p>
        </w:tc>
        <w:tc>
          <w:tcPr>
            <w:tcW w:w="2840" w:type="dxa"/>
            <w:gridSpan w:val="2"/>
            <w:vAlign w:val="center"/>
          </w:tcPr>
          <w:p w14:paraId="5BFAC23E">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距塔杆中心（</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c>
          <w:tcPr>
            <w:tcW w:w="2841" w:type="dxa"/>
            <w:gridSpan w:val="2"/>
            <w:vAlign w:val="center"/>
          </w:tcPr>
          <w:p w14:paraId="3DFAB5D1">
            <w:pPr>
              <w:pStyle w:val="40"/>
              <w:rPr>
                <w:color w:val="000000" w:themeColor="text1"/>
                <w14:textFill>
                  <w14:solidFill>
                    <w14:schemeClr w14:val="tx1"/>
                  </w14:solidFill>
                </w14:textFill>
              </w:rPr>
            </w:pPr>
            <w:r>
              <w:rPr>
                <w:rFonts w:hint="eastAsia"/>
                <w:color w:val="000000" w:themeColor="text1"/>
                <w14:textFill>
                  <w14:solidFill>
                    <w14:schemeClr w14:val="tx1"/>
                  </w14:solidFill>
                </w14:textFill>
              </w:rPr>
              <w:t>距边导线（</w:t>
            </w:r>
            <w:r>
              <w:rPr>
                <w:color w:val="000000" w:themeColor="text1"/>
                <w14:textFill>
                  <w14:solidFill>
                    <w14:schemeClr w14:val="tx1"/>
                  </w14:solidFill>
                </w14:textFill>
              </w:rPr>
              <w:t>m</w:t>
            </w:r>
            <w:r>
              <w:rPr>
                <w:rFonts w:hint="eastAsia"/>
                <w:color w:val="000000" w:themeColor="text1"/>
                <w14:textFill>
                  <w14:solidFill>
                    <w14:schemeClr w14:val="tx1"/>
                  </w14:solidFill>
                </w14:textFill>
              </w:rPr>
              <w:t>）</w:t>
            </w:r>
          </w:p>
        </w:tc>
      </w:tr>
      <w:tr w14:paraId="2008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530004AC">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19.5</w:t>
            </w:r>
          </w:p>
        </w:tc>
        <w:tc>
          <w:tcPr>
            <w:tcW w:w="1420" w:type="dxa"/>
            <w:vAlign w:val="bottom"/>
          </w:tcPr>
          <w:p w14:paraId="42C00AE2">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83.3</w:t>
            </w:r>
          </w:p>
        </w:tc>
        <w:tc>
          <w:tcPr>
            <w:tcW w:w="1420" w:type="dxa"/>
            <w:vAlign w:val="bottom"/>
          </w:tcPr>
          <w:p w14:paraId="5C6E561E">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82.8</w:t>
            </w:r>
          </w:p>
        </w:tc>
        <w:tc>
          <w:tcPr>
            <w:tcW w:w="1420" w:type="dxa"/>
            <w:vAlign w:val="center"/>
          </w:tcPr>
          <w:p w14:paraId="0FEAAAD2">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61.31</w:t>
            </w:r>
          </w:p>
        </w:tc>
        <w:tc>
          <w:tcPr>
            <w:tcW w:w="1421" w:type="dxa"/>
            <w:vAlign w:val="center"/>
          </w:tcPr>
          <w:p w14:paraId="38A7FFAC">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60.81</w:t>
            </w:r>
          </w:p>
        </w:tc>
      </w:tr>
      <w:tr w14:paraId="2F04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7930CBA1">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22.5</w:t>
            </w:r>
          </w:p>
        </w:tc>
        <w:tc>
          <w:tcPr>
            <w:tcW w:w="1420" w:type="dxa"/>
            <w:vAlign w:val="bottom"/>
          </w:tcPr>
          <w:p w14:paraId="6000E0E3">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81.7</w:t>
            </w:r>
          </w:p>
        </w:tc>
        <w:tc>
          <w:tcPr>
            <w:tcW w:w="1420" w:type="dxa"/>
            <w:vAlign w:val="bottom"/>
          </w:tcPr>
          <w:p w14:paraId="1CC058FB">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81.4</w:t>
            </w:r>
          </w:p>
        </w:tc>
        <w:tc>
          <w:tcPr>
            <w:tcW w:w="1420" w:type="dxa"/>
            <w:vAlign w:val="center"/>
          </w:tcPr>
          <w:p w14:paraId="1A2259F8">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59.71</w:t>
            </w:r>
          </w:p>
        </w:tc>
        <w:tc>
          <w:tcPr>
            <w:tcW w:w="1421" w:type="dxa"/>
            <w:vAlign w:val="center"/>
          </w:tcPr>
          <w:p w14:paraId="32E24F31">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59.41</w:t>
            </w:r>
          </w:p>
        </w:tc>
      </w:tr>
      <w:tr w14:paraId="6EC3D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6AC40DBD">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25.5</w:t>
            </w:r>
          </w:p>
        </w:tc>
        <w:tc>
          <w:tcPr>
            <w:tcW w:w="1420" w:type="dxa"/>
            <w:vAlign w:val="bottom"/>
          </w:tcPr>
          <w:p w14:paraId="7E4FF5E8">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79.7</w:t>
            </w:r>
          </w:p>
        </w:tc>
        <w:tc>
          <w:tcPr>
            <w:tcW w:w="1420" w:type="dxa"/>
            <w:vAlign w:val="bottom"/>
          </w:tcPr>
          <w:p w14:paraId="5C99B4D9">
            <w:pPr>
              <w:pStyle w:val="40"/>
              <w:rPr>
                <w:b w:val="0"/>
                <w:bCs/>
                <w:color w:val="000000" w:themeColor="text1"/>
                <w14:textFill>
                  <w14:solidFill>
                    <w14:schemeClr w14:val="tx1"/>
                  </w14:solidFill>
                </w14:textFill>
              </w:rPr>
            </w:pPr>
            <w:r>
              <w:rPr>
                <w:rFonts w:hint="eastAsia"/>
                <w:b w:val="0"/>
                <w:bCs/>
                <w:color w:val="000000" w:themeColor="text1"/>
                <w:lang w:val="en-US" w:eastAsia="zh-CN"/>
                <w14:textFill>
                  <w14:solidFill>
                    <w14:schemeClr w14:val="tx1"/>
                  </w14:solidFill>
                </w14:textFill>
              </w:rPr>
              <w:t>78.</w:t>
            </w:r>
            <w:r>
              <w:rPr>
                <w:rFonts w:hint="eastAsia"/>
                <w:b w:val="0"/>
                <w:bCs/>
                <w:color w:val="000000" w:themeColor="text1"/>
                <w14:textFill>
                  <w14:solidFill>
                    <w14:schemeClr w14:val="tx1"/>
                  </w14:solidFill>
                </w14:textFill>
              </w:rPr>
              <w:t>7</w:t>
            </w:r>
          </w:p>
        </w:tc>
        <w:tc>
          <w:tcPr>
            <w:tcW w:w="1420" w:type="dxa"/>
            <w:vAlign w:val="center"/>
          </w:tcPr>
          <w:p w14:paraId="0FBBD482">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57.71</w:t>
            </w:r>
          </w:p>
        </w:tc>
        <w:tc>
          <w:tcPr>
            <w:tcW w:w="1421" w:type="dxa"/>
            <w:vAlign w:val="center"/>
          </w:tcPr>
          <w:p w14:paraId="33D43361">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56.71</w:t>
            </w:r>
          </w:p>
        </w:tc>
      </w:tr>
      <w:tr w14:paraId="5159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69A4F937">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28.5</w:t>
            </w:r>
          </w:p>
        </w:tc>
        <w:tc>
          <w:tcPr>
            <w:tcW w:w="1420" w:type="dxa"/>
            <w:vAlign w:val="bottom"/>
          </w:tcPr>
          <w:p w14:paraId="78F9AB16">
            <w:pPr>
              <w:pStyle w:val="40"/>
              <w:ind w:firstLine="0" w:firstLineChars="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77.1</w:t>
            </w:r>
          </w:p>
        </w:tc>
        <w:tc>
          <w:tcPr>
            <w:tcW w:w="1420" w:type="dxa"/>
            <w:vAlign w:val="bottom"/>
          </w:tcPr>
          <w:p w14:paraId="1D2571B7">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73.7</w:t>
            </w:r>
          </w:p>
        </w:tc>
        <w:tc>
          <w:tcPr>
            <w:tcW w:w="1420" w:type="dxa"/>
            <w:vAlign w:val="center"/>
          </w:tcPr>
          <w:p w14:paraId="408843BC">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55.11</w:t>
            </w:r>
          </w:p>
        </w:tc>
        <w:tc>
          <w:tcPr>
            <w:tcW w:w="1421" w:type="dxa"/>
            <w:vAlign w:val="center"/>
          </w:tcPr>
          <w:p w14:paraId="469B5D5C">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51.71</w:t>
            </w:r>
          </w:p>
        </w:tc>
      </w:tr>
      <w:tr w14:paraId="2767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7083C206">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31.5</w:t>
            </w:r>
          </w:p>
        </w:tc>
        <w:tc>
          <w:tcPr>
            <w:tcW w:w="1420" w:type="dxa"/>
            <w:vAlign w:val="bottom"/>
          </w:tcPr>
          <w:p w14:paraId="09B755E5">
            <w:pPr>
              <w:pStyle w:val="40"/>
              <w:ind w:firstLine="0" w:firstLineChars="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72.3</w:t>
            </w:r>
          </w:p>
        </w:tc>
        <w:tc>
          <w:tcPr>
            <w:tcW w:w="1420" w:type="dxa"/>
            <w:vAlign w:val="bottom"/>
          </w:tcPr>
          <w:p w14:paraId="5966F374">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69.2</w:t>
            </w:r>
          </w:p>
        </w:tc>
        <w:tc>
          <w:tcPr>
            <w:tcW w:w="1420" w:type="dxa"/>
            <w:vAlign w:val="center"/>
          </w:tcPr>
          <w:p w14:paraId="5D968AFF">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50.31</w:t>
            </w:r>
          </w:p>
        </w:tc>
        <w:tc>
          <w:tcPr>
            <w:tcW w:w="1421" w:type="dxa"/>
            <w:vAlign w:val="center"/>
          </w:tcPr>
          <w:p w14:paraId="735F3B04">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47.21</w:t>
            </w:r>
          </w:p>
        </w:tc>
      </w:tr>
      <w:tr w14:paraId="654D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bottom"/>
          </w:tcPr>
          <w:p w14:paraId="5A386832">
            <w:pPr>
              <w:pStyle w:val="40"/>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34.2</w:t>
            </w:r>
          </w:p>
        </w:tc>
        <w:tc>
          <w:tcPr>
            <w:tcW w:w="1420" w:type="dxa"/>
            <w:vAlign w:val="bottom"/>
          </w:tcPr>
          <w:p w14:paraId="41023F19">
            <w:pPr>
              <w:pStyle w:val="40"/>
              <w:ind w:firstLine="0" w:firstLineChars="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40.1</w:t>
            </w:r>
          </w:p>
        </w:tc>
        <w:tc>
          <w:tcPr>
            <w:tcW w:w="1420" w:type="dxa"/>
            <w:vAlign w:val="bottom"/>
          </w:tcPr>
          <w:p w14:paraId="0E3B825E">
            <w:pPr>
              <w:pStyle w:val="40"/>
              <w:rPr>
                <w:rFonts w:hint="default"/>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68.6</w:t>
            </w:r>
          </w:p>
        </w:tc>
        <w:tc>
          <w:tcPr>
            <w:tcW w:w="1420" w:type="dxa"/>
            <w:vAlign w:val="center"/>
          </w:tcPr>
          <w:p w14:paraId="1C051349">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18.11</w:t>
            </w:r>
          </w:p>
        </w:tc>
        <w:tc>
          <w:tcPr>
            <w:tcW w:w="1421" w:type="dxa"/>
            <w:vAlign w:val="center"/>
          </w:tcPr>
          <w:p w14:paraId="09C1A7C5">
            <w:pPr>
              <w:pStyle w:val="40"/>
              <w:rPr>
                <w:rFonts w:hint="eastAsia"/>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46.61</w:t>
            </w:r>
          </w:p>
        </w:tc>
      </w:tr>
    </w:tbl>
    <w:p w14:paraId="74839434">
      <w:pPr>
        <w:snapToGrid w:val="0"/>
        <w:ind w:firstLine="0" w:firstLineChars="0"/>
        <w:jc w:val="center"/>
        <w:rPr>
          <w:color w:val="000000" w:themeColor="text1"/>
          <w14:textFill>
            <w14:solidFill>
              <w14:schemeClr w14:val="tx1"/>
            </w14:solidFill>
          </w14:textFill>
        </w:rPr>
      </w:pPr>
    </w:p>
    <w:p w14:paraId="17F3111F">
      <w:pPr>
        <w:snapToGrid w:val="0"/>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4826000" cy="2743200"/>
            <wp:effectExtent l="4445" t="4445" r="8255" b="14605"/>
            <wp:docPr id="9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2E4977E">
      <w:pPr>
        <w:snapToGrid w:val="0"/>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6.1-</w:t>
      </w:r>
      <w:r>
        <w:rPr>
          <w:rFonts w:hint="eastAsia"/>
          <w:b/>
          <w:bCs/>
          <w:color w:val="000000" w:themeColor="text1"/>
          <w:sz w:val="21"/>
          <w:szCs w:val="21"/>
          <w14:textFill>
            <w14:solidFill>
              <w14:schemeClr w14:val="tx1"/>
            </w14:solidFill>
          </w14:textFill>
        </w:rPr>
        <w:t xml:space="preserve">14 </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工频电场强度</w:t>
      </w:r>
      <w:r>
        <w:rPr>
          <w:b/>
          <w:bCs/>
          <w:color w:val="000000" w:themeColor="text1"/>
          <w:sz w:val="21"/>
          <w:szCs w:val="21"/>
          <w14:textFill>
            <w14:solidFill>
              <w14:schemeClr w14:val="tx1"/>
            </w14:solidFill>
          </w14:textFill>
        </w:rPr>
        <w:t>4kV/m</w:t>
      </w:r>
      <w:r>
        <w:rPr>
          <w:rFonts w:hint="eastAsia"/>
          <w:b/>
          <w:bCs/>
          <w:color w:val="000000" w:themeColor="text1"/>
          <w:sz w:val="21"/>
          <w:szCs w:val="21"/>
          <w14:textFill>
            <w14:solidFill>
              <w14:schemeClr w14:val="tx1"/>
            </w14:solidFill>
          </w14:textFill>
        </w:rPr>
        <w:t>预测结果分布图</w:t>
      </w:r>
    </w:p>
    <w:p w14:paraId="7694B6AE">
      <w:pPr>
        <w:ind w:firstLine="280" w:firstLineChars="10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6.1.4.4预测结果及评价</w:t>
      </w:r>
    </w:p>
    <w:p w14:paraId="42311F5B">
      <w:pPr>
        <w:ind w:firstLine="480"/>
        <w:rPr>
          <w:color w:val="000000" w:themeColor="text1"/>
          <w14:textFill>
            <w14:solidFill>
              <w14:schemeClr w14:val="tx1"/>
            </w14:solidFill>
          </w14:textFill>
        </w:rPr>
      </w:pPr>
      <w:r>
        <w:rPr>
          <w:color w:val="000000" w:themeColor="text1"/>
          <w14:textFill>
            <w14:solidFill>
              <w14:schemeClr w14:val="tx1"/>
            </w14:solidFill>
          </w14:textFill>
        </w:rPr>
        <w:t>（1）单回线路计算结果评价</w:t>
      </w:r>
    </w:p>
    <w:p w14:paraId="718CC07F">
      <w:pPr>
        <w:ind w:firstLine="480"/>
        <w:rPr>
          <w:rFonts w:hint="eastAsia" w:eastAsia="宋体"/>
          <w:color w:val="000000" w:themeColor="text1"/>
          <w:lang w:eastAsia="zh-CN"/>
          <w14:textFill>
            <w14:solidFill>
              <w14:schemeClr w14:val="tx1"/>
            </w14:solidFill>
          </w14:textFill>
        </w:rPr>
      </w:pPr>
      <w:r>
        <w:rPr>
          <w:color w:val="000000" w:themeColor="text1"/>
          <w14:textFill>
            <w14:solidFill>
              <w14:schemeClr w14:val="tx1"/>
            </w14:solidFill>
          </w14:textFill>
        </w:rPr>
        <w:t>当线路经过非居民区，按设计规定最低线高15.5m挂线时，预测最大工频电场强度为</w:t>
      </w:r>
      <w:r>
        <w:rPr>
          <w:rFonts w:hint="eastAsia"/>
          <w:color w:val="000000" w:themeColor="text1"/>
          <w:lang w:val="en-US" w:eastAsia="zh-CN"/>
          <w14:textFill>
            <w14:solidFill>
              <w14:schemeClr w14:val="tx1"/>
            </w14:solidFill>
          </w14:textFill>
        </w:rPr>
        <w:t>11.5796k</w:t>
      </w:r>
      <w:r>
        <w:rPr>
          <w:color w:val="000000" w:themeColor="text1"/>
          <w14:textFill>
            <w14:solidFill>
              <w14:schemeClr w14:val="tx1"/>
            </w14:solidFill>
          </w14:textFill>
        </w:rPr>
        <w:t>V/m</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最大</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为</w:t>
      </w:r>
      <w:r>
        <w:rPr>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8.1508</w:t>
      </w:r>
      <w:r>
        <w:rPr>
          <w:color w:val="000000" w:themeColor="text1"/>
          <w14:textFill>
            <w14:solidFill>
              <w14:schemeClr w14:val="tx1"/>
            </w14:solidFill>
          </w14:textFill>
        </w:rPr>
        <w:t>4μT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工频电场强度不符合《电磁环境控制限值》（GB8702-2014）中规定的≤10kV/m控制限值</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符合</w:t>
      </w:r>
      <w:r>
        <w:rPr>
          <w:color w:val="000000" w:themeColor="text1"/>
          <w14:textFill>
            <w14:solidFill>
              <w14:schemeClr w14:val="tx1"/>
            </w14:solidFill>
          </w14:textFill>
        </w:rPr>
        <w:t>≤100μT公众曝露控制限值</w:t>
      </w:r>
      <w:r>
        <w:rPr>
          <w:rFonts w:hint="eastAsia"/>
          <w:color w:val="000000" w:themeColor="text1"/>
          <w:lang w:eastAsia="zh-CN"/>
          <w14:textFill>
            <w14:solidFill>
              <w14:schemeClr w14:val="tx1"/>
            </w14:solidFill>
          </w14:textFill>
        </w:rPr>
        <w:t>。</w:t>
      </w:r>
    </w:p>
    <w:p w14:paraId="3FC1AB31">
      <w:pPr>
        <w:ind w:firstLine="480"/>
        <w:rPr>
          <w:color w:val="000000" w:themeColor="text1"/>
          <w14:textFill>
            <w14:solidFill>
              <w14:schemeClr w14:val="tx1"/>
            </w14:solidFill>
          </w14:textFill>
        </w:rPr>
      </w:pPr>
      <w:r>
        <w:rPr>
          <w:color w:val="000000" w:themeColor="text1"/>
          <w14:textFill>
            <w14:solidFill>
              <w14:schemeClr w14:val="tx1"/>
            </w14:solidFill>
          </w14:textFill>
        </w:rPr>
        <w:t>将最低线高抬升至</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7.1</w:t>
      </w:r>
      <w:r>
        <w:rPr>
          <w:color w:val="000000" w:themeColor="text1"/>
          <w14:textFill>
            <w14:solidFill>
              <w14:schemeClr w14:val="tx1"/>
            </w14:solidFill>
          </w14:textFill>
        </w:rPr>
        <w:t>m时，预测最大工频电场强度为9.</w:t>
      </w:r>
      <w:r>
        <w:rPr>
          <w:rFonts w:hint="eastAsia"/>
          <w:color w:val="000000" w:themeColor="text1"/>
          <w14:textFill>
            <w14:solidFill>
              <w14:schemeClr w14:val="tx1"/>
            </w14:solidFill>
          </w14:textFill>
        </w:rPr>
        <w:t>9</w:t>
      </w:r>
      <w:r>
        <w:rPr>
          <w:rFonts w:hint="eastAsia"/>
          <w:color w:val="000000" w:themeColor="text1"/>
          <w:lang w:val="en-US" w:eastAsia="zh-CN"/>
          <w14:textFill>
            <w14:solidFill>
              <w14:schemeClr w14:val="tx1"/>
            </w14:solidFill>
          </w14:textFill>
        </w:rPr>
        <w:t>902</w:t>
      </w:r>
      <w:r>
        <w:rPr>
          <w:color w:val="000000" w:themeColor="text1"/>
          <w14:textFill>
            <w14:solidFill>
              <w14:schemeClr w14:val="tx1"/>
            </w14:solidFill>
          </w14:textFill>
        </w:rPr>
        <w:t>kV/m</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最大</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为</w:t>
      </w:r>
      <w:r>
        <w:rPr>
          <w:color w:val="000000" w:themeColor="text1"/>
          <w14:textFill>
            <w14:solidFill>
              <w14:schemeClr w14:val="tx1"/>
            </w14:solidFill>
          </w14:textFill>
        </w:rPr>
        <w:t>25.</w:t>
      </w:r>
      <w:r>
        <w:rPr>
          <w:rFonts w:hint="eastAsia"/>
          <w:color w:val="000000" w:themeColor="text1"/>
          <w:lang w:val="en-US" w:eastAsia="zh-CN"/>
          <w14:textFill>
            <w14:solidFill>
              <w14:schemeClr w14:val="tx1"/>
            </w14:solidFill>
          </w14:textFill>
        </w:rPr>
        <w:t>0914</w:t>
      </w:r>
      <w:r>
        <w:rPr>
          <w:color w:val="000000" w:themeColor="text1"/>
          <w14:textFill>
            <w14:solidFill>
              <w14:schemeClr w14:val="tx1"/>
            </w14:solidFill>
          </w14:textFill>
        </w:rPr>
        <w:t>μT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工频电场强度符合≤10kV/m控制限值</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符合</w:t>
      </w:r>
      <w:r>
        <w:rPr>
          <w:color w:val="000000" w:themeColor="text1"/>
          <w14:textFill>
            <w14:solidFill>
              <w14:schemeClr w14:val="tx1"/>
            </w14:solidFill>
          </w14:textFill>
        </w:rPr>
        <w:t>≤100μT公众曝露控制限值。</w:t>
      </w:r>
    </w:p>
    <w:p w14:paraId="03D155BD">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当线路经过居民区，按设计规定最低线高19.5m挂线时，预测最大工频电场强度为</w:t>
      </w:r>
      <w:r>
        <w:rPr>
          <w:rFonts w:hint="eastAsia"/>
          <w:color w:val="000000" w:themeColor="text1"/>
          <w:lang w:val="en-US" w:eastAsia="zh-CN"/>
          <w14:textFill>
            <w14:solidFill>
              <w14:schemeClr w14:val="tx1"/>
            </w14:solidFill>
          </w14:textFill>
        </w:rPr>
        <w:t>8.1825k</w:t>
      </w:r>
      <w:r>
        <w:rPr>
          <w:color w:val="000000" w:themeColor="text1"/>
          <w14:textFill>
            <w14:solidFill>
              <w14:schemeClr w14:val="tx1"/>
            </w14:solidFill>
          </w14:textFill>
        </w:rPr>
        <w:t>V/m，不符合《电磁环境控制限值》（GB8702-2014）中规定的≤4kV/m公众曝露控制限值；预测最大工频磁感应强度为</w:t>
      </w:r>
      <w:r>
        <w:rPr>
          <w:rFonts w:hint="eastAsia"/>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1.3759</w:t>
      </w:r>
      <w:r>
        <w:rPr>
          <w:color w:val="000000" w:themeColor="text1"/>
          <w14:textFill>
            <w14:solidFill>
              <w14:schemeClr w14:val="tx1"/>
            </w14:solidFill>
          </w14:textFill>
        </w:rPr>
        <w:t>μT，符合《电磁环境控制限值》（GB8702-2014）中规定的≤100μT公众曝露控制限值。</w:t>
      </w:r>
    </w:p>
    <w:p w14:paraId="10D2EC76">
      <w:pPr>
        <w:ind w:firstLine="480"/>
        <w:rPr>
          <w:color w:val="000000" w:themeColor="text1"/>
          <w14:textFill>
            <w14:solidFill>
              <w14:schemeClr w14:val="tx1"/>
            </w14:solidFill>
          </w14:textFill>
        </w:rPr>
      </w:pPr>
      <w:r>
        <w:rPr>
          <w:color w:val="000000" w:themeColor="text1"/>
          <w14:textFill>
            <w14:solidFill>
              <w14:schemeClr w14:val="tx1"/>
            </w14:solidFill>
          </w14:textFill>
        </w:rPr>
        <w:t>将最低线高抬升至</w:t>
      </w:r>
      <w:r>
        <w:rPr>
          <w:rFonts w:hint="eastAsia"/>
          <w:color w:val="000000" w:themeColor="text1"/>
          <w:lang w:val="en-US" w:eastAsia="zh-CN"/>
          <w14:textFill>
            <w14:solidFill>
              <w14:schemeClr w14:val="tx1"/>
            </w14:solidFill>
          </w14:textFill>
        </w:rPr>
        <w:t>30.6</w:t>
      </w:r>
      <w:r>
        <w:rPr>
          <w:color w:val="000000" w:themeColor="text1"/>
          <w14:textFill>
            <w14:solidFill>
              <w14:schemeClr w14:val="tx1"/>
            </w14:solidFill>
          </w14:textFill>
        </w:rPr>
        <w:t>m时，预测最大工频电场强度为</w:t>
      </w:r>
      <w:r>
        <w:rPr>
          <w:rFonts w:hint="eastAsia"/>
          <w:color w:val="000000" w:themeColor="text1"/>
          <w14:textFill>
            <w14:solidFill>
              <w14:schemeClr w14:val="tx1"/>
            </w14:solidFill>
          </w14:textFill>
        </w:rPr>
        <w:t>3.977</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kV/m，最大工频磁感应强度为</w:t>
      </w:r>
      <w:r>
        <w:rPr>
          <w:rFonts w:hint="eastAsia"/>
          <w:color w:val="000000" w:themeColor="text1"/>
          <w14:textFill>
            <w14:solidFill>
              <w14:schemeClr w14:val="tx1"/>
            </w14:solidFill>
          </w14:textFill>
        </w:rPr>
        <w:t>11.</w:t>
      </w:r>
      <w:r>
        <w:rPr>
          <w:rFonts w:hint="eastAsia"/>
          <w:color w:val="000000" w:themeColor="text1"/>
          <w:lang w:val="en-US" w:eastAsia="zh-CN"/>
          <w14:textFill>
            <w14:solidFill>
              <w14:schemeClr w14:val="tx1"/>
            </w14:solidFill>
          </w14:textFill>
        </w:rPr>
        <w:t>425</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μT，符合≤4kV/m、≤100μT公众曝露控制限值。</w:t>
      </w:r>
    </w:p>
    <w:p w14:paraId="06C61235">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并行</w:t>
      </w:r>
      <w:r>
        <w:rPr>
          <w:color w:val="000000" w:themeColor="text1"/>
          <w14:textFill>
            <w14:solidFill>
              <w14:schemeClr w14:val="tx1"/>
            </w14:solidFill>
          </w14:textFill>
        </w:rPr>
        <w:t>单回线路计算结果评价</w:t>
      </w:r>
    </w:p>
    <w:p w14:paraId="77B53C97">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当线路经过非居民区，按设计规定最低线高15.5m挂线时，预测最大工频电场强度为</w:t>
      </w:r>
      <w:r>
        <w:rPr>
          <w:rFonts w:hint="eastAsia"/>
          <w:color w:val="000000" w:themeColor="text1"/>
          <w:lang w:val="en-US" w:eastAsia="zh-CN"/>
          <w14:textFill>
            <w14:solidFill>
              <w14:schemeClr w14:val="tx1"/>
            </w14:solidFill>
          </w14:textFill>
        </w:rPr>
        <w:t>11.6423k</w:t>
      </w:r>
      <w:r>
        <w:rPr>
          <w:color w:val="000000" w:themeColor="text1"/>
          <w14:textFill>
            <w14:solidFill>
              <w14:schemeClr w14:val="tx1"/>
            </w14:solidFill>
          </w14:textFill>
        </w:rPr>
        <w:t>V/m</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最大</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为26.8743</w:t>
      </w:r>
      <w:r>
        <w:rPr>
          <w:color w:val="000000" w:themeColor="text1"/>
          <w14:textFill>
            <w14:solidFill>
              <w14:schemeClr w14:val="tx1"/>
            </w14:solidFill>
          </w14:textFill>
        </w:rPr>
        <w:t>μT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工频电场强度不符合《电磁环境控制限值》（GB8702-2014）中规定的≤10kV/m控制限值</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符合</w:t>
      </w:r>
      <w:r>
        <w:rPr>
          <w:color w:val="000000" w:themeColor="text1"/>
          <w14:textFill>
            <w14:solidFill>
              <w14:schemeClr w14:val="tx1"/>
            </w14:solidFill>
          </w14:textFill>
        </w:rPr>
        <w:t>≤100μT公众曝露控制限值</w:t>
      </w:r>
      <w:r>
        <w:rPr>
          <w:rFonts w:hint="eastAsia"/>
          <w:color w:val="000000" w:themeColor="text1"/>
          <w:lang w:eastAsia="zh-CN"/>
          <w14:textFill>
            <w14:solidFill>
              <w14:schemeClr w14:val="tx1"/>
            </w14:solidFill>
          </w14:textFill>
        </w:rPr>
        <w:t>。</w:t>
      </w:r>
    </w:p>
    <w:p w14:paraId="7EE255AD">
      <w:pPr>
        <w:ind w:firstLine="480"/>
        <w:rPr>
          <w:color w:val="000000" w:themeColor="text1"/>
          <w14:textFill>
            <w14:solidFill>
              <w14:schemeClr w14:val="tx1"/>
            </w14:solidFill>
          </w14:textFill>
        </w:rPr>
      </w:pPr>
      <w:r>
        <w:rPr>
          <w:color w:val="000000" w:themeColor="text1"/>
          <w14:textFill>
            <w14:solidFill>
              <w14:schemeClr w14:val="tx1"/>
            </w14:solidFill>
          </w14:textFill>
        </w:rPr>
        <w:t>将最低线高抬升至</w:t>
      </w:r>
      <w:r>
        <w:rPr>
          <w:rFonts w:hint="eastAsia"/>
          <w:color w:val="000000" w:themeColor="text1"/>
          <w:lang w:val="en-US" w:eastAsia="zh-CN"/>
          <w14:textFill>
            <w14:solidFill>
              <w14:schemeClr w14:val="tx1"/>
            </w14:solidFill>
          </w14:textFill>
        </w:rPr>
        <w:t>17.2</w:t>
      </w:r>
      <w:r>
        <w:rPr>
          <w:color w:val="000000" w:themeColor="text1"/>
          <w14:textFill>
            <w14:solidFill>
              <w14:schemeClr w14:val="tx1"/>
            </w14:solidFill>
          </w14:textFill>
        </w:rPr>
        <w:t>m时，预测最大工频电场强度为9.</w:t>
      </w:r>
      <w:r>
        <w:rPr>
          <w:rFonts w:hint="eastAsia"/>
          <w:color w:val="000000" w:themeColor="text1"/>
          <w14:textFill>
            <w14:solidFill>
              <w14:schemeClr w14:val="tx1"/>
            </w14:solidFill>
          </w14:textFill>
        </w:rPr>
        <w:t>9</w:t>
      </w:r>
      <w:r>
        <w:rPr>
          <w:rFonts w:hint="eastAsia"/>
          <w:color w:val="000000" w:themeColor="text1"/>
          <w:lang w:val="en-US" w:eastAsia="zh-CN"/>
          <w14:textFill>
            <w14:solidFill>
              <w14:schemeClr w14:val="tx1"/>
            </w14:solidFill>
          </w14:textFill>
        </w:rPr>
        <w:t>690</w:t>
      </w:r>
      <w:r>
        <w:rPr>
          <w:color w:val="000000" w:themeColor="text1"/>
          <w14:textFill>
            <w14:solidFill>
              <w14:schemeClr w14:val="tx1"/>
            </w14:solidFill>
          </w14:textFill>
        </w:rPr>
        <w:t>kV/m</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最大</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为23.6159</w:t>
      </w:r>
      <w:r>
        <w:rPr>
          <w:color w:val="000000" w:themeColor="text1"/>
          <w14:textFill>
            <w14:solidFill>
              <w14:schemeClr w14:val="tx1"/>
            </w14:solidFill>
          </w14:textFill>
        </w:rPr>
        <w:t>μT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工频电场强度符合《电磁环境控制限值》（GB8702-2014）中规定的≤10kV/m控制限值</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符合</w:t>
      </w:r>
      <w:r>
        <w:rPr>
          <w:color w:val="000000" w:themeColor="text1"/>
          <w14:textFill>
            <w14:solidFill>
              <w14:schemeClr w14:val="tx1"/>
            </w14:solidFill>
          </w14:textFill>
        </w:rPr>
        <w:t>≤100μT公众曝露控制限值</w:t>
      </w:r>
      <w:r>
        <w:rPr>
          <w:rFonts w:hint="eastAsia"/>
          <w:color w:val="000000" w:themeColor="text1"/>
          <w:lang w:eastAsia="zh-CN"/>
          <w14:textFill>
            <w14:solidFill>
              <w14:schemeClr w14:val="tx1"/>
            </w14:solidFill>
          </w14:textFill>
        </w:rPr>
        <w:t>。</w:t>
      </w:r>
    </w:p>
    <w:p w14:paraId="4BFDD28C">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当线路经过居民区，按设计规定最低线高19.5m挂线时，预测最大工频电场强度为</w:t>
      </w:r>
      <w:r>
        <w:rPr>
          <w:rFonts w:hint="eastAsia"/>
          <w:color w:val="000000" w:themeColor="text1"/>
          <w:lang w:val="en-US" w:eastAsia="zh-CN"/>
          <w14:textFill>
            <w14:solidFill>
              <w14:schemeClr w14:val="tx1"/>
            </w14:solidFill>
          </w14:textFill>
        </w:rPr>
        <w:t>8.2523k</w:t>
      </w:r>
      <w:r>
        <w:rPr>
          <w:color w:val="000000" w:themeColor="text1"/>
          <w14:textFill>
            <w14:solidFill>
              <w14:schemeClr w14:val="tx1"/>
            </w14:solidFill>
          </w14:textFill>
        </w:rPr>
        <w:t>V/m，不符合《电磁环境控制限值》（GB8702-2014）中规定的≤4kV/m公众曝露控制限值；预测最大工频磁感应强度为</w:t>
      </w:r>
      <w:r>
        <w:rPr>
          <w:rFonts w:hint="eastAsia"/>
          <w:color w:val="000000" w:themeColor="text1"/>
          <w:lang w:val="en-US" w:eastAsia="zh-CN"/>
          <w14:textFill>
            <w14:solidFill>
              <w14:schemeClr w14:val="tx1"/>
            </w14:solidFill>
          </w14:textFill>
        </w:rPr>
        <w:t>20.0756</w:t>
      </w:r>
      <w:r>
        <w:rPr>
          <w:color w:val="000000" w:themeColor="text1"/>
          <w14:textFill>
            <w14:solidFill>
              <w14:schemeClr w14:val="tx1"/>
            </w14:solidFill>
          </w14:textFill>
        </w:rPr>
        <w:t>μT，符合《电磁环境控制限值》（GB8702-2014）中规定的≤100μT公众曝露控制限值。</w:t>
      </w:r>
    </w:p>
    <w:p w14:paraId="638312B5">
      <w:pPr>
        <w:ind w:firstLine="480"/>
        <w:rPr>
          <w:color w:val="000000" w:themeColor="text1"/>
          <w14:textFill>
            <w14:solidFill>
              <w14:schemeClr w14:val="tx1"/>
            </w14:solidFill>
          </w14:textFill>
        </w:rPr>
      </w:pPr>
      <w:r>
        <w:rPr>
          <w:color w:val="000000" w:themeColor="text1"/>
          <w14:textFill>
            <w14:solidFill>
              <w14:schemeClr w14:val="tx1"/>
            </w14:solidFill>
          </w14:textFill>
        </w:rPr>
        <w:t>将最低线高抬升至3</w:t>
      </w:r>
      <w:r>
        <w:rPr>
          <w:rFonts w:hint="eastAsia"/>
          <w:color w:val="000000" w:themeColor="text1"/>
          <w:lang w:val="en-US" w:eastAsia="zh-CN"/>
          <w14:textFill>
            <w14:solidFill>
              <w14:schemeClr w14:val="tx1"/>
            </w14:solidFill>
          </w14:textFill>
        </w:rPr>
        <w:t>0.9</w:t>
      </w:r>
      <w:r>
        <w:rPr>
          <w:color w:val="000000" w:themeColor="text1"/>
          <w14:textFill>
            <w14:solidFill>
              <w14:schemeClr w14:val="tx1"/>
            </w14:solidFill>
          </w14:textFill>
        </w:rPr>
        <w:t>m时，预测最大工频电场强度为</w:t>
      </w:r>
      <w:r>
        <w:rPr>
          <w:rFonts w:hint="eastAsia"/>
          <w:color w:val="000000" w:themeColor="text1"/>
          <w14:textFill>
            <w14:solidFill>
              <w14:schemeClr w14:val="tx1"/>
            </w14:solidFill>
          </w14:textFill>
        </w:rPr>
        <w:t>3.9</w:t>
      </w:r>
      <w:r>
        <w:rPr>
          <w:rFonts w:hint="eastAsia"/>
          <w:color w:val="000000" w:themeColor="text1"/>
          <w:lang w:val="en-US" w:eastAsia="zh-CN"/>
          <w14:textFill>
            <w14:solidFill>
              <w14:schemeClr w14:val="tx1"/>
            </w14:solidFill>
          </w14:textFill>
        </w:rPr>
        <w:t>986</w:t>
      </w:r>
      <w:r>
        <w:rPr>
          <w:color w:val="000000" w:themeColor="text1"/>
          <w14:textFill>
            <w14:solidFill>
              <w14:schemeClr w14:val="tx1"/>
            </w14:solidFill>
          </w14:textFill>
        </w:rPr>
        <w:t>kV/m，最大工频磁感应强度为</w:t>
      </w:r>
      <w:r>
        <w:rPr>
          <w:rFonts w:hint="eastAsia"/>
          <w:color w:val="000000" w:themeColor="text1"/>
          <w:lang w:val="en-US" w:eastAsia="zh-CN"/>
          <w14:textFill>
            <w14:solidFill>
              <w14:schemeClr w14:val="tx1"/>
            </w14:solidFill>
          </w14:textFill>
        </w:rPr>
        <w:t>10.1552</w:t>
      </w:r>
      <w:r>
        <w:rPr>
          <w:color w:val="000000" w:themeColor="text1"/>
          <w14:textFill>
            <w14:solidFill>
              <w14:schemeClr w14:val="tx1"/>
            </w14:solidFill>
          </w14:textFill>
        </w:rPr>
        <w:t>μT，符合≤4kV/m、≤100μT公众曝露控制限值。</w:t>
      </w:r>
    </w:p>
    <w:p w14:paraId="36719F64">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）同塔双回线路计算结果评价</w:t>
      </w:r>
    </w:p>
    <w:p w14:paraId="3FFC9FE9">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当线路经过非居民区，按设计规定最低线高15.5m挂线时，预测最大工频电场强度为</w:t>
      </w:r>
      <w:r>
        <w:rPr>
          <w:rFonts w:hint="eastAsia"/>
          <w:color w:val="000000" w:themeColor="text1"/>
          <w14:textFill>
            <w14:solidFill>
              <w14:schemeClr w14:val="tx1"/>
            </w14:solidFill>
          </w14:textFill>
        </w:rPr>
        <w:t>10.</w:t>
      </w:r>
      <w:r>
        <w:rPr>
          <w:rFonts w:hint="eastAsia"/>
          <w:color w:val="000000" w:themeColor="text1"/>
          <w:lang w:val="en-US" w:eastAsia="zh-CN"/>
          <w14:textFill>
            <w14:solidFill>
              <w14:schemeClr w14:val="tx1"/>
            </w14:solidFill>
          </w14:textFill>
        </w:rPr>
        <w:t>8577k</w:t>
      </w:r>
      <w:r>
        <w:rPr>
          <w:color w:val="000000" w:themeColor="text1"/>
          <w14:textFill>
            <w14:solidFill>
              <w14:schemeClr w14:val="tx1"/>
            </w14:solidFill>
          </w14:textFill>
        </w:rPr>
        <w:t>V/m</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最大</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为16.9602</w:t>
      </w:r>
      <w:r>
        <w:rPr>
          <w:color w:val="000000" w:themeColor="text1"/>
          <w14:textFill>
            <w14:solidFill>
              <w14:schemeClr w14:val="tx1"/>
            </w14:solidFill>
          </w14:textFill>
        </w:rPr>
        <w:t>μT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工频电场强度不符合《电磁环境控制限值》（GB8702-2014）中规定的≤10kV/m控制限值</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符合</w:t>
      </w:r>
      <w:r>
        <w:rPr>
          <w:color w:val="000000" w:themeColor="text1"/>
          <w14:textFill>
            <w14:solidFill>
              <w14:schemeClr w14:val="tx1"/>
            </w14:solidFill>
          </w14:textFill>
        </w:rPr>
        <w:t>≤100μT公众曝露控制限值</w:t>
      </w:r>
      <w:r>
        <w:rPr>
          <w:rFonts w:hint="eastAsia"/>
          <w:color w:val="000000" w:themeColor="text1"/>
          <w:lang w:eastAsia="zh-CN"/>
          <w14:textFill>
            <w14:solidFill>
              <w14:schemeClr w14:val="tx1"/>
            </w14:solidFill>
          </w14:textFill>
        </w:rPr>
        <w:t>。</w:t>
      </w:r>
    </w:p>
    <w:p w14:paraId="598F8CA7">
      <w:pPr>
        <w:ind w:firstLine="480"/>
        <w:rPr>
          <w:color w:val="000000" w:themeColor="text1"/>
          <w14:textFill>
            <w14:solidFill>
              <w14:schemeClr w14:val="tx1"/>
            </w14:solidFill>
          </w14:textFill>
        </w:rPr>
      </w:pPr>
      <w:r>
        <w:rPr>
          <w:color w:val="000000" w:themeColor="text1"/>
          <w14:textFill>
            <w14:solidFill>
              <w14:schemeClr w14:val="tx1"/>
            </w14:solidFill>
          </w14:textFill>
        </w:rPr>
        <w:t>将最低线高抬升至16.</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m时，预测最大工频电场强度为</w:t>
      </w:r>
      <w:r>
        <w:rPr>
          <w:rFonts w:hint="eastAsia"/>
          <w:color w:val="000000" w:themeColor="text1"/>
          <w14:textFill>
            <w14:solidFill>
              <w14:schemeClr w14:val="tx1"/>
            </w14:solidFill>
          </w14:textFill>
        </w:rPr>
        <w:t>9.9</w:t>
      </w:r>
      <w:r>
        <w:rPr>
          <w:rFonts w:hint="eastAsia"/>
          <w:color w:val="000000" w:themeColor="text1"/>
          <w:lang w:val="en-US" w:eastAsia="zh-CN"/>
          <w14:textFill>
            <w14:solidFill>
              <w14:schemeClr w14:val="tx1"/>
            </w14:solidFill>
          </w14:textFill>
        </w:rPr>
        <w:t>561</w:t>
      </w:r>
      <w:r>
        <w:rPr>
          <w:color w:val="000000" w:themeColor="text1"/>
          <w14:textFill>
            <w14:solidFill>
              <w14:schemeClr w14:val="tx1"/>
            </w14:solidFill>
          </w14:textFill>
        </w:rPr>
        <w:t>kV/m</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最大</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为15.4605</w:t>
      </w:r>
      <w:r>
        <w:rPr>
          <w:color w:val="000000" w:themeColor="text1"/>
          <w14:textFill>
            <w14:solidFill>
              <w14:schemeClr w14:val="tx1"/>
            </w14:solidFill>
          </w14:textFill>
        </w:rPr>
        <w:t>μT</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工频电场强度符合《电磁环境控制限值》（GB8702-2014）中规定的≤10kV/m控制限值</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工频磁感应强度</w:t>
      </w:r>
      <w:r>
        <w:rPr>
          <w:rFonts w:hint="eastAsia"/>
          <w:color w:val="000000" w:themeColor="text1"/>
          <w:lang w:val="en-US" w:eastAsia="zh-CN"/>
          <w14:textFill>
            <w14:solidFill>
              <w14:schemeClr w14:val="tx1"/>
            </w14:solidFill>
          </w14:textFill>
        </w:rPr>
        <w:t>符合</w:t>
      </w:r>
      <w:r>
        <w:rPr>
          <w:color w:val="000000" w:themeColor="text1"/>
          <w14:textFill>
            <w14:solidFill>
              <w14:schemeClr w14:val="tx1"/>
            </w14:solidFill>
          </w14:textFill>
        </w:rPr>
        <w:t>≤100μT公众曝露控制限值</w:t>
      </w:r>
      <w:r>
        <w:rPr>
          <w:rFonts w:hint="eastAsia"/>
          <w:color w:val="000000" w:themeColor="text1"/>
          <w:lang w:eastAsia="zh-CN"/>
          <w14:textFill>
            <w14:solidFill>
              <w14:schemeClr w14:val="tx1"/>
            </w14:solidFill>
          </w14:textFill>
        </w:rPr>
        <w:t>。</w:t>
      </w:r>
    </w:p>
    <w:p w14:paraId="7313C8CB">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当线路经过居民区，按设计规定最低线高19.5m挂线时，预测最大工频电场强度为</w:t>
      </w:r>
      <w:r>
        <w:rPr>
          <w:rFonts w:hint="eastAsia"/>
          <w:color w:val="000000" w:themeColor="text1"/>
          <w14:textFill>
            <w14:solidFill>
              <w14:schemeClr w14:val="tx1"/>
            </w14:solidFill>
          </w14:textFill>
        </w:rPr>
        <w:t>7.9</w:t>
      </w:r>
      <w:r>
        <w:rPr>
          <w:rFonts w:hint="eastAsia"/>
          <w:color w:val="000000" w:themeColor="text1"/>
          <w:lang w:val="en-US" w:eastAsia="zh-CN"/>
          <w14:textFill>
            <w14:solidFill>
              <w14:schemeClr w14:val="tx1"/>
            </w14:solidFill>
          </w14:textFill>
        </w:rPr>
        <w:t>285k</w:t>
      </w:r>
      <w:r>
        <w:rPr>
          <w:color w:val="000000" w:themeColor="text1"/>
          <w14:textFill>
            <w14:solidFill>
              <w14:schemeClr w14:val="tx1"/>
            </w14:solidFill>
          </w14:textFill>
        </w:rPr>
        <w:t>V/m，不符合《电磁环境控制限值》（GB8702-2014）中规定的≤4kV/m公众曝露控制限值；预测最大工频磁感应强度为</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2.0399</w:t>
      </w:r>
      <w:r>
        <w:rPr>
          <w:color w:val="000000" w:themeColor="text1"/>
          <w14:textFill>
            <w14:solidFill>
              <w14:schemeClr w14:val="tx1"/>
            </w14:solidFill>
          </w14:textFill>
        </w:rPr>
        <w:t>μT，符合《电磁环境控制限值》（GB8702-2014）中规定的≤100μT公众曝露控制限值。</w:t>
      </w:r>
    </w:p>
    <w:p w14:paraId="590B03B0">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将最低线高抬升至3</w:t>
      </w:r>
      <w:r>
        <w:rPr>
          <w:rFonts w:hint="eastAsia"/>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m时，预测最大工频电场强度为3.</w:t>
      </w:r>
      <w:r>
        <w:rPr>
          <w:rFonts w:hint="eastAsia"/>
          <w:color w:val="000000" w:themeColor="text1"/>
          <w14:textFill>
            <w14:solidFill>
              <w14:schemeClr w14:val="tx1"/>
            </w14:solidFill>
          </w14:textFill>
        </w:rPr>
        <w:t>99</w:t>
      </w:r>
      <w:r>
        <w:rPr>
          <w:rFonts w:hint="eastAsia"/>
          <w:color w:val="000000" w:themeColor="text1"/>
          <w:lang w:val="en-US" w:eastAsia="zh-CN"/>
          <w14:textFill>
            <w14:solidFill>
              <w14:schemeClr w14:val="tx1"/>
            </w14:solidFill>
          </w14:textFill>
        </w:rPr>
        <w:t>65</w:t>
      </w:r>
      <w:r>
        <w:rPr>
          <w:color w:val="000000" w:themeColor="text1"/>
          <w14:textFill>
            <w14:solidFill>
              <w14:schemeClr w14:val="tx1"/>
            </w14:solidFill>
          </w14:textFill>
        </w:rPr>
        <w:t>kV/m，最大工频磁感应强度为</w:t>
      </w:r>
      <w:r>
        <w:rPr>
          <w:rFonts w:hint="eastAsia"/>
          <w:color w:val="000000" w:themeColor="text1"/>
          <w14:textFill>
            <w14:solidFill>
              <w14:schemeClr w14:val="tx1"/>
            </w14:solidFill>
          </w14:textFill>
        </w:rPr>
        <w:t>5.9</w:t>
      </w:r>
      <w:r>
        <w:rPr>
          <w:rFonts w:hint="eastAsia"/>
          <w:color w:val="000000" w:themeColor="text1"/>
          <w:lang w:val="en-US" w:eastAsia="zh-CN"/>
          <w14:textFill>
            <w14:solidFill>
              <w14:schemeClr w14:val="tx1"/>
            </w14:solidFill>
          </w14:textFill>
        </w:rPr>
        <w:t>406</w:t>
      </w:r>
      <w:r>
        <w:rPr>
          <w:color w:val="000000" w:themeColor="text1"/>
          <w14:textFill>
            <w14:solidFill>
              <w14:schemeClr w14:val="tx1"/>
            </w14:solidFill>
          </w14:textFill>
        </w:rPr>
        <w:t>μT，符合≤4kV/m、≤100μT公众曝露控制限值。</w:t>
      </w:r>
    </w:p>
    <w:p w14:paraId="16995F2A">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6.1.5电磁环境敏感目标影响预测与评价</w:t>
      </w:r>
    </w:p>
    <w:p w14:paraId="14E49B23">
      <w:pPr>
        <w:snapToGrid w:val="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本项目</w:t>
      </w:r>
      <w:r>
        <w:rPr>
          <w:color w:val="000000" w:themeColor="text1"/>
          <w14:textFill>
            <w14:solidFill>
              <w14:schemeClr w14:val="tx1"/>
            </w14:solidFill>
          </w14:textFill>
        </w:rPr>
        <w:t>750</w:t>
      </w:r>
      <w:r>
        <w:rPr>
          <w:rFonts w:hint="eastAsia"/>
          <w:color w:val="000000" w:themeColor="text1"/>
          <w14:textFill>
            <w14:solidFill>
              <w14:schemeClr w14:val="tx1"/>
            </w14:solidFill>
          </w14:textFill>
        </w:rPr>
        <w:t>千伏架空输电线路边导线地面投影外两侧各50m范围内无电磁环境敏感目标。</w:t>
      </w:r>
    </w:p>
    <w:p w14:paraId="21204F21">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6.1.6交叉跨越影响分析</w:t>
      </w:r>
    </w:p>
    <w:p w14:paraId="6F886E6A">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6.1.6.1重要跨越电磁环境影响分析</w:t>
      </w:r>
    </w:p>
    <w:p w14:paraId="6000D902">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本项目输电线路跨越</w:t>
      </w:r>
      <w:r>
        <w:rPr>
          <w:rFonts w:hint="eastAsia"/>
          <w:color w:val="000000" w:themeColor="text1"/>
          <w14:textFill>
            <w14:solidFill>
              <w14:schemeClr w14:val="tx1"/>
            </w14:solidFill>
          </w14:textFill>
        </w:rPr>
        <w:t>电气化铁路6</w:t>
      </w:r>
      <w:r>
        <w:rPr>
          <w:color w:val="000000" w:themeColor="text1"/>
          <w14:textFill>
            <w14:solidFill>
              <w14:schemeClr w14:val="tx1"/>
            </w14:solidFill>
          </w14:textFill>
        </w:rPr>
        <w:t>次、</w:t>
      </w:r>
      <w:r>
        <w:rPr>
          <w:rFonts w:hint="eastAsia"/>
          <w:color w:val="000000" w:themeColor="text1"/>
          <w14:textFill>
            <w14:solidFill>
              <w14:schemeClr w14:val="tx1"/>
            </w14:solidFill>
          </w14:textFill>
        </w:rPr>
        <w:t>高速3次、</w:t>
      </w:r>
      <w:r>
        <w:rPr>
          <w:color w:val="000000" w:themeColor="text1"/>
          <w14:textFill>
            <w14:solidFill>
              <w14:schemeClr w14:val="tx1"/>
            </w14:solidFill>
          </w14:textFill>
        </w:rPr>
        <w:t>国道</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次、220千伏供电线路</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次、</w:t>
      </w:r>
      <w:r>
        <w:rPr>
          <w:rFonts w:hint="eastAsia"/>
          <w:color w:val="000000" w:themeColor="text1"/>
          <w14:textFill>
            <w14:solidFill>
              <w14:schemeClr w14:val="tx1"/>
            </w14:solidFill>
          </w14:textFill>
        </w:rPr>
        <w:t>11</w:t>
      </w:r>
      <w:r>
        <w:rPr>
          <w:color w:val="000000" w:themeColor="text1"/>
          <w14:textFill>
            <w14:solidFill>
              <w14:schemeClr w14:val="tx1"/>
            </w14:solidFill>
          </w14:textFill>
        </w:rPr>
        <w:t>0kV</w:t>
      </w:r>
      <w:r>
        <w:rPr>
          <w:rFonts w:hint="eastAsia"/>
          <w:color w:val="000000" w:themeColor="text1"/>
          <w14:textFill>
            <w14:solidFill>
              <w14:schemeClr w14:val="tx1"/>
            </w14:solidFill>
          </w14:textFill>
        </w:rPr>
        <w:t>电力线</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次、</w:t>
      </w:r>
      <w:r>
        <w:rPr>
          <w:rFonts w:hint="eastAsia"/>
          <w:color w:val="000000" w:themeColor="text1"/>
          <w14:textFill>
            <w14:solidFill>
              <w14:schemeClr w14:val="tx1"/>
            </w14:solidFill>
          </w14:textFill>
        </w:rPr>
        <w:t>35</w:t>
      </w:r>
      <w:r>
        <w:rPr>
          <w:color w:val="000000" w:themeColor="text1"/>
          <w14:textFill>
            <w14:solidFill>
              <w14:schemeClr w14:val="tx1"/>
            </w14:solidFill>
          </w14:textFill>
        </w:rPr>
        <w:t>kV</w:t>
      </w:r>
      <w:r>
        <w:rPr>
          <w:rFonts w:hint="eastAsia"/>
          <w:color w:val="000000" w:themeColor="text1"/>
          <w14:textFill>
            <w14:solidFill>
              <w14:schemeClr w14:val="tx1"/>
            </w14:solidFill>
          </w14:textFill>
        </w:rPr>
        <w:t>电力线6</w:t>
      </w:r>
      <w:r>
        <w:rPr>
          <w:color w:val="000000" w:themeColor="text1"/>
          <w14:textFill>
            <w14:solidFill>
              <w14:schemeClr w14:val="tx1"/>
            </w14:solidFill>
          </w14:textFill>
        </w:rPr>
        <w:t>次、10kV电</w:t>
      </w:r>
      <w:r>
        <w:rPr>
          <w:rFonts w:hint="eastAsia"/>
          <w:color w:val="000000" w:themeColor="text1"/>
          <w14:textFill>
            <w14:solidFill>
              <w14:schemeClr w14:val="tx1"/>
            </w14:solidFill>
          </w14:textFill>
        </w:rPr>
        <w:t>力线3</w:t>
      </w:r>
      <w:r>
        <w:rPr>
          <w:color w:val="000000" w:themeColor="text1"/>
          <w14:textFill>
            <w14:solidFill>
              <w14:schemeClr w14:val="tx1"/>
            </w14:solidFill>
          </w14:textFill>
        </w:rPr>
        <w:t>次、</w:t>
      </w:r>
      <w:r>
        <w:rPr>
          <w:rFonts w:hint="eastAsia"/>
          <w:color w:val="000000" w:themeColor="text1"/>
          <w14:textFill>
            <w14:solidFill>
              <w14:schemeClr w14:val="tx1"/>
            </w14:solidFill>
          </w14:textFill>
        </w:rPr>
        <w:t>架空线路6</w:t>
      </w:r>
      <w:r>
        <w:rPr>
          <w:color w:val="000000" w:themeColor="text1"/>
          <w14:textFill>
            <w14:solidFill>
              <w14:schemeClr w14:val="tx1"/>
            </w14:solidFill>
          </w14:textFill>
        </w:rPr>
        <w:t>次</w:t>
      </w:r>
      <w:r>
        <w:rPr>
          <w:rFonts w:hint="eastAsia"/>
          <w:color w:val="000000" w:themeColor="text1"/>
          <w14:textFill>
            <w14:solidFill>
              <w14:schemeClr w14:val="tx1"/>
            </w14:solidFill>
          </w14:textFill>
        </w:rPr>
        <w:t>、地埋光缆21次</w:t>
      </w:r>
      <w:r>
        <w:rPr>
          <w:color w:val="000000" w:themeColor="text1"/>
          <w14:textFill>
            <w14:solidFill>
              <w14:schemeClr w14:val="tx1"/>
            </w14:solidFill>
          </w14:textFill>
        </w:rPr>
        <w:t>。</w:t>
      </w:r>
    </w:p>
    <w:p w14:paraId="1B920F59">
      <w:pPr>
        <w:ind w:firstLine="480"/>
        <w:rPr>
          <w:color w:val="000000" w:themeColor="text1"/>
          <w14:textFill>
            <w14:solidFill>
              <w14:schemeClr w14:val="tx1"/>
            </w14:solidFill>
          </w14:textFill>
        </w:rPr>
      </w:pPr>
      <w:r>
        <w:rPr>
          <w:color w:val="000000" w:themeColor="text1"/>
          <w14:textFill>
            <w14:solidFill>
              <w14:schemeClr w14:val="tx1"/>
            </w14:solidFill>
          </w14:textFill>
        </w:rPr>
        <w:t>根据《110kV</w:t>
      </w:r>
      <w:r>
        <w:rPr>
          <w:rFonts w:hint="eastAsia"/>
          <w:color w:val="000000" w:themeColor="text1"/>
          <w:lang w:val="en-US" w:eastAsia="zh-CN"/>
          <w14:textFill>
            <w14:solidFill>
              <w14:schemeClr w14:val="tx1"/>
            </w14:solidFill>
          </w14:textFill>
        </w:rPr>
        <w:t>~</w:t>
      </w:r>
      <w:r>
        <w:rPr>
          <w:color w:val="000000" w:themeColor="text1"/>
          <w14:textFill>
            <w14:solidFill>
              <w14:schemeClr w14:val="tx1"/>
            </w14:solidFill>
          </w14:textFill>
        </w:rPr>
        <w:t>750kV架空输电线路设计规范》（GB50545-2010），750kV线路跨越等级公路时导线与地面距离大于19.5m，本项目单回输电线路跨越公路时最低线高按</w:t>
      </w:r>
      <w:r>
        <w:rPr>
          <w:rFonts w:hint="eastAsia"/>
          <w:color w:val="000000" w:themeColor="text1"/>
          <w:lang w:val="en-US" w:eastAsia="zh-CN"/>
          <w14:textFill>
            <w14:solidFill>
              <w14:schemeClr w14:val="tx1"/>
            </w14:solidFill>
          </w14:textFill>
        </w:rPr>
        <w:t>19.5</w:t>
      </w:r>
      <w:r>
        <w:rPr>
          <w:color w:val="000000" w:themeColor="text1"/>
          <w14:textFill>
            <w14:solidFill>
              <w14:schemeClr w14:val="tx1"/>
            </w14:solidFill>
          </w14:textFill>
        </w:rPr>
        <w:t>m设计，根据预测计算</w:t>
      </w:r>
      <w:r>
        <w:rPr>
          <w:rFonts w:hint="eastAsia"/>
          <w:color w:val="000000" w:themeColor="text1"/>
          <w:lang w:val="en-US" w:eastAsia="zh-CN"/>
          <w14:textFill>
            <w14:solidFill>
              <w14:schemeClr w14:val="tx1"/>
            </w14:solidFill>
          </w14:textFill>
        </w:rPr>
        <w:t>19.5</w:t>
      </w:r>
      <w:r>
        <w:rPr>
          <w:color w:val="000000" w:themeColor="text1"/>
          <w14:textFill>
            <w14:solidFill>
              <w14:schemeClr w14:val="tx1"/>
            </w14:solidFill>
          </w14:textFill>
        </w:rPr>
        <w:t>m导线高度情况下工频电场强度最大值为</w:t>
      </w:r>
      <w:r>
        <w:rPr>
          <w:rFonts w:hint="eastAsia"/>
          <w:color w:val="000000" w:themeColor="text1"/>
          <w:lang w:val="en-US" w:eastAsia="zh-CN"/>
          <w14:textFill>
            <w14:solidFill>
              <w14:schemeClr w14:val="tx1"/>
            </w14:solidFill>
          </w14:textFill>
        </w:rPr>
        <w:t>8.1825</w:t>
      </w:r>
      <w:r>
        <w:rPr>
          <w:color w:val="000000" w:themeColor="text1"/>
          <w14:textFill>
            <w14:solidFill>
              <w14:schemeClr w14:val="tx1"/>
            </w14:solidFill>
          </w14:textFill>
        </w:rPr>
        <w:t>kV/m，满足《电磁环境控制限值》（GB8702-2014）中线路下耕地、园地、牧草地、禽畜养殖地、养殖水面、道路电场强度控制限值为10kV/m的要求。</w:t>
      </w:r>
    </w:p>
    <w:p w14:paraId="4D639935">
      <w:pPr>
        <w:ind w:firstLine="480"/>
        <w:rPr>
          <w:color w:val="000000" w:themeColor="text1"/>
          <w14:textFill>
            <w14:solidFill>
              <w14:schemeClr w14:val="tx1"/>
            </w14:solidFill>
          </w14:textFill>
        </w:rPr>
      </w:pPr>
      <w:r>
        <w:rPr>
          <w:color w:val="000000" w:themeColor="text1"/>
          <w14:textFill>
            <w14:solidFill>
              <w14:schemeClr w14:val="tx1"/>
            </w14:solidFill>
          </w14:textFill>
        </w:rPr>
        <w:t>线路重要交叉跨越处导线高度在满足设计规程情况下，不会影响公路、铁路运营，且公路、铁路交叉跨越处无人群聚集场所，因此线路电磁场影响很小。</w:t>
      </w:r>
    </w:p>
    <w:p w14:paraId="00F951DC">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6.1.6.2线路交叉和并行线路环境影响分析</w:t>
      </w:r>
    </w:p>
    <w:p w14:paraId="77C622F6">
      <w:pPr>
        <w:ind w:firstLine="480"/>
        <w:rPr>
          <w:color w:val="000000" w:themeColor="text1"/>
          <w14:textFill>
            <w14:solidFill>
              <w14:schemeClr w14:val="tx1"/>
            </w14:solidFill>
          </w14:textFill>
        </w:rPr>
      </w:pPr>
      <w:r>
        <w:rPr>
          <w:color w:val="000000" w:themeColor="text1"/>
          <w14:textFill>
            <w14:solidFill>
              <w14:schemeClr w14:val="tx1"/>
            </w14:solidFill>
          </w14:textFill>
        </w:rPr>
        <w:t>根据《环境影响评价技术导则输变电》（HJ24-2020），多条330kV及以上电压等级的高架输电线路出现交叉跨越或并行时，可采用模式预测或类比监测的方法，从跨越净空距离、跨越方式、并行线路间距、环境敏感特性等方面，对电磁环境影响评价因子进行分析。</w:t>
      </w:r>
      <w:r>
        <w:rPr>
          <w:rFonts w:hint="eastAsia"/>
          <w:color w:val="000000" w:themeColor="text1"/>
          <w14:textFill>
            <w14:solidFill>
              <w14:schemeClr w14:val="tx1"/>
            </w14:solidFill>
          </w14:textFill>
        </w:rPr>
        <w:t>并行线路中心线间距小于</w:t>
      </w:r>
      <w:r>
        <w:rPr>
          <w:color w:val="000000" w:themeColor="text1"/>
          <w14:textFill>
            <w14:solidFill>
              <w14:schemeClr w14:val="tx1"/>
            </w14:solidFill>
          </w14:textFill>
        </w:rPr>
        <w:t>100m</w:t>
      </w:r>
      <w:r>
        <w:rPr>
          <w:rFonts w:hint="eastAsia"/>
          <w:color w:val="000000" w:themeColor="text1"/>
          <w14:textFill>
            <w14:solidFill>
              <w14:schemeClr w14:val="tx1"/>
            </w14:solidFill>
          </w14:textFill>
        </w:rPr>
        <w:t>时，应重点分析其对电磁环境敏感目标的综合影响，并给出对应的环境保护措施。</w:t>
      </w:r>
    </w:p>
    <w:p w14:paraId="0738207F">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本项目未穿（跨）越330kV及以上电压等级的架高输电线路，线路交叉对环境的电磁场影响很小。</w:t>
      </w:r>
      <w:r>
        <w:rPr>
          <w:rFonts w:hint="eastAsia"/>
          <w:color w:val="000000" w:themeColor="text1"/>
          <w14:textFill>
            <w14:solidFill>
              <w14:schemeClr w14:val="tx1"/>
            </w14:solidFill>
          </w14:textFill>
        </w:rPr>
        <w:t>本项目并行线路中心线间距为</w:t>
      </w:r>
      <w:r>
        <w:rPr>
          <w:color w:val="000000" w:themeColor="text1"/>
          <w14:textFill>
            <w14:solidFill>
              <w14:schemeClr w14:val="tx1"/>
            </w14:solidFill>
          </w14:textFill>
        </w:rPr>
        <w:t>100m</w:t>
      </w:r>
      <w:r>
        <w:rPr>
          <w:rFonts w:hint="eastAsia"/>
          <w:color w:val="000000" w:themeColor="text1"/>
          <w14:textFill>
            <w14:solidFill>
              <w14:schemeClr w14:val="tx1"/>
            </w14:solidFill>
          </w14:textFill>
        </w:rPr>
        <w:t>，线路沿线和并行线路中间无电磁环境敏感目标。</w:t>
      </w:r>
    </w:p>
    <w:p w14:paraId="0F436129">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6.1.7电磁环境影响评价结论</w:t>
      </w:r>
    </w:p>
    <w:p w14:paraId="26F31E24">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）由预测分析</w:t>
      </w:r>
      <w:r>
        <w:rPr>
          <w:rFonts w:hint="eastAsia"/>
          <w:color w:val="000000" w:themeColor="text1"/>
          <w14:textFill>
            <w14:solidFill>
              <w14:schemeClr w14:val="tx1"/>
            </w14:solidFill>
          </w14:textFill>
        </w:rPr>
        <w:t>可知</w:t>
      </w:r>
      <w:r>
        <w:rPr>
          <w:color w:val="000000" w:themeColor="text1"/>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当线路经过非居民区，</w:t>
      </w:r>
      <w:r>
        <w:rPr>
          <w:color w:val="000000" w:themeColor="text1"/>
          <w14:textFill>
            <w14:solidFill>
              <w14:schemeClr w14:val="tx1"/>
            </w14:solidFill>
          </w14:textFill>
        </w:rPr>
        <w:t>导线最小对地高度抬高后，产生的工频电场强度</w:t>
      </w:r>
      <w:r>
        <w:rPr>
          <w:rFonts w:hint="eastAsia"/>
          <w:color w:val="000000" w:themeColor="text1"/>
          <w:lang w:val="en-US" w:eastAsia="zh-CN"/>
          <w14:textFill>
            <w14:solidFill>
              <w14:schemeClr w14:val="tx1"/>
            </w14:solidFill>
          </w14:textFill>
        </w:rPr>
        <w:t>均</w:t>
      </w:r>
      <w:r>
        <w:rPr>
          <w:color w:val="000000" w:themeColor="text1"/>
          <w14:textFill>
            <w14:solidFill>
              <w14:schemeClr w14:val="tx1"/>
            </w14:solidFill>
          </w14:textFill>
        </w:rPr>
        <w:t>小于</w:t>
      </w:r>
      <w:r>
        <w:rPr>
          <w:rFonts w:hint="eastAsia"/>
          <w:color w:val="000000" w:themeColor="text1"/>
          <w:lang w:val="en-US" w:eastAsia="zh-CN"/>
          <w14:textFill>
            <w14:solidFill>
              <w14:schemeClr w14:val="tx1"/>
            </w14:solidFill>
          </w14:textFill>
        </w:rPr>
        <w:t>10kV/m</w:t>
      </w:r>
      <w:r>
        <w:rPr>
          <w:color w:val="000000" w:themeColor="text1"/>
          <w14:textFill>
            <w14:solidFill>
              <w14:schemeClr w14:val="tx1"/>
            </w14:solidFill>
          </w14:textFill>
        </w:rPr>
        <w:t>，工频磁感应强度小于100μT。</w:t>
      </w:r>
      <w:r>
        <w:rPr>
          <w:rFonts w:hint="default" w:ascii="Times New Roman" w:hAnsi="Times New Roman" w:cs="Times New Roman"/>
          <w:color w:val="000000" w:themeColor="text1"/>
          <w:sz w:val="24"/>
          <w:szCs w:val="24"/>
          <w14:textFill>
            <w14:solidFill>
              <w14:schemeClr w14:val="tx1"/>
            </w14:solidFill>
          </w14:textFill>
        </w:rPr>
        <w:t>当线路经过居民区，</w:t>
      </w:r>
      <w:r>
        <w:rPr>
          <w:color w:val="000000" w:themeColor="text1"/>
          <w14:textFill>
            <w14:solidFill>
              <w14:schemeClr w14:val="tx1"/>
            </w14:solidFill>
          </w14:textFill>
        </w:rPr>
        <w:t>导线最小对地高度抬高后，产生的工频电场强度小于</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kV/m，工频磁感应强度小于100μT。</w:t>
      </w:r>
    </w:p>
    <w:p w14:paraId="57D8000D">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本项目</w:t>
      </w:r>
      <w:r>
        <w:rPr>
          <w:color w:val="000000" w:themeColor="text1"/>
          <w14:textFill>
            <w14:solidFill>
              <w14:schemeClr w14:val="tx1"/>
            </w14:solidFill>
          </w14:textFill>
        </w:rPr>
        <w:t>输电线路电磁环境评价范围内不涉及电磁环境敏感目标。</w:t>
      </w:r>
    </w:p>
    <w:p w14:paraId="1486DCAD">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1003" w:name="_Toc30620"/>
      <w:bookmarkStart w:id="1004" w:name="_Toc1349"/>
      <w:bookmarkStart w:id="1005" w:name="_Toc5884"/>
      <w:bookmarkStart w:id="1006" w:name="_Toc4002"/>
      <w:bookmarkStart w:id="1007" w:name="_Toc26087"/>
      <w:bookmarkStart w:id="1008" w:name="_Toc10611"/>
      <w:bookmarkStart w:id="1009" w:name="_Toc23865"/>
      <w:bookmarkStart w:id="1010" w:name="_Toc12981"/>
      <w:bookmarkStart w:id="1011" w:name="_Toc19303"/>
      <w:bookmarkStart w:id="1012" w:name="_Toc12118"/>
      <w:bookmarkStart w:id="1013" w:name="_Toc10932"/>
      <w:r>
        <w:rPr>
          <w:color w:val="000000" w:themeColor="text1"/>
          <w:szCs w:val="32"/>
          <w14:textFill>
            <w14:solidFill>
              <w14:schemeClr w14:val="tx1"/>
            </w14:solidFill>
          </w14:textFill>
        </w:rPr>
        <w:t>6.2声环境影响预测与评价</w:t>
      </w:r>
      <w:bookmarkEnd w:id="1003"/>
      <w:bookmarkEnd w:id="1004"/>
      <w:bookmarkEnd w:id="1005"/>
      <w:bookmarkEnd w:id="1006"/>
      <w:bookmarkEnd w:id="1007"/>
      <w:bookmarkEnd w:id="1008"/>
      <w:bookmarkEnd w:id="1009"/>
      <w:bookmarkEnd w:id="1010"/>
      <w:bookmarkEnd w:id="1011"/>
      <w:bookmarkEnd w:id="1012"/>
      <w:bookmarkEnd w:id="1013"/>
    </w:p>
    <w:p w14:paraId="14CC862F">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6.2.1线路类比评价</w:t>
      </w:r>
    </w:p>
    <w:p w14:paraId="0544686F">
      <w:pP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6.2.1.1选择类比对象</w:t>
      </w:r>
    </w:p>
    <w:p w14:paraId="2C671602">
      <w:pPr>
        <w:pStyle w:val="67"/>
        <w:shd w:val="clear"/>
        <w:ind w:firstLineChars="0"/>
        <w:rPr>
          <w:color w:val="000000" w:themeColor="text1"/>
          <w14:textFill>
            <w14:solidFill>
              <w14:schemeClr w14:val="tx1"/>
            </w14:solidFill>
          </w14:textFill>
        </w:rPr>
      </w:pPr>
      <w:r>
        <w:rPr>
          <w:color w:val="000000" w:themeColor="text1"/>
          <w14:textFill>
            <w14:solidFill>
              <w14:schemeClr w14:val="tx1"/>
            </w14:solidFill>
          </w14:textFill>
        </w:rPr>
        <w:t>本工程选取750kV</w:t>
      </w:r>
      <w:r>
        <w:rPr>
          <w:rFonts w:hint="eastAsia"/>
          <w:color w:val="000000" w:themeColor="text1"/>
          <w14:textFill>
            <w14:solidFill>
              <w14:schemeClr w14:val="tx1"/>
            </w14:solidFill>
          </w14:textFill>
        </w:rPr>
        <w:t>彩渠Ⅱ线、</w:t>
      </w:r>
      <w:r>
        <w:rPr>
          <w:color w:val="000000" w:themeColor="text1"/>
          <w14:textFill>
            <w14:solidFill>
              <w14:schemeClr w14:val="tx1"/>
            </w14:solidFill>
          </w14:textFill>
        </w:rPr>
        <w:t>750kV</w:t>
      </w:r>
      <w:r>
        <w:rPr>
          <w:rFonts w:hint="eastAsia"/>
          <w:color w:val="000000" w:themeColor="text1"/>
          <w14:textFill>
            <w14:solidFill>
              <w14:schemeClr w14:val="tx1"/>
            </w14:solidFill>
          </w14:textFill>
        </w:rPr>
        <w:t>渠蒋</w:t>
      </w:r>
      <w:r>
        <w:rPr>
          <w:color w:val="000000" w:themeColor="text1"/>
          <w14:textFill>
            <w14:solidFill>
              <w14:schemeClr w14:val="tx1"/>
            </w14:solidFill>
          </w14:textFill>
        </w:rPr>
        <w:t>II</w:t>
      </w:r>
      <w:r>
        <w:rPr>
          <w:rFonts w:hint="eastAsia"/>
          <w:color w:val="000000" w:themeColor="text1"/>
          <w14:textFill>
            <w14:solidFill>
              <w14:schemeClr w14:val="tx1"/>
            </w14:solidFill>
          </w14:textFill>
        </w:rPr>
        <w:t>线</w:t>
      </w:r>
      <w:r>
        <w:rPr>
          <w:color w:val="000000" w:themeColor="text1"/>
          <w14:textFill>
            <w14:solidFill>
              <w14:schemeClr w14:val="tx1"/>
            </w14:solidFill>
          </w14:textFill>
        </w:rPr>
        <w:t>作为新建单回并行线路声环境影响的类比对象</w:t>
      </w:r>
      <w:r>
        <w:rPr>
          <w:rFonts w:hint="eastAsia"/>
          <w:color w:val="000000" w:themeColor="text1"/>
          <w14:textFill>
            <w14:solidFill>
              <w14:schemeClr w14:val="tx1"/>
            </w14:solidFill>
          </w14:textFill>
        </w:rPr>
        <w:t>，并行</w:t>
      </w:r>
      <w:r>
        <w:rPr>
          <w:color w:val="000000" w:themeColor="text1"/>
          <w14:textFill>
            <w14:solidFill>
              <w14:schemeClr w14:val="tx1"/>
            </w14:solidFill>
          </w14:textFill>
        </w:rPr>
        <w:t>同塔双回</w:t>
      </w:r>
      <w:r>
        <w:rPr>
          <w:rFonts w:hint="eastAsia"/>
          <w:color w:val="000000" w:themeColor="text1"/>
          <w14:textFill>
            <w14:solidFill>
              <w14:schemeClr w14:val="tx1"/>
            </w14:solidFill>
          </w14:textFill>
        </w:rPr>
        <w:t>线路</w:t>
      </w:r>
      <w:r>
        <w:rPr>
          <w:color w:val="000000" w:themeColor="text1"/>
          <w14:textFill>
            <w14:solidFill>
              <w14:schemeClr w14:val="tx1"/>
            </w14:solidFill>
          </w14:textFill>
        </w:rPr>
        <w:t>类比乌格一线、乌格</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2 \* ROMAN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II</w:t>
      </w:r>
      <w:r>
        <w:rPr>
          <w:color w:val="000000" w:themeColor="text1"/>
          <w14:textFill>
            <w14:solidFill>
              <w14:schemeClr w14:val="tx1"/>
            </w14:solidFill>
          </w14:textFill>
        </w:rPr>
        <w:fldChar w:fldCharType="end"/>
      </w:r>
      <w:r>
        <w:rPr>
          <w:color w:val="000000" w:themeColor="text1"/>
          <w14:textFill>
            <w14:solidFill>
              <w14:schemeClr w14:val="tx1"/>
            </w14:solidFill>
          </w14:textFill>
        </w:rPr>
        <w:t>线</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类比对象与本工程线路电压等级、架设方式、相序排列方式、导线分裂数、导线型号均相同。因此，本环评选择该类比对象分析750kV单回并行线路</w:t>
      </w:r>
      <w:r>
        <w:rPr>
          <w:rFonts w:hint="eastAsia"/>
          <w:color w:val="000000" w:themeColor="text1"/>
          <w14:textFill>
            <w14:solidFill>
              <w14:schemeClr w14:val="tx1"/>
            </w14:solidFill>
          </w14:textFill>
        </w:rPr>
        <w:t>、并行同塔双回线路</w:t>
      </w:r>
      <w:r>
        <w:rPr>
          <w:color w:val="000000" w:themeColor="text1"/>
          <w14:textFill>
            <w14:solidFill>
              <w14:schemeClr w14:val="tx1"/>
            </w14:solidFill>
          </w14:textFill>
        </w:rPr>
        <w:t>下方噪声分布规律，是合理可行的。</w:t>
      </w:r>
    </w:p>
    <w:p w14:paraId="09C42099">
      <w:pPr>
        <w:pStyle w:val="67"/>
        <w:shd w:val="clear"/>
        <w:ind w:firstLine="482"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本工程拟建</w:t>
      </w:r>
      <w:r>
        <w:rPr>
          <w:color w:val="000000" w:themeColor="text1"/>
          <w14:textFill>
            <w14:solidFill>
              <w14:schemeClr w14:val="tx1"/>
            </w14:solidFill>
          </w14:textFill>
        </w:rPr>
        <w:t>单回</w:t>
      </w:r>
      <w:r>
        <w:rPr>
          <w:rFonts w:hint="eastAsia"/>
          <w:color w:val="000000" w:themeColor="text1"/>
          <w14:textFill>
            <w14:solidFill>
              <w14:schemeClr w14:val="tx1"/>
            </w14:solidFill>
          </w14:textFill>
        </w:rPr>
        <w:t>并行</w:t>
      </w:r>
      <w:r>
        <w:rPr>
          <w:color w:val="000000" w:themeColor="text1"/>
          <w14:textFill>
            <w14:solidFill>
              <w14:schemeClr w14:val="tx1"/>
            </w14:solidFill>
          </w14:textFill>
        </w:rPr>
        <w:t>线路</w:t>
      </w:r>
      <w:r>
        <w:rPr>
          <w:rFonts w:hint="eastAsia"/>
          <w:color w:val="000000" w:themeColor="text1"/>
          <w14:textFill>
            <w14:solidFill>
              <w14:schemeClr w14:val="tx1"/>
            </w14:solidFill>
          </w14:textFill>
        </w:rPr>
        <w:t>、并行同塔双回线路</w:t>
      </w:r>
      <w:r>
        <w:rPr>
          <w:color w:val="000000" w:themeColor="text1"/>
          <w14:textFill>
            <w14:solidFill>
              <w14:schemeClr w14:val="tx1"/>
            </w14:solidFill>
          </w14:textFill>
        </w:rPr>
        <w:t>与类比对象的相关参数对比情况见</w:t>
      </w:r>
      <w:r>
        <w:rPr>
          <w:rFonts w:hint="eastAsia"/>
          <w:color w:val="000000" w:themeColor="text1"/>
          <w14:textFill>
            <w14:solidFill>
              <w14:schemeClr w14:val="tx1"/>
            </w14:solidFill>
          </w14:textFill>
        </w:rPr>
        <w:t>表6.2-1</w:t>
      </w:r>
      <w:r>
        <w:rPr>
          <w:color w:val="000000" w:themeColor="text1"/>
          <w14:textFill>
            <w14:solidFill>
              <w14:schemeClr w14:val="tx1"/>
            </w14:solidFill>
          </w14:textFill>
        </w:rPr>
        <w:t>。</w:t>
      </w:r>
    </w:p>
    <w:p w14:paraId="44234734">
      <w:pPr>
        <w:pStyle w:val="7"/>
        <w:spacing w:before="0"/>
        <w:ind w:firstLine="454"/>
        <w:rPr>
          <w:rFonts w:ascii="Times New Roman" w:hAnsi="Times New Roman" w:eastAsia="宋体" w:cs="Times New Roman"/>
          <w:color w:val="000000" w:themeColor="text1"/>
          <w:sz w:val="21"/>
          <w:szCs w:val="21"/>
          <w14:textFill>
            <w14:solidFill>
              <w14:schemeClr w14:val="tx1"/>
            </w14:solidFill>
          </w14:textFill>
        </w:rPr>
      </w:pPr>
      <w:bookmarkStart w:id="1014" w:name="_Ref177543516"/>
      <w:r>
        <w:rPr>
          <w:rFonts w:ascii="Times New Roman" w:hAnsi="Times New Roman" w:eastAsia="宋体" w:cs="Times New Roman"/>
          <w:color w:val="000000" w:themeColor="text1"/>
          <w:sz w:val="21"/>
          <w:szCs w:val="21"/>
          <w14:textFill>
            <w14:solidFill>
              <w14:schemeClr w14:val="tx1"/>
            </w14:solidFill>
          </w14:textFill>
        </w:rPr>
        <w:t>表</w:t>
      </w:r>
      <w:r>
        <w:rPr>
          <w:rFonts w:ascii="Times New Roman" w:hAnsi="Times New Roman" w:eastAsia="宋体" w:cs="Times New Roman"/>
          <w:color w:val="000000" w:themeColor="text1"/>
          <w:sz w:val="21"/>
          <w:szCs w:val="21"/>
          <w14:textFill>
            <w14:solidFill>
              <w14:schemeClr w14:val="tx1"/>
            </w14:solidFill>
          </w14:textFill>
        </w:rPr>
        <w:fldChar w:fldCharType="begin"/>
      </w:r>
      <w:r>
        <w:rPr>
          <w:rFonts w:ascii="Times New Roman" w:hAnsi="Times New Roman" w:eastAsia="宋体" w:cs="Times New Roman"/>
          <w:color w:val="000000" w:themeColor="text1"/>
          <w:sz w:val="21"/>
          <w:szCs w:val="21"/>
          <w14:textFill>
            <w14:solidFill>
              <w14:schemeClr w14:val="tx1"/>
            </w14:solidFill>
          </w14:textFill>
        </w:rPr>
        <w:instrText xml:space="preserve"> STYLEREF 1 \s </w:instrText>
      </w:r>
      <w:r>
        <w:rPr>
          <w:rFonts w:ascii="Times New Roman" w:hAnsi="Times New Roman" w:eastAsia="宋体" w:cs="Times New Roman"/>
          <w:color w:val="000000" w:themeColor="text1"/>
          <w:sz w:val="21"/>
          <w:szCs w:val="21"/>
          <w14:textFill>
            <w14:solidFill>
              <w14:schemeClr w14:val="tx1"/>
            </w14:solidFill>
          </w14:textFill>
        </w:rPr>
        <w:fldChar w:fldCharType="separate"/>
      </w:r>
      <w:r>
        <w:rPr>
          <w:rFonts w:ascii="Times New Roman" w:hAnsi="Times New Roman" w:eastAsia="宋体" w:cs="Times New Roman"/>
          <w:color w:val="000000" w:themeColor="text1"/>
          <w:sz w:val="21"/>
          <w:szCs w:val="21"/>
          <w14:textFill>
            <w14:solidFill>
              <w14:schemeClr w14:val="tx1"/>
            </w14:solidFill>
          </w14:textFill>
        </w:rPr>
        <w:t>6</w:t>
      </w:r>
      <w:r>
        <w:rPr>
          <w:rFonts w:ascii="Times New Roman" w:hAnsi="Times New Roman" w:eastAsia="宋体" w:cs="Times New Roman"/>
          <w:color w:val="000000" w:themeColor="text1"/>
          <w:sz w:val="21"/>
          <w:szCs w:val="21"/>
          <w14:textFill>
            <w14:solidFill>
              <w14:schemeClr w14:val="tx1"/>
            </w14:solidFill>
          </w14:textFill>
        </w:rPr>
        <w:fldChar w:fldCharType="end"/>
      </w:r>
      <w:bookmarkEnd w:id="1014"/>
      <w:r>
        <w:rPr>
          <w:rFonts w:hint="eastAsia" w:ascii="Times New Roman" w:hAnsi="Times New Roman" w:eastAsia="宋体" w:cs="Times New Roman"/>
          <w:color w:val="000000" w:themeColor="text1"/>
          <w:sz w:val="21"/>
          <w:szCs w:val="21"/>
          <w14:textFill>
            <w14:solidFill>
              <w14:schemeClr w14:val="tx1"/>
            </w14:solidFill>
          </w14:textFill>
        </w:rPr>
        <w:t xml:space="preserve">.2-1  </w:t>
      </w:r>
      <w:r>
        <w:rPr>
          <w:rFonts w:ascii="Times New Roman" w:hAnsi="Times New Roman" w:eastAsia="宋体" w:cs="Times New Roman"/>
          <w:color w:val="000000" w:themeColor="text1"/>
          <w:sz w:val="21"/>
          <w:szCs w:val="21"/>
          <w14:textFill>
            <w14:solidFill>
              <w14:schemeClr w14:val="tx1"/>
            </w14:solidFill>
          </w14:textFill>
        </w:rPr>
        <w:t>线路与类比对象的可比性分析情况表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1832"/>
        <w:gridCol w:w="32"/>
        <w:gridCol w:w="1803"/>
        <w:gridCol w:w="1801"/>
        <w:gridCol w:w="1806"/>
      </w:tblGrid>
      <w:tr w14:paraId="2591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186F6385">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项目</w:t>
            </w:r>
          </w:p>
        </w:tc>
        <w:tc>
          <w:tcPr>
            <w:tcW w:w="1094" w:type="pct"/>
            <w:gridSpan w:val="2"/>
            <w:tcBorders>
              <w:left w:val="single" w:color="auto" w:sz="4" w:space="0"/>
            </w:tcBorders>
            <w:vAlign w:val="center"/>
          </w:tcPr>
          <w:p w14:paraId="04499FB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本工程750kV单回并行线路</w:t>
            </w:r>
          </w:p>
        </w:tc>
        <w:tc>
          <w:tcPr>
            <w:tcW w:w="1058" w:type="pct"/>
            <w:vAlign w:val="center"/>
          </w:tcPr>
          <w:p w14:paraId="177FE986">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75</w:t>
            </w:r>
            <w:r>
              <w:rPr>
                <w:color w:val="000000" w:themeColor="text1"/>
                <w:sz w:val="21"/>
                <w:szCs w:val="21"/>
                <w14:textFill>
                  <w14:solidFill>
                    <w14:schemeClr w14:val="tx1"/>
                  </w14:solidFill>
                </w14:textFill>
              </w:rPr>
              <w:t>0kV</w:t>
            </w:r>
            <w:r>
              <w:rPr>
                <w:rFonts w:hint="eastAsia"/>
                <w:color w:val="000000" w:themeColor="text1"/>
                <w:sz w:val="21"/>
                <w:szCs w:val="21"/>
                <w14:textFill>
                  <w14:solidFill>
                    <w14:schemeClr w14:val="tx1"/>
                  </w14:solidFill>
                </w14:textFill>
              </w:rPr>
              <w:t>彩渠</w:t>
            </w:r>
            <w:r>
              <w:rPr>
                <w:color w:val="000000" w:themeColor="text1"/>
                <w:sz w:val="21"/>
                <w:szCs w:val="21"/>
                <w14:textFill>
                  <w14:solidFill>
                    <w14:schemeClr w14:val="tx1"/>
                  </w14:solidFill>
                </w14:textFill>
              </w:rPr>
              <w:t>Ⅱ</w:t>
            </w:r>
            <w:r>
              <w:rPr>
                <w:rFonts w:hint="eastAsia"/>
                <w:color w:val="000000" w:themeColor="text1"/>
                <w:sz w:val="21"/>
                <w:szCs w:val="21"/>
                <w14:textFill>
                  <w14:solidFill>
                    <w14:schemeClr w14:val="tx1"/>
                  </w14:solidFill>
                </w14:textFill>
              </w:rPr>
              <w:t>线和750kV渠蒋</w:t>
            </w:r>
            <w:r>
              <w:rPr>
                <w:color w:val="000000" w:themeColor="text1"/>
                <w:sz w:val="21"/>
                <w:szCs w:val="21"/>
                <w14:textFill>
                  <w14:solidFill>
                    <w14:schemeClr w14:val="tx1"/>
                  </w14:solidFill>
                </w14:textFill>
              </w:rPr>
              <w:t>Ⅱ</w:t>
            </w:r>
            <w:r>
              <w:rPr>
                <w:rFonts w:hint="eastAsia"/>
                <w:color w:val="000000" w:themeColor="text1"/>
                <w:sz w:val="21"/>
                <w:szCs w:val="21"/>
                <w14:textFill>
                  <w14:solidFill>
                    <w14:schemeClr w14:val="tx1"/>
                  </w14:solidFill>
                </w14:textFill>
              </w:rPr>
              <w:t>线（单回并行）</w:t>
            </w:r>
          </w:p>
        </w:tc>
        <w:tc>
          <w:tcPr>
            <w:tcW w:w="1057" w:type="pct"/>
            <w:vAlign w:val="center"/>
          </w:tcPr>
          <w:p w14:paraId="212E713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本工程750kV同塔双回线路</w:t>
            </w:r>
          </w:p>
        </w:tc>
        <w:tc>
          <w:tcPr>
            <w:tcW w:w="1059" w:type="pct"/>
            <w:vAlign w:val="center"/>
          </w:tcPr>
          <w:p w14:paraId="0DB9A23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750kV</w:t>
            </w:r>
            <w:r>
              <w:rPr>
                <w:color w:val="000000" w:themeColor="text1"/>
                <w:sz w:val="21"/>
                <w:szCs w:val="21"/>
                <w14:textFill>
                  <w14:solidFill>
                    <w14:schemeClr w14:val="tx1"/>
                  </w14:solidFill>
                </w14:textFill>
              </w:rPr>
              <w:t>乌格一线、乌格</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2 \* ROMAN \* MERGEFORMAT </w:instrText>
            </w:r>
            <w:r>
              <w:rPr>
                <w:color w:val="000000" w:themeColor="text1"/>
                <w:sz w:val="21"/>
                <w:szCs w:val="21"/>
                <w14:textFill>
                  <w14:solidFill>
                    <w14:schemeClr w14:val="tx1"/>
                  </w14:solidFill>
                </w14:textFill>
              </w:rPr>
              <w:fldChar w:fldCharType="separate"/>
            </w:r>
            <w:r>
              <w:rPr>
                <w:color w:val="000000" w:themeColor="text1"/>
                <w:sz w:val="21"/>
                <w:szCs w:val="21"/>
                <w14:textFill>
                  <w14:solidFill>
                    <w14:schemeClr w14:val="tx1"/>
                  </w14:solidFill>
                </w14:textFill>
              </w:rPr>
              <w:t>II</w:t>
            </w:r>
            <w:r>
              <w:rPr>
                <w:color w:val="000000" w:themeColor="text1"/>
                <w:sz w:val="21"/>
                <w:szCs w:val="21"/>
                <w14:textFill>
                  <w14:solidFill>
                    <w14:schemeClr w14:val="tx1"/>
                  </w14:solidFill>
                </w14:textFill>
              </w:rPr>
              <w:fldChar w:fldCharType="end"/>
            </w:r>
            <w:r>
              <w:rPr>
                <w:color w:val="000000" w:themeColor="text1"/>
                <w:sz w:val="21"/>
                <w:szCs w:val="21"/>
                <w14:textFill>
                  <w14:solidFill>
                    <w14:schemeClr w14:val="tx1"/>
                  </w14:solidFill>
                </w14:textFill>
              </w:rPr>
              <w:t>线</w:t>
            </w:r>
            <w:r>
              <w:rPr>
                <w:rFonts w:hint="eastAsia"/>
                <w:color w:val="000000" w:themeColor="text1"/>
                <w:sz w:val="21"/>
                <w:szCs w:val="21"/>
                <w14:textFill>
                  <w14:solidFill>
                    <w14:schemeClr w14:val="tx1"/>
                  </w14:solidFill>
                </w14:textFill>
              </w:rPr>
              <w:t>（同塔双回）</w:t>
            </w:r>
          </w:p>
        </w:tc>
      </w:tr>
      <w:tr w14:paraId="66D7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4B6D8855">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电压等级（kV）</w:t>
            </w:r>
          </w:p>
        </w:tc>
        <w:tc>
          <w:tcPr>
            <w:tcW w:w="1094" w:type="pct"/>
            <w:gridSpan w:val="2"/>
            <w:tcBorders>
              <w:left w:val="single" w:color="auto" w:sz="4" w:space="0"/>
            </w:tcBorders>
            <w:vAlign w:val="center"/>
          </w:tcPr>
          <w:p w14:paraId="4413F24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75</w:t>
            </w:r>
            <w:r>
              <w:rPr>
                <w:color w:val="000000" w:themeColor="text1"/>
                <w:sz w:val="21"/>
                <w:szCs w:val="21"/>
                <w14:textFill>
                  <w14:solidFill>
                    <w14:schemeClr w14:val="tx1"/>
                  </w14:solidFill>
                </w14:textFill>
              </w:rPr>
              <w:t>0</w:t>
            </w:r>
          </w:p>
        </w:tc>
        <w:tc>
          <w:tcPr>
            <w:tcW w:w="1058" w:type="pct"/>
            <w:vAlign w:val="center"/>
          </w:tcPr>
          <w:p w14:paraId="4C427FF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75</w:t>
            </w:r>
            <w:r>
              <w:rPr>
                <w:color w:val="000000" w:themeColor="text1"/>
                <w:sz w:val="21"/>
                <w:szCs w:val="21"/>
                <w14:textFill>
                  <w14:solidFill>
                    <w14:schemeClr w14:val="tx1"/>
                  </w14:solidFill>
                </w14:textFill>
              </w:rPr>
              <w:t>0</w:t>
            </w:r>
          </w:p>
        </w:tc>
        <w:tc>
          <w:tcPr>
            <w:tcW w:w="1057" w:type="pct"/>
            <w:vAlign w:val="center"/>
          </w:tcPr>
          <w:p w14:paraId="2E34B97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75</w:t>
            </w:r>
            <w:r>
              <w:rPr>
                <w:color w:val="000000" w:themeColor="text1"/>
                <w:sz w:val="21"/>
                <w:szCs w:val="21"/>
                <w14:textFill>
                  <w14:solidFill>
                    <w14:schemeClr w14:val="tx1"/>
                  </w14:solidFill>
                </w14:textFill>
              </w:rPr>
              <w:t>0</w:t>
            </w:r>
          </w:p>
        </w:tc>
        <w:tc>
          <w:tcPr>
            <w:tcW w:w="1059" w:type="pct"/>
            <w:vAlign w:val="center"/>
          </w:tcPr>
          <w:p w14:paraId="37BCF38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75</w:t>
            </w:r>
            <w:r>
              <w:rPr>
                <w:color w:val="000000" w:themeColor="text1"/>
                <w:sz w:val="21"/>
                <w:szCs w:val="21"/>
                <w14:textFill>
                  <w14:solidFill>
                    <w14:schemeClr w14:val="tx1"/>
                  </w14:solidFill>
                </w14:textFill>
              </w:rPr>
              <w:t>0</w:t>
            </w:r>
          </w:p>
        </w:tc>
      </w:tr>
      <w:tr w14:paraId="20E0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79AE82E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架线方式</w:t>
            </w:r>
          </w:p>
        </w:tc>
        <w:tc>
          <w:tcPr>
            <w:tcW w:w="1094" w:type="pct"/>
            <w:gridSpan w:val="2"/>
            <w:tcBorders>
              <w:left w:val="single" w:color="auto" w:sz="4" w:space="0"/>
            </w:tcBorders>
            <w:vAlign w:val="center"/>
          </w:tcPr>
          <w:p w14:paraId="36DFCE9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单回路</w:t>
            </w:r>
            <w:r>
              <w:rPr>
                <w:rFonts w:hint="eastAsia"/>
                <w:color w:val="000000" w:themeColor="text1"/>
                <w:sz w:val="21"/>
                <w:szCs w:val="21"/>
                <w14:textFill>
                  <w14:solidFill>
                    <w14:schemeClr w14:val="tx1"/>
                  </w14:solidFill>
                </w14:textFill>
              </w:rPr>
              <w:t>并行</w:t>
            </w:r>
          </w:p>
        </w:tc>
        <w:tc>
          <w:tcPr>
            <w:tcW w:w="1058" w:type="pct"/>
            <w:vAlign w:val="center"/>
          </w:tcPr>
          <w:p w14:paraId="4304B957">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单回路</w:t>
            </w:r>
            <w:r>
              <w:rPr>
                <w:rFonts w:hint="eastAsia"/>
                <w:color w:val="000000" w:themeColor="text1"/>
                <w:sz w:val="21"/>
                <w:szCs w:val="21"/>
                <w14:textFill>
                  <w14:solidFill>
                    <w14:schemeClr w14:val="tx1"/>
                  </w14:solidFill>
                </w14:textFill>
              </w:rPr>
              <w:t>并行</w:t>
            </w:r>
          </w:p>
        </w:tc>
        <w:tc>
          <w:tcPr>
            <w:tcW w:w="1057" w:type="pct"/>
            <w:vAlign w:val="center"/>
          </w:tcPr>
          <w:p w14:paraId="2747139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同塔双回</w:t>
            </w:r>
          </w:p>
        </w:tc>
        <w:tc>
          <w:tcPr>
            <w:tcW w:w="1059" w:type="pct"/>
            <w:vAlign w:val="center"/>
          </w:tcPr>
          <w:p w14:paraId="6CC6C77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同塔双回</w:t>
            </w:r>
          </w:p>
        </w:tc>
      </w:tr>
      <w:tr w14:paraId="3C6C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4D3F68A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并行线路中心线间距（m）</w:t>
            </w:r>
          </w:p>
        </w:tc>
        <w:tc>
          <w:tcPr>
            <w:tcW w:w="1094" w:type="pct"/>
            <w:gridSpan w:val="2"/>
            <w:tcBorders>
              <w:left w:val="single" w:color="auto" w:sz="4" w:space="0"/>
            </w:tcBorders>
            <w:vAlign w:val="center"/>
          </w:tcPr>
          <w:p w14:paraId="149E72C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约100</w:t>
            </w:r>
          </w:p>
        </w:tc>
        <w:tc>
          <w:tcPr>
            <w:tcW w:w="1058" w:type="pct"/>
            <w:vAlign w:val="center"/>
          </w:tcPr>
          <w:p w14:paraId="1DA651A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99</w:t>
            </w:r>
          </w:p>
        </w:tc>
        <w:tc>
          <w:tcPr>
            <w:tcW w:w="1057" w:type="pct"/>
            <w:vAlign w:val="center"/>
          </w:tcPr>
          <w:p w14:paraId="1096415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约100</w:t>
            </w:r>
          </w:p>
        </w:tc>
        <w:tc>
          <w:tcPr>
            <w:tcW w:w="1059" w:type="pct"/>
            <w:vAlign w:val="center"/>
          </w:tcPr>
          <w:p w14:paraId="6F5574C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99</w:t>
            </w:r>
          </w:p>
        </w:tc>
      </w:tr>
      <w:tr w14:paraId="3048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3BF00997">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color w:val="000000" w:themeColor="text1"/>
                <w:sz w:val="21"/>
                <w:szCs w:val="21"/>
                <w14:textFill>
                  <w14:solidFill>
                    <w14:schemeClr w14:val="tx1"/>
                  </w14:solidFill>
                </w14:textFill>
              </w:rPr>
              <w:t>导线排列型式</w:t>
            </w:r>
          </w:p>
        </w:tc>
        <w:tc>
          <w:tcPr>
            <w:tcW w:w="1094" w:type="pct"/>
            <w:gridSpan w:val="2"/>
            <w:tcBorders>
              <w:left w:val="single" w:color="auto" w:sz="4" w:space="0"/>
            </w:tcBorders>
            <w:vAlign w:val="center"/>
          </w:tcPr>
          <w:p w14:paraId="02ACADF1">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水平</w:t>
            </w:r>
            <w:r>
              <w:rPr>
                <w:color w:val="000000" w:themeColor="text1"/>
                <w:sz w:val="21"/>
                <w:szCs w:val="21"/>
                <w14:textFill>
                  <w14:solidFill>
                    <w14:schemeClr w14:val="tx1"/>
                  </w14:solidFill>
                </w14:textFill>
              </w:rPr>
              <w:t>排列</w:t>
            </w:r>
          </w:p>
        </w:tc>
        <w:tc>
          <w:tcPr>
            <w:tcW w:w="1058" w:type="pct"/>
            <w:vAlign w:val="center"/>
          </w:tcPr>
          <w:p w14:paraId="35999FF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水平排列</w:t>
            </w:r>
          </w:p>
        </w:tc>
        <w:tc>
          <w:tcPr>
            <w:tcW w:w="1057" w:type="pct"/>
            <w:vAlign w:val="center"/>
          </w:tcPr>
          <w:p w14:paraId="619B718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垂直</w:t>
            </w:r>
            <w:r>
              <w:rPr>
                <w:color w:val="000000" w:themeColor="text1"/>
                <w:sz w:val="21"/>
                <w:szCs w:val="21"/>
                <w14:textFill>
                  <w14:solidFill>
                    <w14:schemeClr w14:val="tx1"/>
                  </w14:solidFill>
                </w14:textFill>
              </w:rPr>
              <w:t>排列</w:t>
            </w:r>
          </w:p>
        </w:tc>
        <w:tc>
          <w:tcPr>
            <w:tcW w:w="1059" w:type="pct"/>
            <w:vAlign w:val="center"/>
          </w:tcPr>
          <w:p w14:paraId="235FE10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垂直</w:t>
            </w:r>
            <w:r>
              <w:rPr>
                <w:color w:val="000000" w:themeColor="text1"/>
                <w:sz w:val="21"/>
                <w:szCs w:val="21"/>
                <w:highlight w:val="none"/>
                <w14:textFill>
                  <w14:solidFill>
                    <w14:schemeClr w14:val="tx1"/>
                  </w14:solidFill>
                </w14:textFill>
              </w:rPr>
              <w:t>排列</w:t>
            </w:r>
          </w:p>
        </w:tc>
      </w:tr>
      <w:tr w14:paraId="1860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6A159D1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导线分裂间距（mm）</w:t>
            </w:r>
          </w:p>
        </w:tc>
        <w:tc>
          <w:tcPr>
            <w:tcW w:w="1094" w:type="pct"/>
            <w:gridSpan w:val="2"/>
            <w:tcBorders>
              <w:left w:val="single" w:color="auto" w:sz="4" w:space="0"/>
            </w:tcBorders>
            <w:vAlign w:val="center"/>
          </w:tcPr>
          <w:p w14:paraId="7229214D">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400</w:t>
            </w:r>
          </w:p>
        </w:tc>
        <w:tc>
          <w:tcPr>
            <w:tcW w:w="1058" w:type="pct"/>
            <w:vAlign w:val="center"/>
          </w:tcPr>
          <w:p w14:paraId="2EDE7AA4">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400</w:t>
            </w:r>
          </w:p>
        </w:tc>
        <w:tc>
          <w:tcPr>
            <w:tcW w:w="1057" w:type="pct"/>
            <w:vAlign w:val="center"/>
          </w:tcPr>
          <w:p w14:paraId="61F7EB7A">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400</w:t>
            </w:r>
          </w:p>
        </w:tc>
        <w:tc>
          <w:tcPr>
            <w:tcW w:w="1059" w:type="pct"/>
            <w:vAlign w:val="center"/>
          </w:tcPr>
          <w:p w14:paraId="0DA028CB">
            <w:pPr>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400</w:t>
            </w:r>
          </w:p>
        </w:tc>
      </w:tr>
      <w:tr w14:paraId="3866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68D13066">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子导线外径（mm）</w:t>
            </w:r>
          </w:p>
        </w:tc>
        <w:tc>
          <w:tcPr>
            <w:tcW w:w="1094" w:type="pct"/>
            <w:gridSpan w:val="2"/>
            <w:tcBorders>
              <w:left w:val="single" w:color="auto" w:sz="4" w:space="0"/>
            </w:tcBorders>
            <w:vAlign w:val="center"/>
          </w:tcPr>
          <w:p w14:paraId="3C3AAA46">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27.6</w:t>
            </w:r>
          </w:p>
        </w:tc>
        <w:tc>
          <w:tcPr>
            <w:tcW w:w="1058" w:type="pct"/>
            <w:vAlign w:val="center"/>
          </w:tcPr>
          <w:p w14:paraId="31A3048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27.6</w:t>
            </w:r>
          </w:p>
        </w:tc>
        <w:tc>
          <w:tcPr>
            <w:tcW w:w="1057" w:type="pct"/>
            <w:vAlign w:val="center"/>
          </w:tcPr>
          <w:p w14:paraId="55F1018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27.6</w:t>
            </w:r>
          </w:p>
        </w:tc>
        <w:tc>
          <w:tcPr>
            <w:tcW w:w="1059" w:type="pct"/>
            <w:vAlign w:val="center"/>
          </w:tcPr>
          <w:p w14:paraId="19D5C15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27.6</w:t>
            </w:r>
          </w:p>
        </w:tc>
      </w:tr>
      <w:tr w14:paraId="5BA8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trPr>
        <w:tc>
          <w:tcPr>
            <w:tcW w:w="730" w:type="pct"/>
            <w:tcBorders>
              <w:right w:val="single" w:color="auto" w:sz="4" w:space="0"/>
            </w:tcBorders>
            <w:vAlign w:val="center"/>
          </w:tcPr>
          <w:p w14:paraId="5CBDA9D1">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导线型式</w:t>
            </w:r>
          </w:p>
        </w:tc>
        <w:tc>
          <w:tcPr>
            <w:tcW w:w="1094" w:type="pct"/>
            <w:gridSpan w:val="2"/>
            <w:tcBorders>
              <w:left w:val="single" w:color="auto" w:sz="4" w:space="0"/>
            </w:tcBorders>
            <w:vAlign w:val="center"/>
          </w:tcPr>
          <w:p w14:paraId="7328A0C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w:t>
            </w:r>
            <w:r>
              <w:rPr>
                <w:color w:val="000000" w:themeColor="text1"/>
                <w:sz w:val="21"/>
                <w:szCs w:val="21"/>
                <w14:textFill>
                  <w14:solidFill>
                    <w14:schemeClr w14:val="tx1"/>
                  </w14:solidFill>
                </w14:textFill>
              </w:rPr>
              <w:t>分裂钢芯高导电率铝绞线</w:t>
            </w:r>
          </w:p>
        </w:tc>
        <w:tc>
          <w:tcPr>
            <w:tcW w:w="1058" w:type="pct"/>
            <w:vAlign w:val="center"/>
          </w:tcPr>
          <w:p w14:paraId="78ADA53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w:t>
            </w:r>
            <w:r>
              <w:rPr>
                <w:color w:val="000000" w:themeColor="text1"/>
                <w:sz w:val="21"/>
                <w:szCs w:val="21"/>
                <w14:textFill>
                  <w14:solidFill>
                    <w14:schemeClr w14:val="tx1"/>
                  </w14:solidFill>
                </w14:textFill>
              </w:rPr>
              <w:t>分裂钢芯高导电率铝绞线</w:t>
            </w:r>
          </w:p>
        </w:tc>
        <w:tc>
          <w:tcPr>
            <w:tcW w:w="1057" w:type="pct"/>
            <w:vAlign w:val="center"/>
          </w:tcPr>
          <w:p w14:paraId="38A76F5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w:t>
            </w:r>
            <w:r>
              <w:rPr>
                <w:color w:val="000000" w:themeColor="text1"/>
                <w:sz w:val="21"/>
                <w:szCs w:val="21"/>
                <w14:textFill>
                  <w14:solidFill>
                    <w14:schemeClr w14:val="tx1"/>
                  </w14:solidFill>
                </w14:textFill>
              </w:rPr>
              <w:t>分裂钢芯高导电率铝绞线</w:t>
            </w:r>
          </w:p>
        </w:tc>
        <w:tc>
          <w:tcPr>
            <w:tcW w:w="1059" w:type="pct"/>
            <w:vAlign w:val="center"/>
          </w:tcPr>
          <w:p w14:paraId="0A683AE6">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w:t>
            </w:r>
            <w:r>
              <w:rPr>
                <w:color w:val="000000" w:themeColor="text1"/>
                <w:sz w:val="21"/>
                <w:szCs w:val="21"/>
                <w14:textFill>
                  <w14:solidFill>
                    <w14:schemeClr w14:val="tx1"/>
                  </w14:solidFill>
                </w14:textFill>
              </w:rPr>
              <w:t>分裂钢芯高导电率铝绞线</w:t>
            </w:r>
          </w:p>
        </w:tc>
      </w:tr>
      <w:tr w14:paraId="3A0C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6134425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导线对地最低高度</w:t>
            </w:r>
          </w:p>
        </w:tc>
        <w:tc>
          <w:tcPr>
            <w:tcW w:w="1094" w:type="pct"/>
            <w:gridSpan w:val="2"/>
            <w:tcBorders>
              <w:left w:val="single" w:color="auto" w:sz="4" w:space="0"/>
            </w:tcBorders>
            <w:vAlign w:val="center"/>
          </w:tcPr>
          <w:p w14:paraId="2CE15CA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15.5m、19.5</w:t>
            </w:r>
            <w:r>
              <w:rPr>
                <w:color w:val="000000" w:themeColor="text1"/>
                <w:sz w:val="21"/>
                <w:szCs w:val="21"/>
                <w14:textFill>
                  <w14:solidFill>
                    <w14:schemeClr w14:val="tx1"/>
                  </w14:solidFill>
                </w14:textFill>
              </w:rPr>
              <w:t>m</w:t>
            </w:r>
          </w:p>
        </w:tc>
        <w:tc>
          <w:tcPr>
            <w:tcW w:w="1058" w:type="pct"/>
            <w:vAlign w:val="center"/>
          </w:tcPr>
          <w:p w14:paraId="5CABEE6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15.5m、19.5</w:t>
            </w:r>
            <w:r>
              <w:rPr>
                <w:color w:val="000000" w:themeColor="text1"/>
                <w:sz w:val="21"/>
                <w:szCs w:val="21"/>
                <w14:textFill>
                  <w14:solidFill>
                    <w14:schemeClr w14:val="tx1"/>
                  </w14:solidFill>
                </w14:textFill>
              </w:rPr>
              <w:t>m</w:t>
            </w:r>
          </w:p>
        </w:tc>
        <w:tc>
          <w:tcPr>
            <w:tcW w:w="1057" w:type="pct"/>
            <w:vAlign w:val="center"/>
          </w:tcPr>
          <w:p w14:paraId="4AE58B5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15.5m、19.5</w:t>
            </w:r>
            <w:r>
              <w:rPr>
                <w:color w:val="000000" w:themeColor="text1"/>
                <w:sz w:val="21"/>
                <w:szCs w:val="21"/>
                <w14:textFill>
                  <w14:solidFill>
                    <w14:schemeClr w14:val="tx1"/>
                  </w14:solidFill>
                </w14:textFill>
              </w:rPr>
              <w:t>m</w:t>
            </w:r>
          </w:p>
        </w:tc>
        <w:tc>
          <w:tcPr>
            <w:tcW w:w="1059" w:type="pct"/>
            <w:vAlign w:val="center"/>
          </w:tcPr>
          <w:p w14:paraId="631F124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15.5m、19.5</w:t>
            </w:r>
            <w:r>
              <w:rPr>
                <w:color w:val="000000" w:themeColor="text1"/>
                <w:sz w:val="21"/>
                <w:szCs w:val="21"/>
                <w14:textFill>
                  <w14:solidFill>
                    <w14:schemeClr w14:val="tx1"/>
                  </w14:solidFill>
                </w14:textFill>
              </w:rPr>
              <w:t>m</w:t>
            </w:r>
          </w:p>
        </w:tc>
      </w:tr>
      <w:tr w14:paraId="308B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17E66B6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周围环境</w:t>
            </w:r>
          </w:p>
        </w:tc>
        <w:tc>
          <w:tcPr>
            <w:tcW w:w="4269" w:type="pct"/>
            <w:gridSpan w:val="5"/>
            <w:tcBorders>
              <w:left w:val="single" w:color="auto" w:sz="4" w:space="0"/>
            </w:tcBorders>
            <w:vAlign w:val="center"/>
          </w:tcPr>
          <w:p w14:paraId="7DB1FED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农村地区，平坦开阔</w:t>
            </w:r>
          </w:p>
        </w:tc>
      </w:tr>
      <w:tr w14:paraId="306D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30" w:type="pct"/>
            <w:tcBorders>
              <w:right w:val="single" w:color="auto" w:sz="4" w:space="0"/>
            </w:tcBorders>
            <w:vAlign w:val="center"/>
          </w:tcPr>
          <w:p w14:paraId="6DC62AB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所在区域</w:t>
            </w:r>
          </w:p>
        </w:tc>
        <w:tc>
          <w:tcPr>
            <w:tcW w:w="1075" w:type="pct"/>
            <w:tcBorders>
              <w:left w:val="single" w:color="auto" w:sz="4" w:space="0"/>
              <w:right w:val="single" w:color="auto" w:sz="4" w:space="0"/>
            </w:tcBorders>
            <w:vAlign w:val="center"/>
          </w:tcPr>
          <w:p w14:paraId="6661FFF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巴音郭楞蒙古自治州若羌县</w:t>
            </w:r>
          </w:p>
        </w:tc>
        <w:tc>
          <w:tcPr>
            <w:tcW w:w="1077" w:type="pct"/>
            <w:gridSpan w:val="2"/>
            <w:tcBorders>
              <w:left w:val="single" w:color="auto" w:sz="4" w:space="0"/>
              <w:right w:val="single" w:color="auto" w:sz="4" w:space="0"/>
            </w:tcBorders>
            <w:vAlign w:val="center"/>
          </w:tcPr>
          <w:p w14:paraId="58A614E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昌吉回族自治州</w:t>
            </w:r>
          </w:p>
        </w:tc>
        <w:tc>
          <w:tcPr>
            <w:tcW w:w="1057" w:type="pct"/>
            <w:tcBorders>
              <w:left w:val="single" w:color="auto" w:sz="4" w:space="0"/>
              <w:right w:val="single" w:color="auto" w:sz="4" w:space="0"/>
            </w:tcBorders>
            <w:vAlign w:val="center"/>
          </w:tcPr>
          <w:p w14:paraId="767DB2A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巴音郭楞蒙古自治州若羌县</w:t>
            </w:r>
          </w:p>
        </w:tc>
        <w:tc>
          <w:tcPr>
            <w:tcW w:w="1059" w:type="pct"/>
            <w:tcBorders>
              <w:left w:val="single" w:color="auto" w:sz="4" w:space="0"/>
              <w:right w:val="single" w:color="auto" w:sz="4" w:space="0"/>
            </w:tcBorders>
            <w:vAlign w:val="center"/>
          </w:tcPr>
          <w:p w14:paraId="4F3B490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乌鲁木齐</w:t>
            </w:r>
          </w:p>
        </w:tc>
      </w:tr>
    </w:tbl>
    <w:p w14:paraId="6571A260">
      <w:pPr>
        <w:pStyle w:val="67"/>
        <w:shd w:val="clear"/>
        <w:ind w:firstLineChars="0"/>
        <w:rPr>
          <w:color w:val="000000" w:themeColor="text1"/>
          <w14:textFill>
            <w14:solidFill>
              <w14:schemeClr w14:val="tx1"/>
            </w14:solidFill>
          </w14:textFill>
        </w:rPr>
      </w:pPr>
      <w:r>
        <w:rPr>
          <w:color w:val="000000" w:themeColor="text1"/>
          <w14:textFill>
            <w14:solidFill>
              <w14:schemeClr w14:val="tx1"/>
            </w14:solidFill>
          </w14:textFill>
        </w:rPr>
        <w:t>类比对象与建设项目线路的电压等级、导线型号、子导线外径、子导线分裂数、架线型式、环境条件、工程地区均相同，类比工程架线高度低于本工程，故类比对象的选择是合理的。</w:t>
      </w:r>
    </w:p>
    <w:p w14:paraId="536F18D0">
      <w:pPr>
        <w:shd w:val="clea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6.2.1.2类比监测方法及仪器</w:t>
      </w:r>
    </w:p>
    <w:p w14:paraId="6817B887">
      <w:pPr>
        <w:pStyle w:val="67"/>
        <w:shd w:val="clear"/>
        <w:rPr>
          <w:color w:val="000000" w:themeColor="text1"/>
          <w14:textFill>
            <w14:solidFill>
              <w14:schemeClr w14:val="tx1"/>
            </w14:solidFill>
          </w14:textFill>
        </w:rPr>
      </w:pPr>
      <w:r>
        <w:rPr>
          <w:color w:val="000000" w:themeColor="text1"/>
          <w14:textFill>
            <w14:solidFill>
              <w14:schemeClr w14:val="tx1"/>
            </w14:solidFill>
          </w14:textFill>
        </w:rPr>
        <w:t>监测方法：按《</w:t>
      </w:r>
      <w:r>
        <w:rPr>
          <w:rFonts w:hint="eastAsia"/>
          <w:color w:val="000000" w:themeColor="text1"/>
          <w14:textFill>
            <w14:solidFill>
              <w14:schemeClr w14:val="tx1"/>
            </w14:solidFill>
          </w14:textFill>
        </w:rPr>
        <w:t>声环境质量标准</w:t>
      </w:r>
      <w:r>
        <w:rPr>
          <w:color w:val="000000" w:themeColor="text1"/>
          <w14:textFill>
            <w14:solidFill>
              <w14:schemeClr w14:val="tx1"/>
            </w14:solidFill>
          </w14:textFill>
        </w:rPr>
        <w:t>》（GB</w:t>
      </w:r>
      <w:r>
        <w:rPr>
          <w:rFonts w:hint="eastAsia"/>
          <w:color w:val="000000" w:themeColor="text1"/>
          <w14:textFill>
            <w14:solidFill>
              <w14:schemeClr w14:val="tx1"/>
            </w14:solidFill>
          </w14:textFill>
        </w:rPr>
        <w:t>3096</w:t>
      </w:r>
      <w:r>
        <w:rPr>
          <w:color w:val="000000" w:themeColor="text1"/>
          <w14:textFill>
            <w14:solidFill>
              <w14:schemeClr w14:val="tx1"/>
            </w14:solidFill>
          </w14:textFill>
        </w:rPr>
        <w:t>-2008）中的规定监测方法进行监测。</w:t>
      </w:r>
    </w:p>
    <w:p w14:paraId="710F127E">
      <w:pPr>
        <w:pStyle w:val="67"/>
        <w:shd w:val="clear"/>
        <w:rPr>
          <w:color w:val="000000" w:themeColor="text1"/>
          <w14:textFill>
            <w14:solidFill>
              <w14:schemeClr w14:val="tx1"/>
            </w14:solidFill>
          </w14:textFill>
        </w:rPr>
      </w:pPr>
      <w:r>
        <w:rPr>
          <w:color w:val="000000" w:themeColor="text1"/>
          <w14:textFill>
            <w14:solidFill>
              <w14:schemeClr w14:val="tx1"/>
            </w14:solidFill>
          </w14:textFill>
        </w:rPr>
        <w:t>监测单位：新疆德能辐射环境科技有限公司</w:t>
      </w:r>
      <w:r>
        <w:rPr>
          <w:rFonts w:hint="eastAsia"/>
          <w:color w:val="000000" w:themeColor="text1"/>
          <w14:textFill>
            <w14:solidFill>
              <w14:schemeClr w14:val="tx1"/>
            </w14:solidFill>
          </w14:textFill>
        </w:rPr>
        <w:t>。</w:t>
      </w:r>
    </w:p>
    <w:p w14:paraId="6A456AD9">
      <w:pPr>
        <w:shd w:val="clear"/>
        <w:ind w:firstLine="480"/>
        <w:rPr>
          <w:color w:val="000000" w:themeColor="text1"/>
          <w14:textFill>
            <w14:solidFill>
              <w14:schemeClr w14:val="tx1"/>
            </w14:solidFill>
          </w14:textFill>
        </w:rPr>
      </w:pPr>
      <w:r>
        <w:rPr>
          <w:color w:val="000000" w:themeColor="text1"/>
          <w14:textFill>
            <w14:solidFill>
              <w14:schemeClr w14:val="tx1"/>
            </w14:solidFill>
          </w14:textFill>
        </w:rPr>
        <w:t>监测仪器</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监测使用的仪器及相关参数情况见表6.</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、表6.2-3</w:t>
      </w:r>
      <w:r>
        <w:rPr>
          <w:color w:val="000000" w:themeColor="text1"/>
          <w14:textFill>
            <w14:solidFill>
              <w14:schemeClr w14:val="tx1"/>
            </w14:solidFill>
          </w14:textFill>
        </w:rPr>
        <w:t>。</w:t>
      </w:r>
    </w:p>
    <w:p w14:paraId="04210970">
      <w:pPr>
        <w:shd w:val="clear"/>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表6.</w:t>
      </w:r>
      <w:r>
        <w:rPr>
          <w:rFonts w:hint="eastAsia"/>
          <w:b/>
          <w:bCs/>
          <w:color w:val="000000" w:themeColor="text1"/>
          <w:sz w:val="21"/>
          <w:szCs w:val="21"/>
          <w14:textFill>
            <w14:solidFill>
              <w14:schemeClr w14:val="tx1"/>
            </w14:solidFill>
          </w14:textFill>
        </w:rPr>
        <w:t>2</w:t>
      </w:r>
      <w:r>
        <w:rPr>
          <w:b/>
          <w:bCs/>
          <w:color w:val="000000" w:themeColor="text1"/>
          <w:sz w:val="21"/>
          <w:szCs w:val="21"/>
          <w14:textFill>
            <w14:solidFill>
              <w14:schemeClr w14:val="tx1"/>
            </w14:solidFill>
          </w14:textFill>
        </w:rPr>
        <w:t>-2  监测仪器参数</w:t>
      </w:r>
      <w:r>
        <w:rPr>
          <w:rFonts w:hint="eastAsia"/>
          <w:b/>
          <w:bCs/>
          <w:color w:val="000000" w:themeColor="text1"/>
          <w:sz w:val="21"/>
          <w:szCs w:val="21"/>
          <w14:textFill>
            <w14:solidFill>
              <w14:schemeClr w14:val="tx1"/>
            </w14:solidFill>
          </w14:textFill>
        </w:rPr>
        <w:t>（单回路并行线路）</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5"/>
        <w:gridCol w:w="1392"/>
        <w:gridCol w:w="2931"/>
        <w:gridCol w:w="2220"/>
      </w:tblGrid>
      <w:tr w14:paraId="1272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59" w:type="pct"/>
            <w:vAlign w:val="center"/>
          </w:tcPr>
          <w:p w14:paraId="0273B1CF">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仪器设备名称及型号</w:t>
            </w:r>
          </w:p>
        </w:tc>
        <w:tc>
          <w:tcPr>
            <w:tcW w:w="816" w:type="pct"/>
            <w:vAlign w:val="center"/>
          </w:tcPr>
          <w:p w14:paraId="2B78F471">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量程范围</w:t>
            </w:r>
          </w:p>
        </w:tc>
        <w:tc>
          <w:tcPr>
            <w:tcW w:w="1720" w:type="pct"/>
            <w:vAlign w:val="center"/>
          </w:tcPr>
          <w:p w14:paraId="5A466D44">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校准机构及证书</w:t>
            </w:r>
          </w:p>
        </w:tc>
        <w:tc>
          <w:tcPr>
            <w:tcW w:w="1302" w:type="pct"/>
            <w:vAlign w:val="center"/>
          </w:tcPr>
          <w:p w14:paraId="5ADAAEDB">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有效期至</w:t>
            </w:r>
          </w:p>
        </w:tc>
      </w:tr>
      <w:tr w14:paraId="1519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59" w:type="pct"/>
            <w:vAlign w:val="center"/>
          </w:tcPr>
          <w:p w14:paraId="5D7A0980">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多功能声级计AWA5688</w:t>
            </w:r>
          </w:p>
        </w:tc>
        <w:tc>
          <w:tcPr>
            <w:tcW w:w="816" w:type="pct"/>
            <w:vAlign w:val="center"/>
          </w:tcPr>
          <w:p w14:paraId="2DCB53EF">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28~133dB(A)</w:t>
            </w:r>
          </w:p>
        </w:tc>
        <w:tc>
          <w:tcPr>
            <w:tcW w:w="1720" w:type="pct"/>
            <w:vAlign w:val="center"/>
          </w:tcPr>
          <w:p w14:paraId="6C5FC8E5">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JV字24000477号</w:t>
            </w:r>
          </w:p>
          <w:p w14:paraId="31AAE790">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新疆维吾尔自治区计量测试研究院</w:t>
            </w:r>
          </w:p>
        </w:tc>
        <w:tc>
          <w:tcPr>
            <w:tcW w:w="1302" w:type="pct"/>
            <w:vAlign w:val="center"/>
          </w:tcPr>
          <w:p w14:paraId="04824839">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2024.06.05~2025.06.04</w:t>
            </w:r>
          </w:p>
        </w:tc>
      </w:tr>
      <w:tr w14:paraId="00CD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59" w:type="pct"/>
            <w:vAlign w:val="center"/>
          </w:tcPr>
          <w:p w14:paraId="08EDDC35">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声校准器AWA6022A</w:t>
            </w:r>
          </w:p>
        </w:tc>
        <w:tc>
          <w:tcPr>
            <w:tcW w:w="816" w:type="pct"/>
            <w:vAlign w:val="center"/>
          </w:tcPr>
          <w:p w14:paraId="2825A38A">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94dBA±02</w:t>
            </w:r>
          </w:p>
        </w:tc>
        <w:tc>
          <w:tcPr>
            <w:tcW w:w="1720" w:type="pct"/>
            <w:vAlign w:val="center"/>
          </w:tcPr>
          <w:p w14:paraId="46FFA725">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检定字第202404000522号</w:t>
            </w:r>
          </w:p>
          <w:p w14:paraId="58BC1141">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中国测试技术研究院</w:t>
            </w:r>
          </w:p>
        </w:tc>
        <w:tc>
          <w:tcPr>
            <w:tcW w:w="1302" w:type="pct"/>
            <w:vAlign w:val="center"/>
          </w:tcPr>
          <w:p w14:paraId="41EECA26">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2024.04.03~2025.04.02</w:t>
            </w:r>
          </w:p>
        </w:tc>
      </w:tr>
    </w:tbl>
    <w:p w14:paraId="74C9DFA4">
      <w:pPr>
        <w:keepNext/>
        <w:shd w:val="clear"/>
        <w:ind w:firstLine="0" w:firstLineChars="0"/>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表6.</w:t>
      </w:r>
      <w:r>
        <w:rPr>
          <w:rFonts w:hint="eastAsia"/>
          <w:b/>
          <w:color w:val="000000" w:themeColor="text1"/>
          <w:sz w:val="21"/>
          <w:szCs w:val="21"/>
          <w14:textFill>
            <w14:solidFill>
              <w14:schemeClr w14:val="tx1"/>
            </w14:solidFill>
          </w14:textFill>
        </w:rPr>
        <w:t>2</w:t>
      </w:r>
      <w:r>
        <w:rPr>
          <w:b/>
          <w:color w:val="000000" w:themeColor="text1"/>
          <w:sz w:val="21"/>
          <w:szCs w:val="21"/>
          <w14:textFill>
            <w14:solidFill>
              <w14:schemeClr w14:val="tx1"/>
            </w14:solidFill>
          </w14:textFill>
        </w:rPr>
        <w:t>-</w:t>
      </w:r>
      <w:r>
        <w:rPr>
          <w:rFonts w:hint="eastAsia"/>
          <w:b/>
          <w:color w:val="000000" w:themeColor="text1"/>
          <w:sz w:val="21"/>
          <w:szCs w:val="21"/>
          <w14:textFill>
            <w14:solidFill>
              <w14:schemeClr w14:val="tx1"/>
            </w14:solidFill>
          </w14:textFill>
        </w:rPr>
        <w:t>3</w:t>
      </w:r>
      <w:r>
        <w:rPr>
          <w:b/>
          <w:color w:val="000000" w:themeColor="text1"/>
          <w:sz w:val="21"/>
          <w:szCs w:val="21"/>
          <w14:textFill>
            <w14:solidFill>
              <w14:schemeClr w14:val="tx1"/>
            </w14:solidFill>
          </w14:textFill>
        </w:rPr>
        <w:t xml:space="preserve">  监测仪器参数</w:t>
      </w:r>
      <w:r>
        <w:rPr>
          <w:rFonts w:hint="eastAsia"/>
          <w:b/>
          <w:color w:val="000000" w:themeColor="text1"/>
          <w:sz w:val="21"/>
          <w:szCs w:val="21"/>
          <w14:textFill>
            <w14:solidFill>
              <w14:schemeClr w14:val="tx1"/>
            </w14:solidFill>
          </w14:textFill>
        </w:rPr>
        <w:t>（同塔双回线路）</w:t>
      </w:r>
    </w:p>
    <w:tbl>
      <w:tblPr>
        <w:tblStyle w:val="5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7"/>
        <w:gridCol w:w="1268"/>
        <w:gridCol w:w="1316"/>
        <w:gridCol w:w="1159"/>
        <w:gridCol w:w="1159"/>
        <w:gridCol w:w="1921"/>
        <w:gridCol w:w="1032"/>
      </w:tblGrid>
      <w:tr w14:paraId="0155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Align w:val="center"/>
          </w:tcPr>
          <w:p w14:paraId="7F958146">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序号</w:t>
            </w:r>
          </w:p>
        </w:tc>
        <w:tc>
          <w:tcPr>
            <w:tcW w:w="762" w:type="pct"/>
            <w:vAlign w:val="center"/>
          </w:tcPr>
          <w:p w14:paraId="258D58FC">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设备名称</w:t>
            </w:r>
          </w:p>
        </w:tc>
        <w:tc>
          <w:tcPr>
            <w:tcW w:w="791" w:type="pct"/>
            <w:vAlign w:val="center"/>
          </w:tcPr>
          <w:p w14:paraId="3A9B8D72">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设备型号</w:t>
            </w:r>
          </w:p>
        </w:tc>
        <w:tc>
          <w:tcPr>
            <w:tcW w:w="697" w:type="pct"/>
            <w:vAlign w:val="center"/>
          </w:tcPr>
          <w:p w14:paraId="7C8E1658">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制造单位</w:t>
            </w:r>
          </w:p>
        </w:tc>
        <w:tc>
          <w:tcPr>
            <w:tcW w:w="697" w:type="pct"/>
            <w:vAlign w:val="center"/>
          </w:tcPr>
          <w:p w14:paraId="71FC1631">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设备编号</w:t>
            </w:r>
          </w:p>
        </w:tc>
        <w:tc>
          <w:tcPr>
            <w:tcW w:w="1155" w:type="pct"/>
            <w:vAlign w:val="center"/>
          </w:tcPr>
          <w:p w14:paraId="6EEC491D">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检定证书编号</w:t>
            </w:r>
          </w:p>
        </w:tc>
        <w:tc>
          <w:tcPr>
            <w:tcW w:w="620" w:type="pct"/>
            <w:vAlign w:val="center"/>
          </w:tcPr>
          <w:p w14:paraId="79BDCC5A">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检定日期</w:t>
            </w:r>
          </w:p>
        </w:tc>
      </w:tr>
      <w:tr w14:paraId="6EB4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restart"/>
            <w:vAlign w:val="center"/>
          </w:tcPr>
          <w:p w14:paraId="49D21894">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w:t>
            </w:r>
          </w:p>
        </w:tc>
        <w:tc>
          <w:tcPr>
            <w:tcW w:w="762" w:type="pct"/>
            <w:vMerge w:val="restart"/>
            <w:vAlign w:val="center"/>
          </w:tcPr>
          <w:p w14:paraId="1C05D304">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多功能声级计</w:t>
            </w:r>
          </w:p>
        </w:tc>
        <w:tc>
          <w:tcPr>
            <w:tcW w:w="791" w:type="pct"/>
            <w:vMerge w:val="restart"/>
            <w:vAlign w:val="center"/>
          </w:tcPr>
          <w:p w14:paraId="267CF8F3">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AWA6228+</w:t>
            </w:r>
          </w:p>
        </w:tc>
        <w:tc>
          <w:tcPr>
            <w:tcW w:w="697" w:type="pct"/>
            <w:vMerge w:val="restart"/>
            <w:vAlign w:val="center"/>
          </w:tcPr>
          <w:p w14:paraId="23675A78">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杭州爱华仪器有限公司</w:t>
            </w:r>
          </w:p>
        </w:tc>
        <w:tc>
          <w:tcPr>
            <w:tcW w:w="697" w:type="pct"/>
            <w:vAlign w:val="center"/>
          </w:tcPr>
          <w:p w14:paraId="4F067F6A">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00307877</w:t>
            </w:r>
          </w:p>
        </w:tc>
        <w:tc>
          <w:tcPr>
            <w:tcW w:w="1155" w:type="pct"/>
            <w:vAlign w:val="center"/>
          </w:tcPr>
          <w:p w14:paraId="4752ECD5">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24SJ24031188-1993</w:t>
            </w:r>
          </w:p>
        </w:tc>
        <w:tc>
          <w:tcPr>
            <w:tcW w:w="620" w:type="pct"/>
            <w:vAlign w:val="center"/>
          </w:tcPr>
          <w:p w14:paraId="535493B9">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2024.3.1</w:t>
            </w:r>
          </w:p>
        </w:tc>
      </w:tr>
      <w:tr w14:paraId="1397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continue"/>
            <w:vAlign w:val="center"/>
          </w:tcPr>
          <w:p w14:paraId="0D4C84D7">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62" w:type="pct"/>
            <w:vMerge w:val="continue"/>
            <w:vAlign w:val="center"/>
          </w:tcPr>
          <w:p w14:paraId="4B90E3C7">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91" w:type="pct"/>
            <w:vMerge w:val="continue"/>
            <w:vAlign w:val="center"/>
          </w:tcPr>
          <w:p w14:paraId="107F2190">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Merge w:val="continue"/>
            <w:vAlign w:val="center"/>
          </w:tcPr>
          <w:p w14:paraId="783743BC">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7B2E8CDD">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00300018</w:t>
            </w:r>
          </w:p>
        </w:tc>
        <w:tc>
          <w:tcPr>
            <w:tcW w:w="1155" w:type="pct"/>
            <w:vAlign w:val="center"/>
          </w:tcPr>
          <w:p w14:paraId="43DEE702">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LNDC-240405171011</w:t>
            </w:r>
          </w:p>
        </w:tc>
        <w:tc>
          <w:tcPr>
            <w:tcW w:w="620" w:type="pct"/>
            <w:vAlign w:val="center"/>
          </w:tcPr>
          <w:p w14:paraId="595100C8">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w:t>
            </w:r>
            <w:r>
              <w:rPr>
                <w:rFonts w:hint="eastAsia"/>
                <w:color w:val="000000" w:themeColor="text1"/>
                <w:sz w:val="21"/>
                <w14:textFill>
                  <w14:solidFill>
                    <w14:schemeClr w14:val="tx1"/>
                  </w14:solidFill>
                </w14:textFill>
              </w:rPr>
              <w:t>5</w:t>
            </w:r>
            <w:r>
              <w:rPr>
                <w:color w:val="000000" w:themeColor="text1"/>
                <w:sz w:val="21"/>
                <w14:textFill>
                  <w14:solidFill>
                    <w14:schemeClr w14:val="tx1"/>
                  </w14:solidFill>
                </w14:textFill>
              </w:rPr>
              <w:t>.1</w:t>
            </w:r>
            <w:r>
              <w:rPr>
                <w:rFonts w:hint="eastAsia"/>
                <w:color w:val="000000" w:themeColor="text1"/>
                <w:sz w:val="21"/>
                <w14:textFill>
                  <w14:solidFill>
                    <w14:schemeClr w14:val="tx1"/>
                  </w14:solidFill>
                </w14:textFill>
              </w:rPr>
              <w:t>7</w:t>
            </w:r>
          </w:p>
        </w:tc>
      </w:tr>
      <w:tr w14:paraId="38A9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continue"/>
            <w:vAlign w:val="center"/>
          </w:tcPr>
          <w:p w14:paraId="4305BD37">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62" w:type="pct"/>
            <w:vMerge w:val="continue"/>
            <w:vAlign w:val="center"/>
          </w:tcPr>
          <w:p w14:paraId="4E38AE03">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91" w:type="pct"/>
            <w:vMerge w:val="continue"/>
            <w:vAlign w:val="center"/>
          </w:tcPr>
          <w:p w14:paraId="6F788A6B">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Merge w:val="continue"/>
            <w:vAlign w:val="center"/>
          </w:tcPr>
          <w:p w14:paraId="7E632932">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3D306CF5">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10342305</w:t>
            </w:r>
          </w:p>
        </w:tc>
        <w:tc>
          <w:tcPr>
            <w:tcW w:w="1155" w:type="pct"/>
            <w:vAlign w:val="center"/>
          </w:tcPr>
          <w:p w14:paraId="05D0CE58">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240420007772</w:t>
            </w:r>
          </w:p>
        </w:tc>
        <w:tc>
          <w:tcPr>
            <w:tcW w:w="620" w:type="pct"/>
            <w:vAlign w:val="center"/>
          </w:tcPr>
          <w:p w14:paraId="3688C98E">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w:t>
            </w:r>
            <w:r>
              <w:rPr>
                <w:rFonts w:hint="eastAsia"/>
                <w:color w:val="000000" w:themeColor="text1"/>
                <w:sz w:val="21"/>
                <w14:textFill>
                  <w14:solidFill>
                    <w14:schemeClr w14:val="tx1"/>
                  </w14:solidFill>
                </w14:textFill>
              </w:rPr>
              <w:t>12</w:t>
            </w:r>
            <w:r>
              <w:rPr>
                <w:color w:val="000000" w:themeColor="text1"/>
                <w:sz w:val="21"/>
                <w14:textFill>
                  <w14:solidFill>
                    <w14:schemeClr w14:val="tx1"/>
                  </w14:solidFill>
                </w14:textFill>
              </w:rPr>
              <w:t>.1</w:t>
            </w:r>
            <w:r>
              <w:rPr>
                <w:rFonts w:hint="eastAsia"/>
                <w:color w:val="000000" w:themeColor="text1"/>
                <w:sz w:val="21"/>
                <w14:textFill>
                  <w14:solidFill>
                    <w14:schemeClr w14:val="tx1"/>
                  </w14:solidFill>
                </w14:textFill>
              </w:rPr>
              <w:t>3</w:t>
            </w:r>
          </w:p>
        </w:tc>
      </w:tr>
      <w:tr w14:paraId="09FB4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continue"/>
            <w:vAlign w:val="center"/>
          </w:tcPr>
          <w:p w14:paraId="4B483FE0">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62" w:type="pct"/>
            <w:vMerge w:val="continue"/>
            <w:vAlign w:val="center"/>
          </w:tcPr>
          <w:p w14:paraId="2DC7466C">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91" w:type="pct"/>
            <w:vMerge w:val="continue"/>
            <w:vAlign w:val="center"/>
          </w:tcPr>
          <w:p w14:paraId="50E5731A">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Merge w:val="continue"/>
            <w:vAlign w:val="center"/>
          </w:tcPr>
          <w:p w14:paraId="0D7D8C6F">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24812597">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00316499</w:t>
            </w:r>
          </w:p>
        </w:tc>
        <w:tc>
          <w:tcPr>
            <w:tcW w:w="1155" w:type="pct"/>
            <w:vAlign w:val="center"/>
          </w:tcPr>
          <w:p w14:paraId="098BCC3A">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LNDC-240430039453</w:t>
            </w:r>
          </w:p>
        </w:tc>
        <w:tc>
          <w:tcPr>
            <w:tcW w:w="620" w:type="pct"/>
            <w:vAlign w:val="center"/>
          </w:tcPr>
          <w:p w14:paraId="532693A7">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w:t>
            </w:r>
            <w:r>
              <w:rPr>
                <w:rFonts w:hint="eastAsia"/>
                <w:color w:val="000000" w:themeColor="text1"/>
                <w:sz w:val="21"/>
                <w14:textFill>
                  <w14:solidFill>
                    <w14:schemeClr w14:val="tx1"/>
                  </w14:solidFill>
                </w14:textFill>
              </w:rPr>
              <w:t>4</w: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30</w:t>
            </w:r>
          </w:p>
        </w:tc>
      </w:tr>
      <w:tr w14:paraId="7732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continue"/>
            <w:vAlign w:val="center"/>
          </w:tcPr>
          <w:p w14:paraId="088E50EB">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62" w:type="pct"/>
            <w:vMerge w:val="continue"/>
            <w:vAlign w:val="center"/>
          </w:tcPr>
          <w:p w14:paraId="56C3020A">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91" w:type="pct"/>
            <w:vMerge w:val="continue"/>
            <w:vAlign w:val="center"/>
          </w:tcPr>
          <w:p w14:paraId="12321C17">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Merge w:val="continue"/>
            <w:vAlign w:val="center"/>
          </w:tcPr>
          <w:p w14:paraId="276C6BC2">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056EBD4F">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10339889</w:t>
            </w:r>
          </w:p>
        </w:tc>
        <w:tc>
          <w:tcPr>
            <w:tcW w:w="1155" w:type="pct"/>
            <w:vAlign w:val="center"/>
          </w:tcPr>
          <w:p w14:paraId="04612C49">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LNDC-240923041067</w:t>
            </w:r>
          </w:p>
        </w:tc>
        <w:tc>
          <w:tcPr>
            <w:tcW w:w="620" w:type="pct"/>
            <w:vAlign w:val="center"/>
          </w:tcPr>
          <w:p w14:paraId="1EECA2EB">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w:t>
            </w:r>
            <w:r>
              <w:rPr>
                <w:rFonts w:hint="eastAsia"/>
                <w:color w:val="000000" w:themeColor="text1"/>
                <w:sz w:val="21"/>
                <w14:textFill>
                  <w14:solidFill>
                    <w14:schemeClr w14:val="tx1"/>
                  </w14:solidFill>
                </w14:textFill>
              </w:rPr>
              <w:t>9</w: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23</w:t>
            </w:r>
          </w:p>
        </w:tc>
      </w:tr>
      <w:tr w14:paraId="325D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restart"/>
            <w:vAlign w:val="center"/>
          </w:tcPr>
          <w:p w14:paraId="76B890D2">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p>
        </w:tc>
        <w:tc>
          <w:tcPr>
            <w:tcW w:w="762" w:type="pct"/>
            <w:vMerge w:val="restart"/>
            <w:vAlign w:val="center"/>
          </w:tcPr>
          <w:p w14:paraId="2198CB7E">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声校准器</w:t>
            </w:r>
          </w:p>
        </w:tc>
        <w:tc>
          <w:tcPr>
            <w:tcW w:w="791" w:type="pct"/>
            <w:vAlign w:val="center"/>
          </w:tcPr>
          <w:p w14:paraId="7DC35658">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AWA6221B</w:t>
            </w:r>
          </w:p>
        </w:tc>
        <w:tc>
          <w:tcPr>
            <w:tcW w:w="697" w:type="pct"/>
            <w:vMerge w:val="continue"/>
            <w:vAlign w:val="center"/>
          </w:tcPr>
          <w:p w14:paraId="49D4694D">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74D88836">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2009287</w:t>
            </w:r>
          </w:p>
        </w:tc>
        <w:tc>
          <w:tcPr>
            <w:tcW w:w="1155" w:type="pct"/>
            <w:vAlign w:val="center"/>
          </w:tcPr>
          <w:p w14:paraId="31EE6645">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LNCD-240702040108</w:t>
            </w:r>
          </w:p>
        </w:tc>
        <w:tc>
          <w:tcPr>
            <w:tcW w:w="620" w:type="pct"/>
            <w:vAlign w:val="center"/>
          </w:tcPr>
          <w:p w14:paraId="21D63937">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2024.7.2</w:t>
            </w:r>
          </w:p>
        </w:tc>
      </w:tr>
      <w:tr w14:paraId="4DCC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continue"/>
            <w:vAlign w:val="center"/>
          </w:tcPr>
          <w:p w14:paraId="4DADC957">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62" w:type="pct"/>
            <w:vMerge w:val="continue"/>
            <w:vAlign w:val="center"/>
          </w:tcPr>
          <w:p w14:paraId="1F11E6B9">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91" w:type="pct"/>
            <w:vAlign w:val="center"/>
          </w:tcPr>
          <w:p w14:paraId="0CCD1210">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AWA602</w:t>
            </w:r>
            <w:r>
              <w:rPr>
                <w:rFonts w:hint="eastAsia"/>
                <w:color w:val="000000" w:themeColor="text1"/>
                <w:sz w:val="21"/>
                <w14:textFill>
                  <w14:solidFill>
                    <w14:schemeClr w14:val="tx1"/>
                  </w14:solidFill>
                </w14:textFill>
              </w:rPr>
              <w:t>2</w:t>
            </w:r>
            <w:r>
              <w:rPr>
                <w:color w:val="000000" w:themeColor="text1"/>
                <w:sz w:val="21"/>
                <w14:textFill>
                  <w14:solidFill>
                    <w14:schemeClr w14:val="tx1"/>
                  </w14:solidFill>
                </w14:textFill>
              </w:rPr>
              <w:t>A</w:t>
            </w:r>
          </w:p>
        </w:tc>
        <w:tc>
          <w:tcPr>
            <w:tcW w:w="697" w:type="pct"/>
            <w:vMerge w:val="continue"/>
            <w:vAlign w:val="center"/>
          </w:tcPr>
          <w:p w14:paraId="323AB4E6">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113AA12B">
            <w:pPr>
              <w:shd w:val="clear"/>
              <w:spacing w:line="240" w:lineRule="auto"/>
              <w:ind w:firstLine="0" w:firstLineChars="0"/>
              <w:contextualSpacing/>
              <w:jc w:val="center"/>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2012437</w:t>
            </w:r>
          </w:p>
        </w:tc>
        <w:tc>
          <w:tcPr>
            <w:tcW w:w="1155" w:type="pct"/>
            <w:vAlign w:val="center"/>
          </w:tcPr>
          <w:p w14:paraId="11459849">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24030607367</w:t>
            </w:r>
          </w:p>
        </w:tc>
        <w:tc>
          <w:tcPr>
            <w:tcW w:w="620" w:type="pct"/>
            <w:vAlign w:val="center"/>
          </w:tcPr>
          <w:p w14:paraId="35EFDBB2">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2024.7.</w:t>
            </w:r>
            <w:r>
              <w:rPr>
                <w:rFonts w:hint="eastAsia"/>
                <w:color w:val="000000" w:themeColor="text1"/>
                <w:sz w:val="21"/>
                <w14:textFill>
                  <w14:solidFill>
                    <w14:schemeClr w14:val="tx1"/>
                  </w14:solidFill>
                </w14:textFill>
              </w:rPr>
              <w:t>5</w:t>
            </w:r>
          </w:p>
        </w:tc>
      </w:tr>
      <w:tr w14:paraId="1172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continue"/>
            <w:vAlign w:val="center"/>
          </w:tcPr>
          <w:p w14:paraId="29BAE387">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62" w:type="pct"/>
            <w:vMerge w:val="continue"/>
            <w:vAlign w:val="center"/>
          </w:tcPr>
          <w:p w14:paraId="01B77EC6">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91" w:type="pct"/>
            <w:vMerge w:val="restart"/>
            <w:vAlign w:val="center"/>
          </w:tcPr>
          <w:p w14:paraId="77872567">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AWA6021A</w:t>
            </w:r>
          </w:p>
        </w:tc>
        <w:tc>
          <w:tcPr>
            <w:tcW w:w="697" w:type="pct"/>
            <w:vMerge w:val="continue"/>
            <w:vAlign w:val="center"/>
          </w:tcPr>
          <w:p w14:paraId="16B2D875">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6626CA9B">
            <w:pPr>
              <w:shd w:val="clear"/>
              <w:spacing w:line="240" w:lineRule="auto"/>
              <w:ind w:firstLine="0" w:firstLineChars="0"/>
              <w:contextualSpacing/>
              <w:jc w:val="center"/>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2010870</w:t>
            </w:r>
          </w:p>
        </w:tc>
        <w:tc>
          <w:tcPr>
            <w:tcW w:w="1155" w:type="pct"/>
            <w:vAlign w:val="center"/>
          </w:tcPr>
          <w:p w14:paraId="79378ECC">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LNDC-240405171015</w:t>
            </w:r>
          </w:p>
        </w:tc>
        <w:tc>
          <w:tcPr>
            <w:tcW w:w="620" w:type="pct"/>
            <w:vAlign w:val="center"/>
          </w:tcPr>
          <w:p w14:paraId="636E16ED">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w:t>
            </w:r>
            <w:r>
              <w:rPr>
                <w:rFonts w:hint="eastAsia"/>
                <w:color w:val="000000" w:themeColor="text1"/>
                <w:sz w:val="21"/>
                <w14:textFill>
                  <w14:solidFill>
                    <w14:schemeClr w14:val="tx1"/>
                  </w14:solidFill>
                </w14:textFill>
              </w:rPr>
              <w:t>5</w: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17</w:t>
            </w:r>
          </w:p>
        </w:tc>
      </w:tr>
      <w:tr w14:paraId="3A1F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continue"/>
            <w:vAlign w:val="center"/>
          </w:tcPr>
          <w:p w14:paraId="6EF82CEC">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62" w:type="pct"/>
            <w:vMerge w:val="continue"/>
            <w:vAlign w:val="center"/>
          </w:tcPr>
          <w:p w14:paraId="41E04003">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91" w:type="pct"/>
            <w:vMerge w:val="continue"/>
            <w:vAlign w:val="center"/>
          </w:tcPr>
          <w:p w14:paraId="53048AAE">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Merge w:val="continue"/>
            <w:vAlign w:val="center"/>
          </w:tcPr>
          <w:p w14:paraId="70491C03">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3FC48105">
            <w:pPr>
              <w:shd w:val="clear"/>
              <w:spacing w:line="240" w:lineRule="auto"/>
              <w:ind w:firstLine="0" w:firstLineChars="0"/>
              <w:contextualSpacing/>
              <w:jc w:val="center"/>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2010689</w:t>
            </w:r>
          </w:p>
        </w:tc>
        <w:tc>
          <w:tcPr>
            <w:tcW w:w="1155" w:type="pct"/>
            <w:vAlign w:val="center"/>
          </w:tcPr>
          <w:p w14:paraId="7096863D">
            <w:pPr>
              <w:shd w:val="clear"/>
              <w:spacing w:line="240" w:lineRule="auto"/>
              <w:ind w:firstLine="0" w:firstLineChars="0"/>
              <w:contextualSpacing/>
              <w:jc w:val="center"/>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L</w:t>
            </w:r>
            <w:r>
              <w:rPr>
                <w:color w:val="000000" w:themeColor="text1"/>
                <w:sz w:val="21"/>
                <w14:textFill>
                  <w14:solidFill>
                    <w14:schemeClr w14:val="tx1"/>
                  </w14:solidFill>
                </w14:textFill>
              </w:rPr>
              <w:t>NDC-240430039456</w:t>
            </w:r>
          </w:p>
        </w:tc>
        <w:tc>
          <w:tcPr>
            <w:tcW w:w="620" w:type="pct"/>
            <w:vAlign w:val="center"/>
          </w:tcPr>
          <w:p w14:paraId="59A8C1CD">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w:t>
            </w:r>
            <w:r>
              <w:rPr>
                <w:rFonts w:hint="eastAsia"/>
                <w:color w:val="000000" w:themeColor="text1"/>
                <w:sz w:val="21"/>
                <w14:textFill>
                  <w14:solidFill>
                    <w14:schemeClr w14:val="tx1"/>
                  </w14:solidFill>
                </w14:textFill>
              </w:rPr>
              <w:t>4</w: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30</w:t>
            </w:r>
          </w:p>
        </w:tc>
      </w:tr>
      <w:tr w14:paraId="29DA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275" w:type="pct"/>
            <w:vMerge w:val="continue"/>
            <w:vAlign w:val="center"/>
          </w:tcPr>
          <w:p w14:paraId="704FB6CC">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62" w:type="pct"/>
            <w:vMerge w:val="continue"/>
            <w:vAlign w:val="center"/>
          </w:tcPr>
          <w:p w14:paraId="3D249663">
            <w:pPr>
              <w:shd w:val="clear"/>
              <w:spacing w:line="240" w:lineRule="auto"/>
              <w:ind w:firstLine="0" w:firstLineChars="0"/>
              <w:contextualSpacing/>
              <w:jc w:val="center"/>
              <w:rPr>
                <w:color w:val="000000" w:themeColor="text1"/>
                <w:sz w:val="21"/>
                <w14:textFill>
                  <w14:solidFill>
                    <w14:schemeClr w14:val="tx1"/>
                  </w14:solidFill>
                </w14:textFill>
              </w:rPr>
            </w:pPr>
          </w:p>
        </w:tc>
        <w:tc>
          <w:tcPr>
            <w:tcW w:w="791" w:type="pct"/>
            <w:vMerge w:val="continue"/>
            <w:vAlign w:val="center"/>
          </w:tcPr>
          <w:p w14:paraId="3FAA2B8E">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Merge w:val="continue"/>
            <w:vAlign w:val="center"/>
          </w:tcPr>
          <w:p w14:paraId="7E55CD62">
            <w:pPr>
              <w:shd w:val="clear"/>
              <w:spacing w:line="240" w:lineRule="auto"/>
              <w:ind w:firstLine="0" w:firstLineChars="0"/>
              <w:contextualSpacing/>
              <w:jc w:val="center"/>
              <w:rPr>
                <w:color w:val="000000" w:themeColor="text1"/>
                <w:sz w:val="21"/>
                <w14:textFill>
                  <w14:solidFill>
                    <w14:schemeClr w14:val="tx1"/>
                  </w14:solidFill>
                </w14:textFill>
              </w:rPr>
            </w:pPr>
          </w:p>
        </w:tc>
        <w:tc>
          <w:tcPr>
            <w:tcW w:w="697" w:type="pct"/>
            <w:vAlign w:val="center"/>
          </w:tcPr>
          <w:p w14:paraId="3CB530E6">
            <w:pPr>
              <w:shd w:val="clear"/>
              <w:spacing w:line="240" w:lineRule="auto"/>
              <w:ind w:firstLine="0" w:firstLineChars="0"/>
              <w:contextualSpacing/>
              <w:jc w:val="center"/>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1020398</w:t>
            </w:r>
          </w:p>
        </w:tc>
        <w:tc>
          <w:tcPr>
            <w:tcW w:w="1155" w:type="pct"/>
            <w:vAlign w:val="center"/>
          </w:tcPr>
          <w:p w14:paraId="0E21AA9E">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240420008322</w:t>
            </w:r>
          </w:p>
        </w:tc>
        <w:tc>
          <w:tcPr>
            <w:tcW w:w="620" w:type="pct"/>
            <w:vAlign w:val="center"/>
          </w:tcPr>
          <w:p w14:paraId="3C9B38AE">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w:t>
            </w:r>
            <w:r>
              <w:rPr>
                <w:rFonts w:hint="eastAsia"/>
                <w:color w:val="000000" w:themeColor="text1"/>
                <w:sz w:val="21"/>
                <w14:textFill>
                  <w14:solidFill>
                    <w14:schemeClr w14:val="tx1"/>
                  </w14:solidFill>
                </w14:textFill>
              </w:rPr>
              <w:t>12</w: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18</w:t>
            </w:r>
          </w:p>
        </w:tc>
      </w:tr>
    </w:tbl>
    <w:p w14:paraId="338CACEF">
      <w:pPr>
        <w:shd w:val="clea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6.2.1.3类比监测时间及运行工况</w:t>
      </w:r>
    </w:p>
    <w:p w14:paraId="36D314FB">
      <w:pPr>
        <w:shd w:val="clear"/>
        <w:ind w:firstLine="480"/>
        <w:rPr>
          <w:color w:val="000000" w:themeColor="text1"/>
          <w14:textFill>
            <w14:solidFill>
              <w14:schemeClr w14:val="tx1"/>
            </w14:solidFill>
          </w14:textFill>
        </w:rPr>
      </w:pPr>
      <w:r>
        <w:rPr>
          <w:color w:val="000000" w:themeColor="text1"/>
          <w14:textFill>
            <w14:solidFill>
              <w14:schemeClr w14:val="tx1"/>
            </w14:solidFill>
          </w14:textFill>
        </w:rPr>
        <w:t>（1）环境条件</w:t>
      </w:r>
    </w:p>
    <w:p w14:paraId="5AD8B7F3">
      <w:pPr>
        <w:pStyle w:val="67"/>
        <w:shd w:val="clear"/>
        <w:ind w:firstLineChars="0"/>
        <w:rPr>
          <w:color w:val="000000" w:themeColor="text1"/>
          <w14:textFill>
            <w14:solidFill>
              <w14:schemeClr w14:val="tx1"/>
            </w14:solidFill>
          </w14:textFill>
        </w:rPr>
      </w:pPr>
      <w:r>
        <w:rPr>
          <w:color w:val="000000" w:themeColor="text1"/>
          <w14:textFill>
            <w14:solidFill>
              <w14:schemeClr w14:val="tx1"/>
            </w14:solidFill>
          </w14:textFill>
        </w:rPr>
        <w:t>类比线路监测时的环境条件见</w:t>
      </w:r>
      <w:r>
        <w:rPr>
          <w:rFonts w:hint="eastAsia"/>
          <w:color w:val="000000" w:themeColor="text1"/>
          <w14:textFill>
            <w14:solidFill>
              <w14:schemeClr w14:val="tx1"/>
            </w14:solidFill>
          </w14:textFill>
        </w:rPr>
        <w:t>表6.2-4、表6.2-5</w:t>
      </w:r>
      <w:r>
        <w:rPr>
          <w:color w:val="000000" w:themeColor="text1"/>
          <w14:textFill>
            <w14:solidFill>
              <w14:schemeClr w14:val="tx1"/>
            </w14:solidFill>
          </w14:textFill>
        </w:rPr>
        <w:t>。</w:t>
      </w:r>
    </w:p>
    <w:p w14:paraId="4715CC27">
      <w:pPr>
        <w:pStyle w:val="67"/>
        <w:shd w:val="clear"/>
        <w:ind w:firstLine="422"/>
        <w:jc w:val="center"/>
        <w:rPr>
          <w:b/>
          <w:bCs/>
          <w:color w:val="000000" w:themeColor="text1"/>
          <w:sz w:val="21"/>
          <w:szCs w:val="21"/>
          <w14:textFill>
            <w14:solidFill>
              <w14:schemeClr w14:val="tx1"/>
            </w14:solidFill>
          </w14:textFill>
        </w:rPr>
      </w:pPr>
      <w:bookmarkStart w:id="1015" w:name="_Ref177543841"/>
      <w:r>
        <w:rPr>
          <w:rFonts w:hint="eastAsia"/>
          <w:b/>
          <w:bCs/>
          <w:color w:val="000000" w:themeColor="text1"/>
          <w:sz w:val="21"/>
          <w:szCs w:val="21"/>
          <w14:textFill>
            <w14:solidFill>
              <w14:schemeClr w14:val="tx1"/>
            </w14:solidFill>
          </w14:textFill>
        </w:rPr>
        <w:t>表</w:t>
      </w:r>
      <w:bookmarkEnd w:id="1015"/>
      <w:r>
        <w:rPr>
          <w:rFonts w:hint="eastAsia"/>
          <w:b/>
          <w:bCs/>
          <w:color w:val="000000" w:themeColor="text1"/>
          <w:sz w:val="21"/>
          <w:szCs w:val="21"/>
          <w14:textFill>
            <w14:solidFill>
              <w14:schemeClr w14:val="tx1"/>
            </w14:solidFill>
          </w14:textFill>
        </w:rPr>
        <w:t>6.2-4  单回并行线路类比监测环境一览表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2"/>
        <w:gridCol w:w="1010"/>
        <w:gridCol w:w="1021"/>
        <w:gridCol w:w="1794"/>
        <w:gridCol w:w="1794"/>
        <w:gridCol w:w="1667"/>
      </w:tblGrid>
      <w:tr w14:paraId="22EB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6" w:type="pct"/>
            <w:gridSpan w:val="2"/>
            <w:vAlign w:val="center"/>
          </w:tcPr>
          <w:p w14:paraId="2A45DD12">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时间</w:t>
            </w:r>
          </w:p>
        </w:tc>
        <w:tc>
          <w:tcPr>
            <w:tcW w:w="599" w:type="pct"/>
            <w:vAlign w:val="center"/>
          </w:tcPr>
          <w:p w14:paraId="553EBA67">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天气</w:t>
            </w:r>
          </w:p>
        </w:tc>
        <w:tc>
          <w:tcPr>
            <w:tcW w:w="1053" w:type="pct"/>
            <w:vAlign w:val="center"/>
          </w:tcPr>
          <w:p w14:paraId="6281EA77">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相对湿度%</w:t>
            </w:r>
          </w:p>
        </w:tc>
        <w:tc>
          <w:tcPr>
            <w:tcW w:w="1053" w:type="pct"/>
            <w:vAlign w:val="center"/>
          </w:tcPr>
          <w:p w14:paraId="2D0CCA66">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温度℃</w:t>
            </w:r>
          </w:p>
        </w:tc>
        <w:tc>
          <w:tcPr>
            <w:tcW w:w="978" w:type="pct"/>
            <w:vAlign w:val="center"/>
          </w:tcPr>
          <w:p w14:paraId="5EBD657F">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风速m/s</w:t>
            </w:r>
          </w:p>
        </w:tc>
      </w:tr>
      <w:tr w14:paraId="79ED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23" w:type="pct"/>
            <w:vMerge w:val="restart"/>
            <w:vAlign w:val="center"/>
          </w:tcPr>
          <w:p w14:paraId="465AA57D">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2024.6.26</w:t>
            </w:r>
          </w:p>
        </w:tc>
        <w:tc>
          <w:tcPr>
            <w:tcW w:w="592" w:type="pct"/>
            <w:vAlign w:val="center"/>
          </w:tcPr>
          <w:p w14:paraId="1E8B771E">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昼间</w:t>
            </w:r>
          </w:p>
        </w:tc>
        <w:tc>
          <w:tcPr>
            <w:tcW w:w="599" w:type="pct"/>
            <w:vAlign w:val="center"/>
          </w:tcPr>
          <w:p w14:paraId="6765710B">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晴</w:t>
            </w:r>
          </w:p>
        </w:tc>
        <w:tc>
          <w:tcPr>
            <w:tcW w:w="1053" w:type="pct"/>
            <w:vAlign w:val="center"/>
          </w:tcPr>
          <w:p w14:paraId="39AEA736">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19.0~28.1</w:t>
            </w:r>
          </w:p>
        </w:tc>
        <w:tc>
          <w:tcPr>
            <w:tcW w:w="1053" w:type="pct"/>
            <w:vAlign w:val="center"/>
          </w:tcPr>
          <w:p w14:paraId="7C5191E3">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32.1~38.6</w:t>
            </w:r>
          </w:p>
        </w:tc>
        <w:tc>
          <w:tcPr>
            <w:tcW w:w="978" w:type="pct"/>
            <w:vAlign w:val="center"/>
          </w:tcPr>
          <w:p w14:paraId="6056B869">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2.6~3.5</w:t>
            </w:r>
          </w:p>
        </w:tc>
      </w:tr>
      <w:tr w14:paraId="063C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23" w:type="pct"/>
            <w:vMerge w:val="continue"/>
            <w:vAlign w:val="center"/>
          </w:tcPr>
          <w:p w14:paraId="256A652B">
            <w:pPr>
              <w:shd w:val="clear"/>
              <w:spacing w:line="240" w:lineRule="auto"/>
              <w:ind w:firstLine="0" w:firstLineChars="0"/>
              <w:jc w:val="center"/>
              <w:rPr>
                <w:color w:val="000000" w:themeColor="text1"/>
                <w:sz w:val="21"/>
                <w:szCs w:val="21"/>
                <w14:textFill>
                  <w14:solidFill>
                    <w14:schemeClr w14:val="tx1"/>
                  </w14:solidFill>
                </w14:textFill>
              </w:rPr>
            </w:pPr>
          </w:p>
        </w:tc>
        <w:tc>
          <w:tcPr>
            <w:tcW w:w="592" w:type="pct"/>
            <w:vAlign w:val="center"/>
          </w:tcPr>
          <w:p w14:paraId="7DB7E814">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夜间</w:t>
            </w:r>
          </w:p>
        </w:tc>
        <w:tc>
          <w:tcPr>
            <w:tcW w:w="599" w:type="pct"/>
            <w:vAlign w:val="center"/>
          </w:tcPr>
          <w:p w14:paraId="134F2FB8">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晴</w:t>
            </w:r>
          </w:p>
        </w:tc>
        <w:tc>
          <w:tcPr>
            <w:tcW w:w="1053" w:type="pct"/>
            <w:vAlign w:val="center"/>
          </w:tcPr>
          <w:p w14:paraId="5FE66169">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20.1~21.2</w:t>
            </w:r>
          </w:p>
        </w:tc>
        <w:tc>
          <w:tcPr>
            <w:tcW w:w="1053" w:type="pct"/>
            <w:vAlign w:val="center"/>
          </w:tcPr>
          <w:p w14:paraId="2433E27F">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28.9~29.7</w:t>
            </w:r>
          </w:p>
        </w:tc>
        <w:tc>
          <w:tcPr>
            <w:tcW w:w="978" w:type="pct"/>
            <w:vAlign w:val="center"/>
          </w:tcPr>
          <w:p w14:paraId="7584E472">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2.4~2.9</w:t>
            </w:r>
          </w:p>
        </w:tc>
      </w:tr>
    </w:tbl>
    <w:p w14:paraId="686E147E">
      <w:pPr>
        <w:keepNext/>
        <w:shd w:val="clear"/>
        <w:spacing w:before="120" w:beforeLines="50" w:line="240" w:lineRule="auto"/>
        <w:ind w:firstLine="0" w:firstLineChars="0"/>
        <w:jc w:val="center"/>
        <w:rPr>
          <w:b/>
          <w:bCs/>
          <w:snapToGrid w:val="0"/>
          <w:color w:val="000000" w:themeColor="text1"/>
          <w:sz w:val="21"/>
          <w:szCs w:val="21"/>
          <w14:textFill>
            <w14:solidFill>
              <w14:schemeClr w14:val="tx1"/>
            </w14:solidFill>
          </w14:textFill>
        </w:rPr>
      </w:pPr>
      <w:r>
        <w:rPr>
          <w:rFonts w:hint="eastAsia"/>
          <w:b/>
          <w:bCs/>
          <w:snapToGrid w:val="0"/>
          <w:color w:val="000000" w:themeColor="text1"/>
          <w:sz w:val="21"/>
          <w:szCs w:val="21"/>
          <w14:textFill>
            <w14:solidFill>
              <w14:schemeClr w14:val="tx1"/>
            </w14:solidFill>
          </w14:textFill>
        </w:rPr>
        <w:t>表6.2-5  同塔双回线路类比监测环境一览表</w:t>
      </w:r>
    </w:p>
    <w:tbl>
      <w:tblPr>
        <w:tblStyle w:val="59"/>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97"/>
        <w:gridCol w:w="2286"/>
        <w:gridCol w:w="1775"/>
        <w:gridCol w:w="2351"/>
      </w:tblGrid>
      <w:tr w14:paraId="7D60E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141" w:type="pct"/>
            <w:vAlign w:val="center"/>
          </w:tcPr>
          <w:p w14:paraId="621517D0">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日期</w:t>
            </w:r>
          </w:p>
        </w:tc>
        <w:tc>
          <w:tcPr>
            <w:tcW w:w="1375" w:type="pct"/>
            <w:vAlign w:val="center"/>
          </w:tcPr>
          <w:p w14:paraId="5E3F71EF">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天气</w:t>
            </w:r>
          </w:p>
        </w:tc>
        <w:tc>
          <w:tcPr>
            <w:tcW w:w="1068" w:type="pct"/>
            <w:vAlign w:val="center"/>
          </w:tcPr>
          <w:p w14:paraId="4302C2D4">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风向</w:t>
            </w:r>
          </w:p>
        </w:tc>
        <w:tc>
          <w:tcPr>
            <w:tcW w:w="1414" w:type="pct"/>
            <w:vAlign w:val="center"/>
          </w:tcPr>
          <w:p w14:paraId="5BF91329">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平均风速（m/s）</w:t>
            </w:r>
          </w:p>
        </w:tc>
      </w:tr>
      <w:tr w14:paraId="7242C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41" w:type="pct"/>
            <w:vAlign w:val="center"/>
          </w:tcPr>
          <w:p w14:paraId="09405023">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2024.12.31</w:t>
            </w:r>
          </w:p>
        </w:tc>
        <w:tc>
          <w:tcPr>
            <w:tcW w:w="1375" w:type="pct"/>
            <w:vAlign w:val="center"/>
          </w:tcPr>
          <w:p w14:paraId="034F008C">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阴</w:t>
            </w:r>
          </w:p>
        </w:tc>
        <w:tc>
          <w:tcPr>
            <w:tcW w:w="1068" w:type="pct"/>
            <w:vAlign w:val="center"/>
          </w:tcPr>
          <w:p w14:paraId="08D4A652">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东北</w:t>
            </w:r>
          </w:p>
        </w:tc>
        <w:tc>
          <w:tcPr>
            <w:tcW w:w="1414" w:type="pct"/>
            <w:vAlign w:val="center"/>
          </w:tcPr>
          <w:p w14:paraId="60FD58C1">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1.6</w:t>
            </w:r>
          </w:p>
        </w:tc>
      </w:tr>
    </w:tbl>
    <w:p w14:paraId="05F669DF">
      <w:pPr>
        <w:shd w:val="clear"/>
        <w:ind w:firstLine="480"/>
        <w:rPr>
          <w:color w:val="000000" w:themeColor="text1"/>
          <w14:textFill>
            <w14:solidFill>
              <w14:schemeClr w14:val="tx1"/>
            </w14:solidFill>
          </w14:textFill>
        </w:rPr>
      </w:pPr>
      <w:r>
        <w:rPr>
          <w:color w:val="000000" w:themeColor="text1"/>
          <w14:textFill>
            <w14:solidFill>
              <w14:schemeClr w14:val="tx1"/>
            </w14:solidFill>
          </w14:textFill>
        </w:rPr>
        <w:t>（2）工况负荷</w:t>
      </w:r>
    </w:p>
    <w:p w14:paraId="594853AC">
      <w:pPr>
        <w:pStyle w:val="67"/>
        <w:shd w:val="clear"/>
        <w:jc w:val="left"/>
        <w:rPr>
          <w:color w:val="000000" w:themeColor="text1"/>
          <w14:textFill>
            <w14:solidFill>
              <w14:schemeClr w14:val="tx1"/>
            </w14:solidFill>
          </w14:textFill>
        </w:rPr>
      </w:pPr>
      <w:r>
        <w:rPr>
          <w:color w:val="000000" w:themeColor="text1"/>
          <w14:textFill>
            <w14:solidFill>
              <w14:schemeClr w14:val="tx1"/>
            </w14:solidFill>
          </w14:textFill>
        </w:rPr>
        <w:t>验收监测期间相关工程运行工况见表6.</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6、表6.2-7</w:t>
      </w:r>
      <w:r>
        <w:rPr>
          <w:color w:val="000000" w:themeColor="text1"/>
          <w14:textFill>
            <w14:solidFill>
              <w14:schemeClr w14:val="tx1"/>
            </w14:solidFill>
          </w14:textFill>
        </w:rPr>
        <w:t>。</w:t>
      </w:r>
    </w:p>
    <w:p w14:paraId="46BEC826">
      <w:pPr>
        <w:pStyle w:val="67"/>
        <w:shd w:val="clear"/>
        <w:ind w:firstLine="422"/>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表6.2-6  单回路并行线路</w:t>
      </w:r>
      <w:r>
        <w:rPr>
          <w:b/>
          <w:bCs/>
          <w:color w:val="000000" w:themeColor="text1"/>
          <w:sz w:val="21"/>
          <w:szCs w:val="21"/>
          <w14:textFill>
            <w14:solidFill>
              <w14:schemeClr w14:val="tx1"/>
            </w14:solidFill>
          </w14:textFill>
        </w:rPr>
        <w:t>类比监测期间线路运行工况</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1681"/>
        <w:gridCol w:w="1681"/>
        <w:gridCol w:w="1950"/>
        <w:gridCol w:w="1532"/>
      </w:tblGrid>
      <w:tr w14:paraId="126B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82" w:type="pct"/>
            <w:vAlign w:val="center"/>
          </w:tcPr>
          <w:p w14:paraId="20112B67">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线路名称</w:t>
            </w:r>
          </w:p>
        </w:tc>
        <w:tc>
          <w:tcPr>
            <w:tcW w:w="986" w:type="pct"/>
            <w:vAlign w:val="center"/>
          </w:tcPr>
          <w:p w14:paraId="4DBAE0D7">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电压（kV）</w:t>
            </w:r>
          </w:p>
        </w:tc>
        <w:tc>
          <w:tcPr>
            <w:tcW w:w="986" w:type="pct"/>
            <w:vAlign w:val="center"/>
          </w:tcPr>
          <w:p w14:paraId="15506A74">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电流（A）</w:t>
            </w:r>
          </w:p>
        </w:tc>
        <w:tc>
          <w:tcPr>
            <w:tcW w:w="1144" w:type="pct"/>
            <w:vAlign w:val="center"/>
          </w:tcPr>
          <w:p w14:paraId="4910AF85">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有功（MW）</w:t>
            </w:r>
          </w:p>
        </w:tc>
        <w:tc>
          <w:tcPr>
            <w:tcW w:w="899" w:type="pct"/>
            <w:vAlign w:val="center"/>
          </w:tcPr>
          <w:p w14:paraId="202A50D1">
            <w:pPr>
              <w:shd w:val="clea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无功（Mvar）</w:t>
            </w:r>
          </w:p>
        </w:tc>
      </w:tr>
      <w:tr w14:paraId="1517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82" w:type="pct"/>
            <w:vAlign w:val="center"/>
          </w:tcPr>
          <w:p w14:paraId="3545925F">
            <w:pPr>
              <w:shd w:val="clea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750kV彩渠Ⅱ线</w:t>
            </w:r>
          </w:p>
        </w:tc>
        <w:tc>
          <w:tcPr>
            <w:tcW w:w="986" w:type="pct"/>
            <w:vAlign w:val="center"/>
          </w:tcPr>
          <w:p w14:paraId="490D0766">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770.42~780.70</w:t>
            </w:r>
          </w:p>
        </w:tc>
        <w:tc>
          <w:tcPr>
            <w:tcW w:w="986" w:type="pct"/>
            <w:vAlign w:val="center"/>
          </w:tcPr>
          <w:p w14:paraId="13E1B970">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8.651~1407.91</w:t>
            </w:r>
          </w:p>
        </w:tc>
        <w:tc>
          <w:tcPr>
            <w:tcW w:w="1144" w:type="pct"/>
            <w:vAlign w:val="center"/>
          </w:tcPr>
          <w:p w14:paraId="5593A7F2">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228.22~1892.03</w:t>
            </w:r>
          </w:p>
        </w:tc>
        <w:tc>
          <w:tcPr>
            <w:tcW w:w="899" w:type="pct"/>
            <w:vAlign w:val="center"/>
          </w:tcPr>
          <w:p w14:paraId="1C9ED9D7">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40.177~261.84</w:t>
            </w:r>
          </w:p>
        </w:tc>
      </w:tr>
      <w:tr w14:paraId="5660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82" w:type="pct"/>
            <w:vAlign w:val="center"/>
          </w:tcPr>
          <w:p w14:paraId="4C6BF87B">
            <w:pPr>
              <w:shd w:val="clea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750kV渠蒋Ⅱ线</w:t>
            </w:r>
          </w:p>
        </w:tc>
        <w:tc>
          <w:tcPr>
            <w:tcW w:w="986" w:type="pct"/>
            <w:vAlign w:val="center"/>
          </w:tcPr>
          <w:p w14:paraId="65285D99">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769.94~779.95</w:t>
            </w:r>
          </w:p>
        </w:tc>
        <w:tc>
          <w:tcPr>
            <w:tcW w:w="986" w:type="pct"/>
            <w:vAlign w:val="center"/>
          </w:tcPr>
          <w:p w14:paraId="589BAB65">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31.892~869.31</w:t>
            </w:r>
          </w:p>
        </w:tc>
        <w:tc>
          <w:tcPr>
            <w:tcW w:w="1144" w:type="pct"/>
            <w:vAlign w:val="center"/>
          </w:tcPr>
          <w:p w14:paraId="670B2259">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1074.74~1217.7</w:t>
            </w:r>
          </w:p>
        </w:tc>
        <w:tc>
          <w:tcPr>
            <w:tcW w:w="899" w:type="pct"/>
            <w:vAlign w:val="center"/>
          </w:tcPr>
          <w:p w14:paraId="31319650">
            <w:pPr>
              <w:shd w:val="clea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43.817~192.66</w:t>
            </w:r>
          </w:p>
        </w:tc>
      </w:tr>
    </w:tbl>
    <w:p w14:paraId="441F87B5">
      <w:pPr>
        <w:keepNext/>
        <w:shd w:val="clear"/>
        <w:ind w:firstLine="0" w:firstLineChars="0"/>
        <w:jc w:val="center"/>
        <w:rPr>
          <w:b/>
          <w:color w:val="000000" w:themeColor="text1"/>
          <w14:textFill>
            <w14:solidFill>
              <w14:schemeClr w14:val="tx1"/>
            </w14:solidFill>
          </w14:textFill>
        </w:rPr>
      </w:pPr>
      <w:r>
        <w:rPr>
          <w:b/>
          <w:color w:val="000000" w:themeColor="text1"/>
          <w:sz w:val="21"/>
          <w:szCs w:val="21"/>
          <w14:textFill>
            <w14:solidFill>
              <w14:schemeClr w14:val="tx1"/>
            </w14:solidFill>
          </w14:textFill>
        </w:rPr>
        <w:t>表6.</w:t>
      </w:r>
      <w:r>
        <w:rPr>
          <w:rFonts w:hint="eastAsia"/>
          <w:b/>
          <w:color w:val="000000" w:themeColor="text1"/>
          <w:sz w:val="21"/>
          <w:szCs w:val="21"/>
          <w14:textFill>
            <w14:solidFill>
              <w14:schemeClr w14:val="tx1"/>
            </w14:solidFill>
          </w14:textFill>
        </w:rPr>
        <w:t>2</w:t>
      </w:r>
      <w:r>
        <w:rPr>
          <w:b/>
          <w:color w:val="000000" w:themeColor="text1"/>
          <w:sz w:val="21"/>
          <w:szCs w:val="21"/>
          <w14:textFill>
            <w14:solidFill>
              <w14:schemeClr w14:val="tx1"/>
            </w14:solidFill>
          </w14:textFill>
        </w:rPr>
        <w:t>-</w:t>
      </w:r>
      <w:r>
        <w:rPr>
          <w:rFonts w:hint="eastAsia"/>
          <w:b/>
          <w:color w:val="000000" w:themeColor="text1"/>
          <w:sz w:val="21"/>
          <w:szCs w:val="21"/>
          <w14:textFill>
            <w14:solidFill>
              <w14:schemeClr w14:val="tx1"/>
            </w14:solidFill>
          </w14:textFill>
        </w:rPr>
        <w:t>7</w:t>
      </w:r>
      <w:r>
        <w:rPr>
          <w:b/>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同塔双回线路</w:t>
      </w:r>
      <w:r>
        <w:rPr>
          <w:b/>
          <w:bCs/>
          <w:color w:val="000000" w:themeColor="text1"/>
          <w:sz w:val="21"/>
          <w:szCs w:val="21"/>
          <w14:textFill>
            <w14:solidFill>
              <w14:schemeClr w14:val="tx1"/>
            </w14:solidFill>
          </w14:textFill>
        </w:rPr>
        <w:t>类比监测期间线路运行工况</w:t>
      </w:r>
    </w:p>
    <w:tbl>
      <w:tblPr>
        <w:tblStyle w:val="59"/>
        <w:tblW w:w="501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42"/>
        <w:gridCol w:w="1330"/>
        <w:gridCol w:w="748"/>
        <w:gridCol w:w="748"/>
        <w:gridCol w:w="748"/>
        <w:gridCol w:w="748"/>
        <w:gridCol w:w="763"/>
        <w:gridCol w:w="764"/>
        <w:gridCol w:w="763"/>
        <w:gridCol w:w="784"/>
      </w:tblGrid>
      <w:tr w14:paraId="2B5A1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565" w:type="pct"/>
            <w:vMerge w:val="restart"/>
            <w:tcBorders>
              <w:bottom w:val="nil"/>
            </w:tcBorders>
            <w:vAlign w:val="center"/>
          </w:tcPr>
          <w:p w14:paraId="08A60F50">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名称</w:t>
            </w:r>
          </w:p>
        </w:tc>
        <w:tc>
          <w:tcPr>
            <w:tcW w:w="797" w:type="pct"/>
            <w:vMerge w:val="restart"/>
            <w:tcBorders>
              <w:bottom w:val="nil"/>
            </w:tcBorders>
            <w:vAlign w:val="center"/>
          </w:tcPr>
          <w:p w14:paraId="65A61A65">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日期</w:t>
            </w:r>
          </w:p>
        </w:tc>
        <w:tc>
          <w:tcPr>
            <w:tcW w:w="896" w:type="pct"/>
            <w:gridSpan w:val="2"/>
            <w:vAlign w:val="center"/>
          </w:tcPr>
          <w:p w14:paraId="304F8695">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电压（kV）</w:t>
            </w:r>
          </w:p>
        </w:tc>
        <w:tc>
          <w:tcPr>
            <w:tcW w:w="896" w:type="pct"/>
            <w:gridSpan w:val="2"/>
            <w:vAlign w:val="center"/>
          </w:tcPr>
          <w:p w14:paraId="75EADF90">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电流</w:t>
            </w:r>
            <w:r>
              <w:rPr>
                <w:rFonts w:hint="eastAsia"/>
                <w:b/>
                <w:bCs/>
                <w:color w:val="000000" w:themeColor="text1"/>
                <w:sz w:val="21"/>
                <w14:textFill>
                  <w14:solidFill>
                    <w14:schemeClr w14:val="tx1"/>
                  </w14:solidFill>
                </w14:textFill>
              </w:rPr>
              <w:t>（</w:t>
            </w:r>
            <w:r>
              <w:rPr>
                <w:b/>
                <w:bCs/>
                <w:color w:val="000000" w:themeColor="text1"/>
                <w:sz w:val="21"/>
                <w14:textFill>
                  <w14:solidFill>
                    <w14:schemeClr w14:val="tx1"/>
                  </w14:solidFill>
                </w14:textFill>
              </w:rPr>
              <w:t>A</w:t>
            </w:r>
            <w:r>
              <w:rPr>
                <w:rFonts w:hint="eastAsia"/>
                <w:b/>
                <w:bCs/>
                <w:color w:val="000000" w:themeColor="text1"/>
                <w:sz w:val="21"/>
                <w14:textFill>
                  <w14:solidFill>
                    <w14:schemeClr w14:val="tx1"/>
                  </w14:solidFill>
                </w14:textFill>
              </w:rPr>
              <w:t>）</w:t>
            </w:r>
          </w:p>
        </w:tc>
        <w:tc>
          <w:tcPr>
            <w:tcW w:w="915" w:type="pct"/>
            <w:gridSpan w:val="2"/>
            <w:vAlign w:val="center"/>
          </w:tcPr>
          <w:p w14:paraId="4E8F848F">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有功（MW）</w:t>
            </w:r>
          </w:p>
        </w:tc>
        <w:tc>
          <w:tcPr>
            <w:tcW w:w="927" w:type="pct"/>
            <w:gridSpan w:val="2"/>
            <w:vAlign w:val="center"/>
          </w:tcPr>
          <w:p w14:paraId="72DD357E">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无功（Mvar）</w:t>
            </w:r>
          </w:p>
        </w:tc>
      </w:tr>
      <w:tr w14:paraId="218FB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565" w:type="pct"/>
            <w:vMerge w:val="continue"/>
            <w:tcBorders>
              <w:top w:val="nil"/>
              <w:bottom w:val="single" w:color="auto" w:sz="4" w:space="0"/>
            </w:tcBorders>
            <w:vAlign w:val="center"/>
          </w:tcPr>
          <w:p w14:paraId="3947E1CF">
            <w:pPr>
              <w:shd w:val="clear"/>
              <w:spacing w:line="240" w:lineRule="auto"/>
              <w:ind w:firstLine="0" w:firstLineChars="0"/>
              <w:contextualSpacing/>
              <w:jc w:val="center"/>
              <w:rPr>
                <w:b/>
                <w:bCs/>
                <w:color w:val="000000" w:themeColor="text1"/>
                <w:sz w:val="21"/>
                <w14:textFill>
                  <w14:solidFill>
                    <w14:schemeClr w14:val="tx1"/>
                  </w14:solidFill>
                </w14:textFill>
              </w:rPr>
            </w:pPr>
          </w:p>
        </w:tc>
        <w:tc>
          <w:tcPr>
            <w:tcW w:w="797" w:type="pct"/>
            <w:vMerge w:val="continue"/>
            <w:tcBorders>
              <w:top w:val="nil"/>
              <w:bottom w:val="single" w:color="auto" w:sz="4" w:space="0"/>
            </w:tcBorders>
            <w:vAlign w:val="center"/>
          </w:tcPr>
          <w:p w14:paraId="15AEA542">
            <w:pPr>
              <w:shd w:val="clear"/>
              <w:spacing w:line="240" w:lineRule="auto"/>
              <w:ind w:firstLine="0" w:firstLineChars="0"/>
              <w:contextualSpacing/>
              <w:jc w:val="center"/>
              <w:rPr>
                <w:b/>
                <w:bCs/>
                <w:color w:val="000000" w:themeColor="text1"/>
                <w:sz w:val="21"/>
                <w14:textFill>
                  <w14:solidFill>
                    <w14:schemeClr w14:val="tx1"/>
                  </w14:solidFill>
                </w14:textFill>
              </w:rPr>
            </w:pPr>
          </w:p>
        </w:tc>
        <w:tc>
          <w:tcPr>
            <w:tcW w:w="448" w:type="pct"/>
            <w:tcBorders>
              <w:bottom w:val="single" w:color="auto" w:sz="4" w:space="0"/>
            </w:tcBorders>
            <w:vAlign w:val="center"/>
          </w:tcPr>
          <w:p w14:paraId="68068D65">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最小值</w:t>
            </w:r>
          </w:p>
        </w:tc>
        <w:tc>
          <w:tcPr>
            <w:tcW w:w="448" w:type="pct"/>
            <w:tcBorders>
              <w:bottom w:val="single" w:color="auto" w:sz="4" w:space="0"/>
            </w:tcBorders>
            <w:vAlign w:val="center"/>
          </w:tcPr>
          <w:p w14:paraId="5E6B5347">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最大值</w:t>
            </w:r>
          </w:p>
        </w:tc>
        <w:tc>
          <w:tcPr>
            <w:tcW w:w="448" w:type="pct"/>
            <w:tcBorders>
              <w:bottom w:val="single" w:color="auto" w:sz="4" w:space="0"/>
            </w:tcBorders>
            <w:vAlign w:val="center"/>
          </w:tcPr>
          <w:p w14:paraId="5666A0BC">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最小值</w:t>
            </w:r>
          </w:p>
        </w:tc>
        <w:tc>
          <w:tcPr>
            <w:tcW w:w="448" w:type="pct"/>
            <w:tcBorders>
              <w:bottom w:val="single" w:color="auto" w:sz="4" w:space="0"/>
            </w:tcBorders>
            <w:vAlign w:val="center"/>
          </w:tcPr>
          <w:p w14:paraId="3A313340">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最大值</w:t>
            </w:r>
          </w:p>
        </w:tc>
        <w:tc>
          <w:tcPr>
            <w:tcW w:w="457" w:type="pct"/>
            <w:tcBorders>
              <w:bottom w:val="single" w:color="auto" w:sz="4" w:space="0"/>
            </w:tcBorders>
            <w:vAlign w:val="center"/>
          </w:tcPr>
          <w:p w14:paraId="0C87E7C2">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最小值</w:t>
            </w:r>
          </w:p>
        </w:tc>
        <w:tc>
          <w:tcPr>
            <w:tcW w:w="458" w:type="pct"/>
            <w:tcBorders>
              <w:bottom w:val="single" w:color="auto" w:sz="4" w:space="0"/>
            </w:tcBorders>
            <w:vAlign w:val="center"/>
          </w:tcPr>
          <w:p w14:paraId="54D2B838">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最大值</w:t>
            </w:r>
          </w:p>
        </w:tc>
        <w:tc>
          <w:tcPr>
            <w:tcW w:w="457" w:type="pct"/>
            <w:tcBorders>
              <w:bottom w:val="single" w:color="auto" w:sz="4" w:space="0"/>
            </w:tcBorders>
            <w:vAlign w:val="center"/>
          </w:tcPr>
          <w:p w14:paraId="32F225C5">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最小值</w:t>
            </w:r>
          </w:p>
        </w:tc>
        <w:tc>
          <w:tcPr>
            <w:tcW w:w="470" w:type="pct"/>
            <w:tcBorders>
              <w:bottom w:val="single" w:color="auto" w:sz="4" w:space="0"/>
            </w:tcBorders>
            <w:vAlign w:val="center"/>
          </w:tcPr>
          <w:p w14:paraId="0E9FBFDA">
            <w:pPr>
              <w:shd w:val="clear"/>
              <w:spacing w:line="240" w:lineRule="auto"/>
              <w:ind w:firstLine="0" w:firstLineChars="0"/>
              <w:contextualSpacing/>
              <w:jc w:val="center"/>
              <w:rPr>
                <w:b/>
                <w:bCs/>
                <w:color w:val="000000" w:themeColor="text1"/>
                <w:sz w:val="21"/>
                <w14:textFill>
                  <w14:solidFill>
                    <w14:schemeClr w14:val="tx1"/>
                  </w14:solidFill>
                </w14:textFill>
              </w:rPr>
            </w:pPr>
            <w:r>
              <w:rPr>
                <w:b/>
                <w:bCs/>
                <w:color w:val="000000" w:themeColor="text1"/>
                <w:sz w:val="21"/>
                <w14:textFill>
                  <w14:solidFill>
                    <w14:schemeClr w14:val="tx1"/>
                  </w14:solidFill>
                </w14:textFill>
              </w:rPr>
              <w:t>最大值</w:t>
            </w:r>
          </w:p>
        </w:tc>
      </w:tr>
      <w:tr w14:paraId="29788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565" w:type="pct"/>
            <w:tcBorders>
              <w:top w:val="single" w:color="auto" w:sz="4" w:space="0"/>
              <w:left w:val="single" w:color="auto" w:sz="4" w:space="0"/>
              <w:bottom w:val="single" w:color="auto" w:sz="4" w:space="0"/>
              <w:right w:val="single" w:color="auto" w:sz="4" w:space="0"/>
            </w:tcBorders>
            <w:vAlign w:val="center"/>
          </w:tcPr>
          <w:p w14:paraId="20FA8CB2">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乌格一线</w:t>
            </w:r>
          </w:p>
        </w:tc>
        <w:tc>
          <w:tcPr>
            <w:tcW w:w="797" w:type="pct"/>
            <w:tcBorders>
              <w:top w:val="single" w:color="auto" w:sz="4" w:space="0"/>
              <w:left w:val="single" w:color="auto" w:sz="4" w:space="0"/>
              <w:bottom w:val="single" w:color="auto" w:sz="4" w:space="0"/>
              <w:right w:val="single" w:color="auto" w:sz="4" w:space="0"/>
            </w:tcBorders>
            <w:vAlign w:val="center"/>
          </w:tcPr>
          <w:p w14:paraId="46F450D2">
            <w:pPr>
              <w:shd w:val="clear"/>
              <w:spacing w:line="240" w:lineRule="auto"/>
              <w:ind w:firstLine="0" w:firstLineChars="0"/>
              <w:contextualSpacing/>
              <w:jc w:val="center"/>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2024.</w:t>
            </w:r>
            <w:r>
              <w:rPr>
                <w:color w:val="000000" w:themeColor="text1"/>
                <w:sz w:val="21"/>
                <w14:textFill>
                  <w14:solidFill>
                    <w14:schemeClr w14:val="tx1"/>
                  </w14:solidFill>
                </w14:textFill>
              </w:rPr>
              <w:t>12</w:t>
            </w:r>
            <w:r>
              <w:rPr>
                <w:rFonts w:hint="eastAsia"/>
                <w:color w:val="000000" w:themeColor="text1"/>
                <w:sz w:val="21"/>
                <w14:textFill>
                  <w14:solidFill>
                    <w14:schemeClr w14:val="tx1"/>
                  </w14:solidFill>
                </w14:textFill>
              </w:rPr>
              <w:t>.</w:t>
            </w:r>
            <w:r>
              <w:rPr>
                <w:color w:val="000000" w:themeColor="text1"/>
                <w:sz w:val="21"/>
                <w14:textFill>
                  <w14:solidFill>
                    <w14:schemeClr w14:val="tx1"/>
                  </w14:solidFill>
                </w14:textFill>
              </w:rPr>
              <w:t>31</w:t>
            </w:r>
          </w:p>
        </w:tc>
        <w:tc>
          <w:tcPr>
            <w:tcW w:w="448" w:type="pct"/>
            <w:tcBorders>
              <w:top w:val="single" w:color="auto" w:sz="4" w:space="0"/>
              <w:left w:val="single" w:color="auto" w:sz="4" w:space="0"/>
              <w:bottom w:val="single" w:color="auto" w:sz="4" w:space="0"/>
              <w:right w:val="single" w:color="auto" w:sz="4" w:space="0"/>
            </w:tcBorders>
            <w:vAlign w:val="center"/>
          </w:tcPr>
          <w:p w14:paraId="25CD5F0F">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773.50</w:t>
            </w:r>
          </w:p>
        </w:tc>
        <w:tc>
          <w:tcPr>
            <w:tcW w:w="448" w:type="pct"/>
            <w:tcBorders>
              <w:top w:val="single" w:color="auto" w:sz="4" w:space="0"/>
              <w:left w:val="single" w:color="auto" w:sz="4" w:space="0"/>
              <w:bottom w:val="single" w:color="auto" w:sz="4" w:space="0"/>
              <w:right w:val="single" w:color="auto" w:sz="4" w:space="0"/>
            </w:tcBorders>
            <w:vAlign w:val="center"/>
          </w:tcPr>
          <w:p w14:paraId="52C482F6">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785.74</w:t>
            </w:r>
          </w:p>
        </w:tc>
        <w:tc>
          <w:tcPr>
            <w:tcW w:w="448" w:type="pct"/>
            <w:tcBorders>
              <w:top w:val="single" w:color="auto" w:sz="4" w:space="0"/>
              <w:left w:val="single" w:color="auto" w:sz="4" w:space="0"/>
              <w:bottom w:val="single" w:color="auto" w:sz="4" w:space="0"/>
              <w:right w:val="single" w:color="auto" w:sz="4" w:space="0"/>
            </w:tcBorders>
            <w:vAlign w:val="center"/>
          </w:tcPr>
          <w:p w14:paraId="57E10044">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105.22</w:t>
            </w:r>
          </w:p>
        </w:tc>
        <w:tc>
          <w:tcPr>
            <w:tcW w:w="448" w:type="pct"/>
            <w:tcBorders>
              <w:top w:val="single" w:color="auto" w:sz="4" w:space="0"/>
              <w:left w:val="single" w:color="auto" w:sz="4" w:space="0"/>
              <w:bottom w:val="single" w:color="auto" w:sz="4" w:space="0"/>
              <w:right w:val="single" w:color="auto" w:sz="4" w:space="0"/>
            </w:tcBorders>
            <w:vAlign w:val="center"/>
          </w:tcPr>
          <w:p w14:paraId="6DD415EE">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321.14</w:t>
            </w:r>
          </w:p>
        </w:tc>
        <w:tc>
          <w:tcPr>
            <w:tcW w:w="457" w:type="pct"/>
            <w:tcBorders>
              <w:top w:val="single" w:color="auto" w:sz="4" w:space="0"/>
              <w:left w:val="single" w:color="auto" w:sz="4" w:space="0"/>
              <w:bottom w:val="single" w:color="auto" w:sz="4" w:space="0"/>
              <w:right w:val="single" w:color="auto" w:sz="4" w:space="0"/>
            </w:tcBorders>
            <w:vAlign w:val="center"/>
          </w:tcPr>
          <w:p w14:paraId="7C5A3482">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-98.34</w:t>
            </w:r>
          </w:p>
        </w:tc>
        <w:tc>
          <w:tcPr>
            <w:tcW w:w="458" w:type="pct"/>
            <w:tcBorders>
              <w:top w:val="single" w:color="auto" w:sz="4" w:space="0"/>
              <w:left w:val="single" w:color="auto" w:sz="4" w:space="0"/>
              <w:bottom w:val="single" w:color="auto" w:sz="4" w:space="0"/>
              <w:right w:val="single" w:color="auto" w:sz="4" w:space="0"/>
            </w:tcBorders>
            <w:vAlign w:val="center"/>
          </w:tcPr>
          <w:p w14:paraId="2B9D528B">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384.56</w:t>
            </w:r>
          </w:p>
        </w:tc>
        <w:tc>
          <w:tcPr>
            <w:tcW w:w="457" w:type="pct"/>
            <w:tcBorders>
              <w:top w:val="single" w:color="auto" w:sz="4" w:space="0"/>
              <w:left w:val="single" w:color="auto" w:sz="4" w:space="0"/>
              <w:bottom w:val="single" w:color="auto" w:sz="4" w:space="0"/>
              <w:right w:val="single" w:color="auto" w:sz="4" w:space="0"/>
            </w:tcBorders>
            <w:vAlign w:val="center"/>
          </w:tcPr>
          <w:p w14:paraId="4D7466F4">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-173.67</w:t>
            </w:r>
          </w:p>
        </w:tc>
        <w:tc>
          <w:tcPr>
            <w:tcW w:w="470" w:type="pct"/>
            <w:tcBorders>
              <w:top w:val="single" w:color="auto" w:sz="4" w:space="0"/>
              <w:left w:val="single" w:color="auto" w:sz="4" w:space="0"/>
              <w:bottom w:val="single" w:color="auto" w:sz="4" w:space="0"/>
              <w:right w:val="single" w:color="auto" w:sz="4" w:space="0"/>
            </w:tcBorders>
            <w:vAlign w:val="center"/>
          </w:tcPr>
          <w:p w14:paraId="059E6AEC">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-138.15</w:t>
            </w:r>
          </w:p>
        </w:tc>
      </w:tr>
      <w:tr w14:paraId="2D7CF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565" w:type="pct"/>
            <w:tcBorders>
              <w:top w:val="single" w:color="auto" w:sz="4" w:space="0"/>
              <w:left w:val="single" w:color="auto" w:sz="4" w:space="0"/>
              <w:bottom w:val="single" w:color="auto" w:sz="4" w:space="0"/>
              <w:right w:val="single" w:color="auto" w:sz="4" w:space="0"/>
            </w:tcBorders>
            <w:vAlign w:val="center"/>
          </w:tcPr>
          <w:p w14:paraId="1130163E">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乌格Ⅱ线</w:t>
            </w:r>
          </w:p>
        </w:tc>
        <w:tc>
          <w:tcPr>
            <w:tcW w:w="797" w:type="pct"/>
            <w:tcBorders>
              <w:top w:val="single" w:color="auto" w:sz="4" w:space="0"/>
              <w:left w:val="single" w:color="auto" w:sz="4" w:space="0"/>
              <w:bottom w:val="single" w:color="auto" w:sz="4" w:space="0"/>
              <w:right w:val="single" w:color="auto" w:sz="4" w:space="0"/>
            </w:tcBorders>
            <w:vAlign w:val="center"/>
          </w:tcPr>
          <w:p w14:paraId="7CD1F94C">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2024.12.31</w:t>
            </w:r>
          </w:p>
        </w:tc>
        <w:tc>
          <w:tcPr>
            <w:tcW w:w="448" w:type="pct"/>
            <w:tcBorders>
              <w:top w:val="single" w:color="auto" w:sz="4" w:space="0"/>
              <w:left w:val="single" w:color="auto" w:sz="4" w:space="0"/>
              <w:bottom w:val="single" w:color="auto" w:sz="4" w:space="0"/>
              <w:right w:val="single" w:color="auto" w:sz="4" w:space="0"/>
            </w:tcBorders>
            <w:vAlign w:val="center"/>
          </w:tcPr>
          <w:p w14:paraId="1E55E254">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772.75</w:t>
            </w:r>
          </w:p>
        </w:tc>
        <w:tc>
          <w:tcPr>
            <w:tcW w:w="448" w:type="pct"/>
            <w:tcBorders>
              <w:top w:val="single" w:color="auto" w:sz="4" w:space="0"/>
              <w:left w:val="single" w:color="auto" w:sz="4" w:space="0"/>
              <w:bottom w:val="single" w:color="auto" w:sz="4" w:space="0"/>
              <w:right w:val="single" w:color="auto" w:sz="4" w:space="0"/>
            </w:tcBorders>
            <w:vAlign w:val="center"/>
          </w:tcPr>
          <w:p w14:paraId="5FD884F5">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782.34</w:t>
            </w:r>
          </w:p>
        </w:tc>
        <w:tc>
          <w:tcPr>
            <w:tcW w:w="448" w:type="pct"/>
            <w:tcBorders>
              <w:top w:val="single" w:color="auto" w:sz="4" w:space="0"/>
              <w:left w:val="single" w:color="auto" w:sz="4" w:space="0"/>
              <w:bottom w:val="single" w:color="auto" w:sz="4" w:space="0"/>
              <w:right w:val="single" w:color="auto" w:sz="4" w:space="0"/>
            </w:tcBorders>
            <w:vAlign w:val="center"/>
          </w:tcPr>
          <w:p w14:paraId="1071A00C">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120.04</w:t>
            </w:r>
          </w:p>
        </w:tc>
        <w:tc>
          <w:tcPr>
            <w:tcW w:w="448" w:type="pct"/>
            <w:tcBorders>
              <w:top w:val="single" w:color="auto" w:sz="4" w:space="0"/>
              <w:left w:val="single" w:color="auto" w:sz="4" w:space="0"/>
              <w:bottom w:val="single" w:color="auto" w:sz="4" w:space="0"/>
              <w:right w:val="single" w:color="auto" w:sz="4" w:space="0"/>
            </w:tcBorders>
            <w:vAlign w:val="center"/>
          </w:tcPr>
          <w:p w14:paraId="72159531">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333.54</w:t>
            </w:r>
          </w:p>
        </w:tc>
        <w:tc>
          <w:tcPr>
            <w:tcW w:w="457" w:type="pct"/>
            <w:tcBorders>
              <w:top w:val="single" w:color="auto" w:sz="4" w:space="0"/>
              <w:left w:val="single" w:color="auto" w:sz="4" w:space="0"/>
              <w:bottom w:val="single" w:color="auto" w:sz="4" w:space="0"/>
              <w:right w:val="single" w:color="auto" w:sz="4" w:space="0"/>
            </w:tcBorders>
            <w:vAlign w:val="center"/>
          </w:tcPr>
          <w:p w14:paraId="410978C7">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-96.87</w:t>
            </w:r>
          </w:p>
        </w:tc>
        <w:tc>
          <w:tcPr>
            <w:tcW w:w="458" w:type="pct"/>
            <w:tcBorders>
              <w:top w:val="single" w:color="auto" w:sz="4" w:space="0"/>
              <w:left w:val="single" w:color="auto" w:sz="4" w:space="0"/>
              <w:bottom w:val="single" w:color="auto" w:sz="4" w:space="0"/>
              <w:right w:val="single" w:color="auto" w:sz="4" w:space="0"/>
            </w:tcBorders>
            <w:vAlign w:val="center"/>
          </w:tcPr>
          <w:p w14:paraId="236B4D6D">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385.03</w:t>
            </w:r>
          </w:p>
        </w:tc>
        <w:tc>
          <w:tcPr>
            <w:tcW w:w="457" w:type="pct"/>
            <w:tcBorders>
              <w:top w:val="single" w:color="auto" w:sz="4" w:space="0"/>
              <w:left w:val="single" w:color="auto" w:sz="4" w:space="0"/>
              <w:bottom w:val="single" w:color="auto" w:sz="4" w:space="0"/>
              <w:right w:val="single" w:color="auto" w:sz="4" w:space="0"/>
            </w:tcBorders>
            <w:vAlign w:val="center"/>
          </w:tcPr>
          <w:p w14:paraId="66860DFC">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-171.87</w:t>
            </w:r>
          </w:p>
        </w:tc>
        <w:tc>
          <w:tcPr>
            <w:tcW w:w="470" w:type="pct"/>
            <w:tcBorders>
              <w:top w:val="single" w:color="auto" w:sz="4" w:space="0"/>
              <w:left w:val="single" w:color="auto" w:sz="4" w:space="0"/>
              <w:bottom w:val="single" w:color="auto" w:sz="4" w:space="0"/>
              <w:right w:val="single" w:color="auto" w:sz="4" w:space="0"/>
            </w:tcBorders>
            <w:vAlign w:val="center"/>
          </w:tcPr>
          <w:p w14:paraId="3FD37003">
            <w:pPr>
              <w:shd w:val="clear"/>
              <w:spacing w:line="240" w:lineRule="auto"/>
              <w:ind w:firstLine="0" w:firstLineChars="0"/>
              <w:contextualSpacing/>
              <w:jc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-138.14</w:t>
            </w:r>
          </w:p>
        </w:tc>
      </w:tr>
    </w:tbl>
    <w:p w14:paraId="2E78EE36">
      <w:pPr>
        <w:shd w:val="clea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6.2.1.4监测布点</w:t>
      </w:r>
    </w:p>
    <w:p w14:paraId="705768E1">
      <w:pPr>
        <w:pStyle w:val="67"/>
        <w:shd w:val="clear"/>
        <w:rPr>
          <w:color w:val="000000" w:themeColor="text1"/>
          <w14:textFill>
            <w14:solidFill>
              <w14:schemeClr w14:val="tx1"/>
            </w14:solidFill>
          </w14:textFill>
        </w:rPr>
      </w:pPr>
      <w:r>
        <w:rPr>
          <w:color w:val="000000" w:themeColor="text1"/>
          <w14:textFill>
            <w14:solidFill>
              <w14:schemeClr w14:val="tx1"/>
            </w14:solidFill>
          </w14:textFill>
        </w:rPr>
        <w:t>以输电线路弧垂最低位置档距对应两铁塔中央连线对地投影点为测试原点，沿垂直于线路方向进行，监测间距为</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m，测至边导线</w:t>
      </w:r>
      <w:r>
        <w:rPr>
          <w:rFonts w:hint="eastAsia"/>
          <w:color w:val="000000" w:themeColor="text1"/>
          <w14:textFill>
            <w14:solidFill>
              <w14:schemeClr w14:val="tx1"/>
            </w14:solidFill>
          </w14:textFill>
        </w:rPr>
        <w:t>弧垂正下方地面投影处</w:t>
      </w:r>
      <w:r>
        <w:rPr>
          <w:color w:val="000000" w:themeColor="text1"/>
          <w14:textFill>
            <w14:solidFill>
              <w14:schemeClr w14:val="tx1"/>
            </w14:solidFill>
          </w14:textFill>
        </w:rPr>
        <w:t>，再每间距5m设置1个监测点，测至边导线外50m处。测量离地1.2m处的昼间及夜间噪声。</w:t>
      </w:r>
    </w:p>
    <w:p w14:paraId="645F62B7">
      <w:pPr>
        <w:shd w:val="clear"/>
        <w:ind w:firstLine="0" w:firstLineChars="0"/>
        <w:outlineLvl w:val="3"/>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6.2.1.5监测结果</w:t>
      </w:r>
    </w:p>
    <w:p w14:paraId="3A5B04BC">
      <w:pPr>
        <w:pStyle w:val="67"/>
        <w:shd w:val="clear"/>
        <w:rPr>
          <w:color w:val="000000" w:themeColor="text1"/>
          <w14:textFill>
            <w14:solidFill>
              <w14:schemeClr w14:val="tx1"/>
            </w14:solidFill>
          </w14:textFill>
        </w:rPr>
      </w:pPr>
      <w:r>
        <w:rPr>
          <w:color w:val="000000" w:themeColor="text1"/>
          <w14:textFill>
            <w14:solidFill>
              <w14:schemeClr w14:val="tx1"/>
            </w14:solidFill>
          </w14:textFill>
        </w:rPr>
        <w:t>单回</w:t>
      </w:r>
      <w:r>
        <w:rPr>
          <w:rFonts w:hint="eastAsia"/>
          <w:color w:val="000000" w:themeColor="text1"/>
          <w14:textFill>
            <w14:solidFill>
              <w14:schemeClr w14:val="tx1"/>
            </w14:solidFill>
          </w14:textFill>
        </w:rPr>
        <w:t>并行</w:t>
      </w:r>
      <w:r>
        <w:rPr>
          <w:color w:val="000000" w:themeColor="text1"/>
          <w14:textFill>
            <w14:solidFill>
              <w14:schemeClr w14:val="tx1"/>
            </w14:solidFill>
          </w14:textFill>
        </w:rPr>
        <w:t>线路噪声类比监测结果见</w:t>
      </w:r>
      <w:r>
        <w:rPr>
          <w:rFonts w:hint="eastAsia"/>
          <w:color w:val="000000" w:themeColor="text1"/>
          <w14:textFill>
            <w14:solidFill>
              <w14:schemeClr w14:val="tx1"/>
            </w14:solidFill>
          </w14:textFill>
        </w:rPr>
        <w:t>表6.2-8</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同塔双回线路</w:t>
      </w:r>
      <w:r>
        <w:rPr>
          <w:color w:val="000000" w:themeColor="text1"/>
          <w14:textFill>
            <w14:solidFill>
              <w14:schemeClr w14:val="tx1"/>
            </w14:solidFill>
          </w14:textFill>
        </w:rPr>
        <w:t>噪声类比监测结果见</w:t>
      </w:r>
      <w:r>
        <w:rPr>
          <w:rFonts w:hint="eastAsia"/>
          <w:color w:val="000000" w:themeColor="text1"/>
          <w14:textFill>
            <w14:solidFill>
              <w14:schemeClr w14:val="tx1"/>
            </w14:solidFill>
          </w14:textFill>
        </w:rPr>
        <w:t>表6.2-9。</w:t>
      </w:r>
    </w:p>
    <w:p w14:paraId="50D17C9C">
      <w:pPr>
        <w:pStyle w:val="7"/>
        <w:spacing w:before="0"/>
        <w:ind w:firstLine="0" w:firstLineChars="0"/>
        <w:rPr>
          <w:rFonts w:ascii="Times New Roman" w:hAnsi="Times New Roman" w:eastAsia="宋体" w:cs="Times New Roman"/>
          <w:bCs/>
          <w:snapToGrid w:val="0"/>
          <w:color w:val="000000" w:themeColor="text1"/>
          <w:spacing w:val="0"/>
          <w:sz w:val="21"/>
          <w:szCs w:val="21"/>
          <w14:textFill>
            <w14:solidFill>
              <w14:schemeClr w14:val="tx1"/>
            </w14:solidFill>
          </w14:textFill>
        </w:rPr>
      </w:pPr>
      <w:bookmarkStart w:id="1016" w:name="_Ref198784466"/>
      <w:r>
        <w:rPr>
          <w:rFonts w:hint="eastAsia" w:ascii="Times New Roman" w:hAnsi="Times New Roman" w:eastAsia="宋体" w:cs="Times New Roman"/>
          <w:bCs/>
          <w:snapToGrid w:val="0"/>
          <w:color w:val="000000" w:themeColor="text1"/>
          <w:spacing w:val="0"/>
          <w:sz w:val="21"/>
          <w:szCs w:val="21"/>
          <w14:textFill>
            <w14:solidFill>
              <w14:schemeClr w14:val="tx1"/>
            </w14:solidFill>
          </w14:textFill>
        </w:rPr>
        <w:t>表</w:t>
      </w:r>
      <w:bookmarkEnd w:id="1016"/>
      <w:r>
        <w:rPr>
          <w:rFonts w:hint="eastAsia" w:ascii="Times New Roman" w:hAnsi="Times New Roman" w:eastAsia="宋体" w:cs="Times New Roman"/>
          <w:bCs/>
          <w:snapToGrid w:val="0"/>
          <w:color w:val="000000" w:themeColor="text1"/>
          <w:spacing w:val="0"/>
          <w:sz w:val="21"/>
          <w:szCs w:val="21"/>
          <w14:textFill>
            <w14:solidFill>
              <w14:schemeClr w14:val="tx1"/>
            </w14:solidFill>
          </w14:textFill>
        </w:rPr>
        <w:t>6.2-8  750kV彩渠</w:t>
      </w:r>
      <w:r>
        <w:rPr>
          <w:rFonts w:hint="default" w:ascii="Times New Roman" w:hAnsi="Times New Roman" w:eastAsia="宋体" w:cs="Times New Roman"/>
          <w:bCs/>
          <w:snapToGrid w:val="0"/>
          <w:color w:val="000000" w:themeColor="text1"/>
          <w:spacing w:val="0"/>
          <w:sz w:val="21"/>
          <w:szCs w:val="21"/>
          <w14:textFill>
            <w14:solidFill>
              <w14:schemeClr w14:val="tx1"/>
            </w14:solidFill>
          </w14:textFill>
        </w:rPr>
        <w:t>Ⅱ</w:t>
      </w:r>
      <w:r>
        <w:rPr>
          <w:rFonts w:hint="eastAsia" w:ascii="Times New Roman" w:hAnsi="Times New Roman" w:eastAsia="宋体" w:cs="Times New Roman"/>
          <w:bCs/>
          <w:snapToGrid w:val="0"/>
          <w:color w:val="000000" w:themeColor="text1"/>
          <w:spacing w:val="0"/>
          <w:sz w:val="21"/>
          <w:szCs w:val="21"/>
          <w14:textFill>
            <w14:solidFill>
              <w14:schemeClr w14:val="tx1"/>
            </w14:solidFill>
          </w14:textFill>
        </w:rPr>
        <w:t>线和750kV渠蒋II线单回并行线路类比监测结果</w:t>
      </w:r>
    </w:p>
    <w:tbl>
      <w:tblPr>
        <w:tblStyle w:val="26"/>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4829"/>
        <w:gridCol w:w="1137"/>
        <w:gridCol w:w="1229"/>
      </w:tblGrid>
      <w:tr w14:paraId="4D5F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3611" w:type="pct"/>
            <w:gridSpan w:val="2"/>
            <w:vMerge w:val="restart"/>
            <w:vAlign w:val="center"/>
          </w:tcPr>
          <w:p w14:paraId="0FA63E1F">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单回并行线路衰减断面</w:t>
            </w:r>
          </w:p>
        </w:tc>
        <w:tc>
          <w:tcPr>
            <w:tcW w:w="1388" w:type="pct"/>
            <w:gridSpan w:val="2"/>
            <w:vAlign w:val="center"/>
          </w:tcPr>
          <w:p w14:paraId="77A9EFBE">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监测结果dB（A）</w:t>
            </w:r>
          </w:p>
        </w:tc>
      </w:tr>
      <w:tr w14:paraId="7CA1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3611" w:type="pct"/>
            <w:gridSpan w:val="2"/>
            <w:vMerge w:val="continue"/>
            <w:vAlign w:val="center"/>
          </w:tcPr>
          <w:p w14:paraId="5C18DD86">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p>
        </w:tc>
        <w:tc>
          <w:tcPr>
            <w:tcW w:w="667" w:type="pct"/>
            <w:vAlign w:val="center"/>
          </w:tcPr>
          <w:p w14:paraId="40F73B31">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昼间</w:t>
            </w:r>
          </w:p>
        </w:tc>
        <w:tc>
          <w:tcPr>
            <w:tcW w:w="721" w:type="pct"/>
            <w:vAlign w:val="center"/>
          </w:tcPr>
          <w:p w14:paraId="67A694A6">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夜间</w:t>
            </w:r>
          </w:p>
        </w:tc>
      </w:tr>
      <w:tr w14:paraId="6926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restart"/>
            <w:vAlign w:val="center"/>
          </w:tcPr>
          <w:p w14:paraId="5E9B932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750kV彩渠Ⅱ线005#～006#塔、750kV渠蒋II线005#~006#塔之间单回并行线路衰减断面，线高均为26m</w:t>
            </w:r>
          </w:p>
        </w:tc>
        <w:tc>
          <w:tcPr>
            <w:tcW w:w="2832" w:type="pct"/>
            <w:vAlign w:val="center"/>
          </w:tcPr>
          <w:p w14:paraId="11685E7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蒋渠II线南侧边导线对地投影点处</w:t>
            </w:r>
          </w:p>
        </w:tc>
        <w:tc>
          <w:tcPr>
            <w:tcW w:w="667" w:type="pct"/>
            <w:vAlign w:val="center"/>
          </w:tcPr>
          <w:p w14:paraId="6BFBB56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326BB5B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3D08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79059A6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70138B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蒋渠II线南侧边导线对地投影点外南侧5m处</w:t>
            </w:r>
          </w:p>
        </w:tc>
        <w:tc>
          <w:tcPr>
            <w:tcW w:w="667" w:type="pct"/>
            <w:vAlign w:val="center"/>
          </w:tcPr>
          <w:p w14:paraId="34E9691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79729D47">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6D1C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125CF35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12EF1D8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蒋渠II线南侧边导线对地投影点外南侧10m处</w:t>
            </w:r>
          </w:p>
        </w:tc>
        <w:tc>
          <w:tcPr>
            <w:tcW w:w="667" w:type="pct"/>
            <w:vAlign w:val="center"/>
          </w:tcPr>
          <w:p w14:paraId="7A4C993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679F80C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0631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01CF747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0EB2F97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蒋渠II线南侧边导线对地投影点外南侧15m处</w:t>
            </w:r>
          </w:p>
        </w:tc>
        <w:tc>
          <w:tcPr>
            <w:tcW w:w="667" w:type="pct"/>
            <w:vAlign w:val="center"/>
          </w:tcPr>
          <w:p w14:paraId="0319A2C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09867487">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5266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2435DA4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102E6E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蒋渠II线南侧边导线对地投影点外南侧20m处</w:t>
            </w:r>
          </w:p>
        </w:tc>
        <w:tc>
          <w:tcPr>
            <w:tcW w:w="667" w:type="pct"/>
            <w:vAlign w:val="center"/>
          </w:tcPr>
          <w:p w14:paraId="2761F9F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74BEAFA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r>
      <w:tr w14:paraId="093D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3AF8ED3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AB0CFA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蒋渠II线南侧边导线对地投影点外南侧25m处</w:t>
            </w:r>
          </w:p>
        </w:tc>
        <w:tc>
          <w:tcPr>
            <w:tcW w:w="667" w:type="pct"/>
            <w:vAlign w:val="center"/>
          </w:tcPr>
          <w:p w14:paraId="6C1A81B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4FEE6FA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5480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2247CC5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37761FD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蒋渠II线南侧边导线对地投影点外南侧30m处</w:t>
            </w:r>
          </w:p>
        </w:tc>
        <w:tc>
          <w:tcPr>
            <w:tcW w:w="667" w:type="pct"/>
            <w:vAlign w:val="center"/>
          </w:tcPr>
          <w:p w14:paraId="49B10BF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2825FDA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5935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5DB353A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39E48B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蒋渠II线南侧边导线对地投影点外南侧35m处</w:t>
            </w:r>
          </w:p>
        </w:tc>
        <w:tc>
          <w:tcPr>
            <w:tcW w:w="667" w:type="pct"/>
            <w:vAlign w:val="center"/>
          </w:tcPr>
          <w:p w14:paraId="2A58CD7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2BCFAD3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4800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624354B7">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C15CC4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蒋渠II线南侧边导线对地投影点外南侧40m处</w:t>
            </w:r>
          </w:p>
        </w:tc>
        <w:tc>
          <w:tcPr>
            <w:tcW w:w="667" w:type="pct"/>
            <w:vAlign w:val="center"/>
          </w:tcPr>
          <w:p w14:paraId="7B4A3A1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69A3B26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30CB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521E391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C81B06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蒋渠II线南侧边导线对地投影点外南侧45m处</w:t>
            </w:r>
          </w:p>
        </w:tc>
        <w:tc>
          <w:tcPr>
            <w:tcW w:w="667" w:type="pct"/>
            <w:vAlign w:val="center"/>
          </w:tcPr>
          <w:p w14:paraId="46583E7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42617B8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7CFB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1550533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595D38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蒋渠II线南侧边导线对地投影点南侧50m处</w:t>
            </w:r>
          </w:p>
        </w:tc>
        <w:tc>
          <w:tcPr>
            <w:tcW w:w="667" w:type="pct"/>
            <w:vAlign w:val="center"/>
          </w:tcPr>
          <w:p w14:paraId="1FE1AF4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300CFAB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4B3C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53D9099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8521EB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蒋渠II线南侧边导线对地投影点外北侧5m处</w:t>
            </w:r>
          </w:p>
        </w:tc>
        <w:tc>
          <w:tcPr>
            <w:tcW w:w="667" w:type="pct"/>
            <w:vAlign w:val="center"/>
          </w:tcPr>
          <w:p w14:paraId="1170BD5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c>
          <w:tcPr>
            <w:tcW w:w="721" w:type="pct"/>
            <w:vAlign w:val="center"/>
          </w:tcPr>
          <w:p w14:paraId="2D1CF6F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4239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631D2CE7">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1508A2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蒋渠II线南侧边导线对地投影点外北侧10m处</w:t>
            </w:r>
          </w:p>
        </w:tc>
        <w:tc>
          <w:tcPr>
            <w:tcW w:w="667" w:type="pct"/>
            <w:vAlign w:val="center"/>
          </w:tcPr>
          <w:p w14:paraId="39D1247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2771579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r>
      <w:tr w14:paraId="3F56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36F7D34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5C720CD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蒋渠II线南侧边导线对地投影点外北侧15m处</w:t>
            </w:r>
          </w:p>
        </w:tc>
        <w:tc>
          <w:tcPr>
            <w:tcW w:w="667" w:type="pct"/>
            <w:vAlign w:val="center"/>
          </w:tcPr>
          <w:p w14:paraId="1E633BB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5FF7C53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3D48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70BF897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F09C60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蒋渠II线中相导线对地投影点处</w:t>
            </w:r>
          </w:p>
        </w:tc>
        <w:tc>
          <w:tcPr>
            <w:tcW w:w="667" w:type="pct"/>
            <w:vAlign w:val="center"/>
          </w:tcPr>
          <w:p w14:paraId="34FF5AC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434B5D5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3850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24EA672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F84B4E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蒋渠II线中相导线对地投影点外北侧5m处</w:t>
            </w:r>
          </w:p>
        </w:tc>
        <w:tc>
          <w:tcPr>
            <w:tcW w:w="667" w:type="pct"/>
            <w:vAlign w:val="center"/>
          </w:tcPr>
          <w:p w14:paraId="311C414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24003DD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1225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rPr>
        <w:tc>
          <w:tcPr>
            <w:tcW w:w="778" w:type="pct"/>
            <w:vMerge w:val="continue"/>
            <w:vAlign w:val="center"/>
          </w:tcPr>
          <w:p w14:paraId="7FA5144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B080B3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蒋渠II线中相导线对地投影点外北侧10m处</w:t>
            </w:r>
          </w:p>
        </w:tc>
        <w:tc>
          <w:tcPr>
            <w:tcW w:w="667" w:type="pct"/>
            <w:vAlign w:val="center"/>
          </w:tcPr>
          <w:p w14:paraId="7EA2F69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c>
          <w:tcPr>
            <w:tcW w:w="721" w:type="pct"/>
            <w:vAlign w:val="center"/>
          </w:tcPr>
          <w:p w14:paraId="4CDB3FA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r>
      <w:tr w14:paraId="4B82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4461504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451679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蒋渠II线中相导线对地投影点外北侧15m处</w:t>
            </w:r>
          </w:p>
        </w:tc>
        <w:tc>
          <w:tcPr>
            <w:tcW w:w="667" w:type="pct"/>
            <w:vAlign w:val="center"/>
          </w:tcPr>
          <w:p w14:paraId="21FF133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51913A9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4F54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64F9BE8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5C0E478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蒋渠II线中相导线对地投影点外北侧20m处</w:t>
            </w:r>
          </w:p>
          <w:p w14:paraId="2ADA2E9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（蒋渠II线北侧边导线对地投影点处）</w:t>
            </w:r>
          </w:p>
        </w:tc>
        <w:tc>
          <w:tcPr>
            <w:tcW w:w="667" w:type="pct"/>
            <w:vAlign w:val="center"/>
          </w:tcPr>
          <w:p w14:paraId="0F3AA4C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57CF860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1796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07D2892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32E4D49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蒋渠II线中相导线对地投影点外北侧25m处</w:t>
            </w:r>
          </w:p>
        </w:tc>
        <w:tc>
          <w:tcPr>
            <w:tcW w:w="667" w:type="pct"/>
            <w:vAlign w:val="center"/>
          </w:tcPr>
          <w:p w14:paraId="0FBC97E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511B18E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30CA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00B6093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28C080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蒋渠II线中相导线对地投影点外北侧30m处</w:t>
            </w:r>
          </w:p>
        </w:tc>
        <w:tc>
          <w:tcPr>
            <w:tcW w:w="667" w:type="pct"/>
            <w:vAlign w:val="center"/>
          </w:tcPr>
          <w:p w14:paraId="311BC85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11E246F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5E43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5A6187B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AA0305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蒋渠II线中相导线对地投影点外北侧35m处</w:t>
            </w:r>
          </w:p>
        </w:tc>
        <w:tc>
          <w:tcPr>
            <w:tcW w:w="667" w:type="pct"/>
            <w:vAlign w:val="center"/>
          </w:tcPr>
          <w:p w14:paraId="1E6BC15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26E5F05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1555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4CBC864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778771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蒋渠II线中相导线对地投影点外北侧40m处</w:t>
            </w:r>
          </w:p>
        </w:tc>
        <w:tc>
          <w:tcPr>
            <w:tcW w:w="667" w:type="pct"/>
            <w:vAlign w:val="center"/>
          </w:tcPr>
          <w:p w14:paraId="637D554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5A3DF10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6BCE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7933B26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F50D0F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蒋渠II线中相导线对地投影点外北侧45m处</w:t>
            </w:r>
          </w:p>
        </w:tc>
        <w:tc>
          <w:tcPr>
            <w:tcW w:w="667" w:type="pct"/>
            <w:vAlign w:val="center"/>
          </w:tcPr>
          <w:p w14:paraId="6A6D9E1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0A57F7E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046D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686B72D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D21A80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蒋渠II线中相导线对地投影点外北侧50m处</w:t>
            </w:r>
          </w:p>
        </w:tc>
        <w:tc>
          <w:tcPr>
            <w:tcW w:w="667" w:type="pct"/>
            <w:vAlign w:val="center"/>
          </w:tcPr>
          <w:p w14:paraId="0F36F88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4AE9BFB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3159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7EC45E0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E57B97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蒋渠II线中相导线对地投影点外北侧55m处</w:t>
            </w:r>
          </w:p>
        </w:tc>
        <w:tc>
          <w:tcPr>
            <w:tcW w:w="667" w:type="pct"/>
            <w:vAlign w:val="center"/>
          </w:tcPr>
          <w:p w14:paraId="1671CC7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c>
          <w:tcPr>
            <w:tcW w:w="721" w:type="pct"/>
            <w:vAlign w:val="center"/>
          </w:tcPr>
          <w:p w14:paraId="26BCBAD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5039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46EE8B3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860124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蒋渠II线中相导线对地投影点外北侧60m处</w:t>
            </w:r>
          </w:p>
        </w:tc>
        <w:tc>
          <w:tcPr>
            <w:tcW w:w="667" w:type="pct"/>
            <w:vAlign w:val="center"/>
          </w:tcPr>
          <w:p w14:paraId="28AAF2D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4132AD9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r>
      <w:tr w14:paraId="4C76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4AB75E3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7A7833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蒋渠II线中相导线对地投影点外北侧65m处</w:t>
            </w:r>
          </w:p>
        </w:tc>
        <w:tc>
          <w:tcPr>
            <w:tcW w:w="667" w:type="pct"/>
            <w:vAlign w:val="center"/>
          </w:tcPr>
          <w:p w14:paraId="7062614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093B8BF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r>
      <w:tr w14:paraId="713C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661B427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3ED1312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蒋渠II线中相导线对地投影点外北侧70m处</w:t>
            </w:r>
          </w:p>
        </w:tc>
        <w:tc>
          <w:tcPr>
            <w:tcW w:w="667" w:type="pct"/>
            <w:vAlign w:val="center"/>
          </w:tcPr>
          <w:p w14:paraId="7A58B82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389CC4F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4F99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rPr>
        <w:tc>
          <w:tcPr>
            <w:tcW w:w="778" w:type="pct"/>
            <w:vMerge w:val="continue"/>
            <w:vAlign w:val="center"/>
          </w:tcPr>
          <w:p w14:paraId="328665D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8FEF24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蒋渠II线中相导线对地投影点外北侧75m处</w:t>
            </w:r>
          </w:p>
        </w:tc>
        <w:tc>
          <w:tcPr>
            <w:tcW w:w="667" w:type="pct"/>
            <w:vAlign w:val="center"/>
          </w:tcPr>
          <w:p w14:paraId="17A0841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03F7AC4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193D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477D59F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2EF11C5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蒋渠II线中相导线对地投影点外北侧80m处</w:t>
            </w:r>
          </w:p>
          <w:p w14:paraId="72D8231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（彩渠II线南侧边导线对地投影点处）</w:t>
            </w:r>
          </w:p>
        </w:tc>
        <w:tc>
          <w:tcPr>
            <w:tcW w:w="667" w:type="pct"/>
            <w:vAlign w:val="center"/>
          </w:tcPr>
          <w:p w14:paraId="68C831F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c>
          <w:tcPr>
            <w:tcW w:w="721" w:type="pct"/>
            <w:vAlign w:val="center"/>
          </w:tcPr>
          <w:p w14:paraId="63323C3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r>
      <w:tr w14:paraId="51B0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66635EF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0D3EAAA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彩渠II线南侧边导线对地投影点外北侧5m处</w:t>
            </w:r>
          </w:p>
        </w:tc>
        <w:tc>
          <w:tcPr>
            <w:tcW w:w="667" w:type="pct"/>
            <w:vAlign w:val="center"/>
          </w:tcPr>
          <w:p w14:paraId="3824C33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7562284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6954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7AAF5BF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3468211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彩渠II线南侧边导线对地投影点外北侧10m处</w:t>
            </w:r>
          </w:p>
        </w:tc>
        <w:tc>
          <w:tcPr>
            <w:tcW w:w="667" w:type="pct"/>
            <w:vAlign w:val="center"/>
          </w:tcPr>
          <w:p w14:paraId="19CA740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06D30AD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246B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6B08ED8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508E659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彩渠II线南侧边导线对地投影点外北侧15m处</w:t>
            </w:r>
          </w:p>
        </w:tc>
        <w:tc>
          <w:tcPr>
            <w:tcW w:w="667" w:type="pct"/>
            <w:vAlign w:val="center"/>
          </w:tcPr>
          <w:p w14:paraId="01DBEEDB">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6D67065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2AA5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4744D86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372FF1B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彩渠II线中相导线对地投影点处</w:t>
            </w:r>
          </w:p>
        </w:tc>
        <w:tc>
          <w:tcPr>
            <w:tcW w:w="667" w:type="pct"/>
            <w:vAlign w:val="center"/>
          </w:tcPr>
          <w:p w14:paraId="4557E53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58009D7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6DD7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293BC7D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56D37F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彩渠II线中相导线对地投影点外北侧5m处</w:t>
            </w:r>
          </w:p>
        </w:tc>
        <w:tc>
          <w:tcPr>
            <w:tcW w:w="667" w:type="pct"/>
            <w:vAlign w:val="center"/>
          </w:tcPr>
          <w:p w14:paraId="7A093B3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4F32E06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2768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717D015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3AA3EE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彩渠II线中相导线对地投影点外北侧10m处</w:t>
            </w:r>
          </w:p>
        </w:tc>
        <w:tc>
          <w:tcPr>
            <w:tcW w:w="667" w:type="pct"/>
            <w:vAlign w:val="center"/>
          </w:tcPr>
          <w:p w14:paraId="153BEFF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3771E4F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092C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7EA51B1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1F0CBC3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彩渠II线中相导线对地投影点外北侧15m处</w:t>
            </w:r>
          </w:p>
        </w:tc>
        <w:tc>
          <w:tcPr>
            <w:tcW w:w="667" w:type="pct"/>
            <w:vAlign w:val="center"/>
          </w:tcPr>
          <w:p w14:paraId="469C42E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73BF33A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2C2B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1DDA30E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56932C2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彩渠II线北侧边导线对地投影点处</w:t>
            </w:r>
          </w:p>
        </w:tc>
        <w:tc>
          <w:tcPr>
            <w:tcW w:w="667" w:type="pct"/>
            <w:vAlign w:val="center"/>
          </w:tcPr>
          <w:p w14:paraId="6712391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4124645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47BB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1662A9F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21F992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彩渠II线北侧边导线对地投影外北侧5m处</w:t>
            </w:r>
          </w:p>
        </w:tc>
        <w:tc>
          <w:tcPr>
            <w:tcW w:w="667" w:type="pct"/>
            <w:vAlign w:val="center"/>
          </w:tcPr>
          <w:p w14:paraId="7144973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c>
          <w:tcPr>
            <w:tcW w:w="721" w:type="pct"/>
            <w:vAlign w:val="center"/>
          </w:tcPr>
          <w:p w14:paraId="6F69C51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2925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0931CC67">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567B37C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彩渠II线北侧边导线对地投影外北侧10m处</w:t>
            </w:r>
          </w:p>
        </w:tc>
        <w:tc>
          <w:tcPr>
            <w:tcW w:w="667" w:type="pct"/>
            <w:vAlign w:val="center"/>
          </w:tcPr>
          <w:p w14:paraId="5017952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33C1B41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5CC8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22B0DE9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765886E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彩渠II线北侧边导线对地投影外北侧15m处</w:t>
            </w:r>
          </w:p>
        </w:tc>
        <w:tc>
          <w:tcPr>
            <w:tcW w:w="667" w:type="pct"/>
            <w:vAlign w:val="center"/>
          </w:tcPr>
          <w:p w14:paraId="3D3BEDF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3F23D5A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6A39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0036F51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57660E9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彩渠II线北侧边导线对地投影外北侧20m处</w:t>
            </w:r>
          </w:p>
        </w:tc>
        <w:tc>
          <w:tcPr>
            <w:tcW w:w="667" w:type="pct"/>
            <w:vAlign w:val="center"/>
          </w:tcPr>
          <w:p w14:paraId="014A5B0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1C93B95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6A38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33C2446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3EC714D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彩渠II线北侧边导线对地投影外北侧25m处</w:t>
            </w:r>
          </w:p>
        </w:tc>
        <w:tc>
          <w:tcPr>
            <w:tcW w:w="667" w:type="pct"/>
            <w:vAlign w:val="center"/>
          </w:tcPr>
          <w:p w14:paraId="767815E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77ED6B4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59C1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11D7A0E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1844168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彩渠II线北侧边导线对地投影外北侧30m处</w:t>
            </w:r>
          </w:p>
        </w:tc>
        <w:tc>
          <w:tcPr>
            <w:tcW w:w="667" w:type="pct"/>
            <w:vAlign w:val="center"/>
          </w:tcPr>
          <w:p w14:paraId="07203E3D">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7B0068C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2E54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68D80AA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431CF5D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彩渠II线北侧边导线对地投影外北侧35m处</w:t>
            </w:r>
          </w:p>
        </w:tc>
        <w:tc>
          <w:tcPr>
            <w:tcW w:w="667" w:type="pct"/>
            <w:vAlign w:val="center"/>
          </w:tcPr>
          <w:p w14:paraId="491119A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30119A2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740F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72E3113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0C18AFF8">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彩渠II线北侧边导线对地投影外北侧40m处</w:t>
            </w:r>
          </w:p>
        </w:tc>
        <w:tc>
          <w:tcPr>
            <w:tcW w:w="667" w:type="pct"/>
            <w:vAlign w:val="center"/>
          </w:tcPr>
          <w:p w14:paraId="2A23851A">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2FB5FF47">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48AF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00D4560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CF47725">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彩渠II线北侧边导线对地投影外北侧45m处</w:t>
            </w:r>
          </w:p>
        </w:tc>
        <w:tc>
          <w:tcPr>
            <w:tcW w:w="667" w:type="pct"/>
            <w:vAlign w:val="center"/>
          </w:tcPr>
          <w:p w14:paraId="798BC04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c>
          <w:tcPr>
            <w:tcW w:w="721" w:type="pct"/>
            <w:vAlign w:val="center"/>
          </w:tcPr>
          <w:p w14:paraId="015C302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36</w:t>
            </w:r>
          </w:p>
        </w:tc>
      </w:tr>
      <w:tr w14:paraId="1380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8" w:type="pct"/>
            <w:vMerge w:val="continue"/>
            <w:vAlign w:val="center"/>
          </w:tcPr>
          <w:p w14:paraId="1D1FF6A0">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832" w:type="pct"/>
            <w:vAlign w:val="center"/>
          </w:tcPr>
          <w:p w14:paraId="6E45109E">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彩渠II线北侧边导线对地投影外北侧50m处</w:t>
            </w:r>
          </w:p>
        </w:tc>
        <w:tc>
          <w:tcPr>
            <w:tcW w:w="667" w:type="pct"/>
            <w:vAlign w:val="center"/>
          </w:tcPr>
          <w:p w14:paraId="6A9B7BF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37</w:t>
            </w:r>
          </w:p>
        </w:tc>
        <w:tc>
          <w:tcPr>
            <w:tcW w:w="721" w:type="pct"/>
            <w:vAlign w:val="center"/>
          </w:tcPr>
          <w:p w14:paraId="69EF1189">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35</w:t>
            </w:r>
          </w:p>
        </w:tc>
      </w:tr>
    </w:tbl>
    <w:p w14:paraId="48FC850A">
      <w:pPr>
        <w:pStyle w:val="38"/>
        <w:ind w:firstLine="422"/>
        <w:rPr>
          <w:rStyle w:val="32"/>
          <w:bCs/>
          <w:color w:val="000000" w:themeColor="text1"/>
          <w14:textFill>
            <w14:solidFill>
              <w14:schemeClr w14:val="tx1"/>
            </w14:solidFill>
          </w14:textFill>
        </w:rPr>
      </w:pPr>
      <w:r>
        <w:rPr>
          <w:bCs/>
          <w:color w:val="000000" w:themeColor="text1"/>
          <w14:textFill>
            <w14:solidFill>
              <w14:schemeClr w14:val="tx1"/>
            </w14:solidFill>
          </w14:textFill>
        </w:rPr>
        <w:t>表6.2-</w:t>
      </w:r>
      <w:r>
        <w:rPr>
          <w:rFonts w:hint="eastAsia"/>
          <w:bCs/>
          <w:color w:val="000000" w:themeColor="text1"/>
          <w14:textFill>
            <w14:solidFill>
              <w14:schemeClr w14:val="tx1"/>
            </w14:solidFill>
          </w14:textFill>
        </w:rPr>
        <w:t>9</w:t>
      </w:r>
      <w:r>
        <w:rPr>
          <w:bCs/>
          <w:color w:val="000000" w:themeColor="text1"/>
          <w14:textFill>
            <w14:solidFill>
              <w14:schemeClr w14:val="tx1"/>
            </w14:solidFill>
          </w14:textFill>
        </w:rPr>
        <w:t xml:space="preserve">  </w:t>
      </w:r>
      <w:r>
        <w:rPr>
          <w:rFonts w:hint="eastAsia"/>
          <w:bCs/>
          <w:color w:val="000000" w:themeColor="text1"/>
          <w14:textFill>
            <w14:solidFill>
              <w14:schemeClr w14:val="tx1"/>
            </w14:solidFill>
          </w14:textFill>
        </w:rPr>
        <w:t>750kV</w:t>
      </w:r>
      <w:r>
        <w:rPr>
          <w:bCs/>
          <w:color w:val="000000" w:themeColor="text1"/>
          <w14:textFill>
            <w14:solidFill>
              <w14:schemeClr w14:val="tx1"/>
            </w14:solidFill>
          </w14:textFill>
        </w:rPr>
        <w:t>乌格一线、乌格</w:t>
      </w:r>
      <w:r>
        <w:rPr>
          <w:bCs/>
          <w:color w:val="000000" w:themeColor="text1"/>
          <w14:textFill>
            <w14:solidFill>
              <w14:schemeClr w14:val="tx1"/>
            </w14:solidFill>
          </w14:textFill>
        </w:rPr>
        <w:fldChar w:fldCharType="begin"/>
      </w:r>
      <w:r>
        <w:rPr>
          <w:bCs/>
          <w:color w:val="000000" w:themeColor="text1"/>
          <w14:textFill>
            <w14:solidFill>
              <w14:schemeClr w14:val="tx1"/>
            </w14:solidFill>
          </w14:textFill>
        </w:rPr>
        <w:instrText xml:space="preserve"> = 2 \* ROMAN \* MERGEFORMAT </w:instrText>
      </w:r>
      <w:r>
        <w:rPr>
          <w:bCs/>
          <w:color w:val="000000" w:themeColor="text1"/>
          <w14:textFill>
            <w14:solidFill>
              <w14:schemeClr w14:val="tx1"/>
            </w14:solidFill>
          </w14:textFill>
        </w:rPr>
        <w:fldChar w:fldCharType="separate"/>
      </w:r>
      <w:r>
        <w:rPr>
          <w:bCs/>
          <w:color w:val="000000" w:themeColor="text1"/>
          <w14:textFill>
            <w14:solidFill>
              <w14:schemeClr w14:val="tx1"/>
            </w14:solidFill>
          </w14:textFill>
        </w:rPr>
        <w:t>II</w:t>
      </w:r>
      <w:r>
        <w:rPr>
          <w:bCs/>
          <w:color w:val="000000" w:themeColor="text1"/>
          <w14:textFill>
            <w14:solidFill>
              <w14:schemeClr w14:val="tx1"/>
            </w14:solidFill>
          </w14:textFill>
        </w:rPr>
        <w:fldChar w:fldCharType="end"/>
      </w:r>
      <w:r>
        <w:rPr>
          <w:bCs/>
          <w:color w:val="000000" w:themeColor="text1"/>
          <w14:textFill>
            <w14:solidFill>
              <w14:schemeClr w14:val="tx1"/>
            </w14:solidFill>
          </w14:textFill>
        </w:rPr>
        <w:t>线</w:t>
      </w:r>
      <w:r>
        <w:rPr>
          <w:rFonts w:hint="eastAsia"/>
          <w:bCs/>
          <w:color w:val="000000" w:themeColor="text1"/>
          <w14:textFill>
            <w14:solidFill>
              <w14:schemeClr w14:val="tx1"/>
            </w14:solidFill>
          </w14:textFill>
        </w:rPr>
        <w:t>同塔双回线路类比监测结果</w:t>
      </w:r>
    </w:p>
    <w:tbl>
      <w:tblPr>
        <w:tblStyle w:val="59"/>
        <w:tblW w:w="8549"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4937"/>
        <w:gridCol w:w="1469"/>
        <w:gridCol w:w="1293"/>
      </w:tblGrid>
      <w:tr w14:paraId="132F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vMerge w:val="restart"/>
            <w:vAlign w:val="center"/>
          </w:tcPr>
          <w:p w14:paraId="1A889D83">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序号</w:t>
            </w:r>
          </w:p>
        </w:tc>
        <w:tc>
          <w:tcPr>
            <w:tcW w:w="4937" w:type="dxa"/>
            <w:vMerge w:val="restart"/>
            <w:vAlign w:val="center"/>
          </w:tcPr>
          <w:p w14:paraId="060F6C02">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测量点位</w:t>
            </w:r>
          </w:p>
        </w:tc>
        <w:tc>
          <w:tcPr>
            <w:tcW w:w="2762" w:type="dxa"/>
            <w:gridSpan w:val="2"/>
            <w:vAlign w:val="center"/>
          </w:tcPr>
          <w:p w14:paraId="18AF2BCC">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监测结果（dB（A））</w:t>
            </w:r>
          </w:p>
        </w:tc>
      </w:tr>
      <w:tr w14:paraId="621D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vMerge w:val="continue"/>
            <w:vAlign w:val="center"/>
          </w:tcPr>
          <w:p w14:paraId="2F6C9FA6">
            <w:pPr>
              <w:spacing w:line="240" w:lineRule="auto"/>
              <w:ind w:firstLine="0" w:firstLineChars="0"/>
              <w:jc w:val="center"/>
              <w:rPr>
                <w:b/>
                <w:bCs/>
                <w:color w:val="000000" w:themeColor="text1"/>
                <w:sz w:val="21"/>
                <w:szCs w:val="21"/>
                <w14:textFill>
                  <w14:solidFill>
                    <w14:schemeClr w14:val="tx1"/>
                  </w14:solidFill>
                </w14:textFill>
              </w:rPr>
            </w:pPr>
          </w:p>
        </w:tc>
        <w:tc>
          <w:tcPr>
            <w:tcW w:w="4937" w:type="dxa"/>
            <w:vMerge w:val="continue"/>
            <w:vAlign w:val="center"/>
          </w:tcPr>
          <w:p w14:paraId="75356C35">
            <w:pPr>
              <w:spacing w:line="240" w:lineRule="auto"/>
              <w:ind w:firstLine="0" w:firstLineChars="0"/>
              <w:jc w:val="center"/>
              <w:rPr>
                <w:b/>
                <w:bCs/>
                <w:color w:val="000000" w:themeColor="text1"/>
                <w:sz w:val="21"/>
                <w:szCs w:val="21"/>
                <w14:textFill>
                  <w14:solidFill>
                    <w14:schemeClr w14:val="tx1"/>
                  </w14:solidFill>
                </w14:textFill>
              </w:rPr>
            </w:pPr>
          </w:p>
        </w:tc>
        <w:tc>
          <w:tcPr>
            <w:tcW w:w="1469" w:type="dxa"/>
            <w:vAlign w:val="center"/>
          </w:tcPr>
          <w:p w14:paraId="1D852358">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昼间</w:t>
            </w:r>
          </w:p>
        </w:tc>
        <w:tc>
          <w:tcPr>
            <w:tcW w:w="1293" w:type="dxa"/>
            <w:vAlign w:val="center"/>
          </w:tcPr>
          <w:p w14:paraId="17A9A4A3">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夜间</w:t>
            </w:r>
          </w:p>
        </w:tc>
      </w:tr>
      <w:tr w14:paraId="411F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2B7B3B8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w:t>
            </w:r>
          </w:p>
        </w:tc>
        <w:tc>
          <w:tcPr>
            <w:tcW w:w="4937" w:type="dxa"/>
            <w:shd w:val="clear" w:color="auto" w:fill="auto"/>
            <w:vAlign w:val="center"/>
          </w:tcPr>
          <w:p w14:paraId="31A6EB6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线边导线外50m</w:t>
            </w:r>
          </w:p>
        </w:tc>
        <w:tc>
          <w:tcPr>
            <w:tcW w:w="1469" w:type="dxa"/>
            <w:shd w:val="clear" w:color="auto" w:fill="auto"/>
          </w:tcPr>
          <w:p w14:paraId="6BA1ADF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50</w:t>
            </w:r>
          </w:p>
        </w:tc>
        <w:tc>
          <w:tcPr>
            <w:tcW w:w="1293" w:type="dxa"/>
            <w:shd w:val="clear" w:color="auto" w:fill="auto"/>
          </w:tcPr>
          <w:p w14:paraId="349B33D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41</w:t>
            </w:r>
          </w:p>
        </w:tc>
      </w:tr>
      <w:tr w14:paraId="0BD9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7CDCA40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p>
        </w:tc>
        <w:tc>
          <w:tcPr>
            <w:tcW w:w="4937" w:type="dxa"/>
            <w:shd w:val="clear" w:color="auto" w:fill="auto"/>
            <w:vAlign w:val="center"/>
          </w:tcPr>
          <w:p w14:paraId="378DFE6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线边导线外45m</w:t>
            </w:r>
          </w:p>
        </w:tc>
        <w:tc>
          <w:tcPr>
            <w:tcW w:w="1469" w:type="dxa"/>
            <w:shd w:val="clear" w:color="auto" w:fill="auto"/>
          </w:tcPr>
          <w:p w14:paraId="5D65AF7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50</w:t>
            </w:r>
          </w:p>
        </w:tc>
        <w:tc>
          <w:tcPr>
            <w:tcW w:w="1293" w:type="dxa"/>
            <w:shd w:val="clear" w:color="auto" w:fill="auto"/>
          </w:tcPr>
          <w:p w14:paraId="2109B10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r>
      <w:tr w14:paraId="21CE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36A94F1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p>
        </w:tc>
        <w:tc>
          <w:tcPr>
            <w:tcW w:w="4937" w:type="dxa"/>
            <w:shd w:val="clear" w:color="auto" w:fill="auto"/>
            <w:vAlign w:val="center"/>
          </w:tcPr>
          <w:p w14:paraId="184B924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线边导线外40m</w:t>
            </w:r>
          </w:p>
        </w:tc>
        <w:tc>
          <w:tcPr>
            <w:tcW w:w="1469" w:type="dxa"/>
            <w:shd w:val="clear" w:color="auto" w:fill="auto"/>
          </w:tcPr>
          <w:p w14:paraId="26366EE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47</w:t>
            </w:r>
          </w:p>
        </w:tc>
        <w:tc>
          <w:tcPr>
            <w:tcW w:w="1293" w:type="dxa"/>
            <w:shd w:val="clear" w:color="auto" w:fill="auto"/>
          </w:tcPr>
          <w:p w14:paraId="1148681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w:t>
            </w:r>
          </w:p>
        </w:tc>
      </w:tr>
      <w:tr w14:paraId="3BE9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13C58A0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p>
        </w:tc>
        <w:tc>
          <w:tcPr>
            <w:tcW w:w="4937" w:type="dxa"/>
            <w:shd w:val="clear" w:color="auto" w:fill="auto"/>
            <w:vAlign w:val="center"/>
          </w:tcPr>
          <w:p w14:paraId="1C4BEC5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线边导线外35m</w:t>
            </w:r>
          </w:p>
        </w:tc>
        <w:tc>
          <w:tcPr>
            <w:tcW w:w="1469" w:type="dxa"/>
            <w:shd w:val="clear" w:color="auto" w:fill="auto"/>
          </w:tcPr>
          <w:p w14:paraId="27B6338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46</w:t>
            </w:r>
          </w:p>
        </w:tc>
        <w:tc>
          <w:tcPr>
            <w:tcW w:w="1293" w:type="dxa"/>
            <w:shd w:val="clear" w:color="auto" w:fill="auto"/>
          </w:tcPr>
          <w:p w14:paraId="13E4645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r>
      <w:tr w14:paraId="2839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7F0244D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w:t>
            </w:r>
          </w:p>
        </w:tc>
        <w:tc>
          <w:tcPr>
            <w:tcW w:w="4937" w:type="dxa"/>
            <w:shd w:val="clear" w:color="auto" w:fill="auto"/>
            <w:vAlign w:val="center"/>
          </w:tcPr>
          <w:p w14:paraId="1517E56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线边导线外30m</w:t>
            </w:r>
          </w:p>
        </w:tc>
        <w:tc>
          <w:tcPr>
            <w:tcW w:w="1469" w:type="dxa"/>
            <w:shd w:val="clear" w:color="auto" w:fill="auto"/>
          </w:tcPr>
          <w:p w14:paraId="50C8F05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46</w:t>
            </w:r>
          </w:p>
        </w:tc>
        <w:tc>
          <w:tcPr>
            <w:tcW w:w="1293" w:type="dxa"/>
            <w:shd w:val="clear" w:color="auto" w:fill="auto"/>
          </w:tcPr>
          <w:p w14:paraId="47B93BD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42</w:t>
            </w:r>
          </w:p>
        </w:tc>
      </w:tr>
      <w:tr w14:paraId="239D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33CEEE7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w:t>
            </w:r>
          </w:p>
        </w:tc>
        <w:tc>
          <w:tcPr>
            <w:tcW w:w="4937" w:type="dxa"/>
            <w:shd w:val="clear" w:color="auto" w:fill="auto"/>
            <w:vAlign w:val="center"/>
          </w:tcPr>
          <w:p w14:paraId="249E8A1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线边导线外25m</w:t>
            </w:r>
          </w:p>
        </w:tc>
        <w:tc>
          <w:tcPr>
            <w:tcW w:w="1469" w:type="dxa"/>
            <w:shd w:val="clear" w:color="auto" w:fill="auto"/>
          </w:tcPr>
          <w:p w14:paraId="712580A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46</w:t>
            </w:r>
          </w:p>
        </w:tc>
        <w:tc>
          <w:tcPr>
            <w:tcW w:w="1293" w:type="dxa"/>
            <w:shd w:val="clear" w:color="auto" w:fill="auto"/>
          </w:tcPr>
          <w:p w14:paraId="46C58C1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r>
      <w:tr w14:paraId="48A5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5E22E92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w:t>
            </w:r>
          </w:p>
        </w:tc>
        <w:tc>
          <w:tcPr>
            <w:tcW w:w="4937" w:type="dxa"/>
            <w:shd w:val="clear" w:color="auto" w:fill="auto"/>
            <w:vAlign w:val="center"/>
          </w:tcPr>
          <w:p w14:paraId="7C586E0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线边导线外20m</w:t>
            </w:r>
          </w:p>
        </w:tc>
        <w:tc>
          <w:tcPr>
            <w:tcW w:w="1469" w:type="dxa"/>
            <w:shd w:val="clear" w:color="auto" w:fill="auto"/>
          </w:tcPr>
          <w:p w14:paraId="678257C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shd w:val="clear" w:color="auto" w:fill="auto"/>
          </w:tcPr>
          <w:p w14:paraId="0E6EB86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r>
      <w:tr w14:paraId="2D9F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212DEB4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w:t>
            </w:r>
          </w:p>
        </w:tc>
        <w:tc>
          <w:tcPr>
            <w:tcW w:w="4937" w:type="dxa"/>
            <w:shd w:val="clear" w:color="auto" w:fill="auto"/>
            <w:vAlign w:val="center"/>
          </w:tcPr>
          <w:p w14:paraId="79A6E1D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线边导线外15m</w:t>
            </w:r>
          </w:p>
        </w:tc>
        <w:tc>
          <w:tcPr>
            <w:tcW w:w="1469" w:type="dxa"/>
            <w:shd w:val="clear" w:color="auto" w:fill="auto"/>
          </w:tcPr>
          <w:p w14:paraId="1233156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shd w:val="clear" w:color="auto" w:fill="auto"/>
          </w:tcPr>
          <w:p w14:paraId="4CC7F21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w:t>
            </w:r>
          </w:p>
        </w:tc>
      </w:tr>
      <w:tr w14:paraId="599B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56CB3ED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w:t>
            </w:r>
          </w:p>
        </w:tc>
        <w:tc>
          <w:tcPr>
            <w:tcW w:w="4937" w:type="dxa"/>
            <w:shd w:val="clear" w:color="auto" w:fill="auto"/>
            <w:vAlign w:val="center"/>
          </w:tcPr>
          <w:p w14:paraId="4E35BF5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线边导线外10m</w:t>
            </w:r>
          </w:p>
        </w:tc>
        <w:tc>
          <w:tcPr>
            <w:tcW w:w="1469" w:type="dxa"/>
            <w:shd w:val="clear" w:color="auto" w:fill="auto"/>
          </w:tcPr>
          <w:p w14:paraId="7EF9C67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shd w:val="clear" w:color="auto" w:fill="auto"/>
          </w:tcPr>
          <w:p w14:paraId="4F3FB1F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w:t>
            </w:r>
          </w:p>
        </w:tc>
      </w:tr>
      <w:tr w14:paraId="3F6B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3EEE513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w:t>
            </w:r>
          </w:p>
        </w:tc>
        <w:tc>
          <w:tcPr>
            <w:tcW w:w="4937" w:type="dxa"/>
            <w:shd w:val="clear" w:color="auto" w:fill="auto"/>
            <w:vAlign w:val="center"/>
          </w:tcPr>
          <w:p w14:paraId="57AF994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线边导线外5m</w:t>
            </w:r>
          </w:p>
        </w:tc>
        <w:tc>
          <w:tcPr>
            <w:tcW w:w="1469" w:type="dxa"/>
            <w:shd w:val="clear" w:color="auto" w:fill="auto"/>
          </w:tcPr>
          <w:p w14:paraId="069920C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shd w:val="clear" w:color="auto" w:fill="auto"/>
          </w:tcPr>
          <w:p w14:paraId="3B8A304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r>
      <w:tr w14:paraId="18E7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2ADF93B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11</w:t>
            </w:r>
          </w:p>
        </w:tc>
        <w:tc>
          <w:tcPr>
            <w:tcW w:w="4937" w:type="dxa"/>
            <w:shd w:val="clear" w:color="auto" w:fill="auto"/>
            <w:vAlign w:val="center"/>
          </w:tcPr>
          <w:p w14:paraId="5E33882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线边导线投影</w:t>
            </w:r>
          </w:p>
        </w:tc>
        <w:tc>
          <w:tcPr>
            <w:tcW w:w="1469" w:type="dxa"/>
            <w:shd w:val="clear" w:color="auto" w:fill="auto"/>
          </w:tcPr>
          <w:p w14:paraId="79FC5AB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shd w:val="clear" w:color="auto" w:fill="auto"/>
          </w:tcPr>
          <w:p w14:paraId="613066E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42</w:t>
            </w:r>
          </w:p>
        </w:tc>
      </w:tr>
      <w:tr w14:paraId="2A6F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0FEEF13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12</w:t>
            </w:r>
          </w:p>
        </w:tc>
        <w:tc>
          <w:tcPr>
            <w:tcW w:w="4937" w:type="dxa"/>
            <w:shd w:val="clear" w:color="auto" w:fill="auto"/>
            <w:vAlign w:val="center"/>
          </w:tcPr>
          <w:p w14:paraId="5CA8DF69">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线边导线内5m</w:t>
            </w:r>
          </w:p>
        </w:tc>
        <w:tc>
          <w:tcPr>
            <w:tcW w:w="1469" w:type="dxa"/>
            <w:shd w:val="clear" w:color="auto" w:fill="auto"/>
          </w:tcPr>
          <w:p w14:paraId="558FB8D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c>
          <w:tcPr>
            <w:tcW w:w="1293" w:type="dxa"/>
            <w:shd w:val="clear" w:color="auto" w:fill="auto"/>
          </w:tcPr>
          <w:p w14:paraId="05B2764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r>
      <w:tr w14:paraId="25F6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12E53EB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13</w:t>
            </w:r>
          </w:p>
        </w:tc>
        <w:tc>
          <w:tcPr>
            <w:tcW w:w="4937" w:type="dxa"/>
            <w:shd w:val="clear" w:color="auto" w:fill="auto"/>
            <w:vAlign w:val="center"/>
          </w:tcPr>
          <w:p w14:paraId="7FA3244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线边导线内10m</w:t>
            </w:r>
          </w:p>
        </w:tc>
        <w:tc>
          <w:tcPr>
            <w:tcW w:w="1469" w:type="dxa"/>
            <w:shd w:val="clear" w:color="auto" w:fill="auto"/>
          </w:tcPr>
          <w:p w14:paraId="30B2B98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c>
          <w:tcPr>
            <w:tcW w:w="1293" w:type="dxa"/>
            <w:shd w:val="clear" w:color="auto" w:fill="auto"/>
          </w:tcPr>
          <w:p w14:paraId="5384BA9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42</w:t>
            </w:r>
          </w:p>
        </w:tc>
      </w:tr>
      <w:tr w14:paraId="6418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7A8A84E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14</w:t>
            </w:r>
          </w:p>
        </w:tc>
        <w:tc>
          <w:tcPr>
            <w:tcW w:w="4937" w:type="dxa"/>
            <w:shd w:val="clear" w:color="auto" w:fill="auto"/>
            <w:vAlign w:val="center"/>
          </w:tcPr>
          <w:p w14:paraId="2F186DF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乌格一线、乌格</w:t>
            </w:r>
            <w:r>
              <w:rPr>
                <w:rFonts w:hint="eastAsia"/>
                <w:color w:val="000000" w:themeColor="text1"/>
                <w:sz w:val="21"/>
                <w:szCs w:val="21"/>
                <w14:textFill>
                  <w14:solidFill>
                    <w14:schemeClr w14:val="tx1"/>
                  </w14:solidFill>
                </w14:textFill>
              </w:rPr>
              <w:fldChar w:fldCharType="begin"/>
            </w:r>
            <w:r>
              <w:rPr>
                <w:rFonts w:hint="eastAsia"/>
                <w:color w:val="000000" w:themeColor="text1"/>
                <w:sz w:val="21"/>
                <w:szCs w:val="21"/>
                <w14:textFill>
                  <w14:solidFill>
                    <w14:schemeClr w14:val="tx1"/>
                  </w14:solidFill>
                </w14:textFill>
              </w:rPr>
              <w:instrText xml:space="preserve"> = 2 \* ROMAN \* MERGEFORMAT </w:instrText>
            </w:r>
            <w:r>
              <w:rPr>
                <w:rFonts w:hint="eastAsia"/>
                <w:color w:val="000000" w:themeColor="text1"/>
                <w:sz w:val="21"/>
                <w:szCs w:val="21"/>
                <w14:textFill>
                  <w14:solidFill>
                    <w14:schemeClr w14:val="tx1"/>
                  </w14:solidFill>
                </w14:textFill>
              </w:rPr>
              <w:fldChar w:fldCharType="separate"/>
            </w:r>
            <w:r>
              <w:rPr>
                <w:rFonts w:hint="eastAsia"/>
                <w:color w:val="000000" w:themeColor="text1"/>
                <w:sz w:val="21"/>
                <w:szCs w:val="21"/>
                <w14:textFill>
                  <w14:solidFill>
                    <w14:schemeClr w14:val="tx1"/>
                  </w14:solidFill>
                </w14:textFill>
              </w:rPr>
              <w:t>II</w:t>
            </w:r>
            <w:r>
              <w:rPr>
                <w:rFonts w:hint="eastAsia"/>
                <w:color w:val="000000" w:themeColor="text1"/>
                <w:sz w:val="21"/>
                <w:szCs w:val="21"/>
                <w14:textFill>
                  <w14:solidFill>
                    <w14:schemeClr w14:val="tx1"/>
                  </w14:solidFill>
                </w14:textFill>
              </w:rPr>
              <w:fldChar w:fldCharType="end"/>
            </w:r>
            <w:r>
              <w:rPr>
                <w:rFonts w:hint="eastAsia"/>
                <w:color w:val="000000" w:themeColor="text1"/>
                <w:sz w:val="21"/>
                <w:szCs w:val="21"/>
                <w14:textFill>
                  <w14:solidFill>
                    <w14:schemeClr w14:val="tx1"/>
                  </w14:solidFill>
                </w14:textFill>
              </w:rPr>
              <w:t>线边导线内15m（监测原点）</w:t>
            </w:r>
          </w:p>
        </w:tc>
        <w:tc>
          <w:tcPr>
            <w:tcW w:w="1469" w:type="dxa"/>
            <w:shd w:val="clear" w:color="auto" w:fill="auto"/>
          </w:tcPr>
          <w:p w14:paraId="573FD92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c>
          <w:tcPr>
            <w:tcW w:w="1293" w:type="dxa"/>
            <w:shd w:val="clear" w:color="auto" w:fill="auto"/>
          </w:tcPr>
          <w:p w14:paraId="477B6685">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r>
      <w:tr w14:paraId="1F50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shd w:val="clear" w:color="auto" w:fill="auto"/>
          </w:tcPr>
          <w:p w14:paraId="25AEE74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15</w:t>
            </w:r>
          </w:p>
        </w:tc>
        <w:tc>
          <w:tcPr>
            <w:tcW w:w="4937" w:type="dxa"/>
            <w:shd w:val="clear" w:color="auto" w:fill="auto"/>
            <w:vAlign w:val="center"/>
          </w:tcPr>
          <w:p w14:paraId="41EBFB7E">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乌格一线边导线内10m</w:t>
            </w:r>
          </w:p>
        </w:tc>
        <w:tc>
          <w:tcPr>
            <w:tcW w:w="1469" w:type="dxa"/>
            <w:shd w:val="clear" w:color="auto" w:fill="auto"/>
          </w:tcPr>
          <w:p w14:paraId="151BE30C">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shd w:val="clear" w:color="auto" w:fill="auto"/>
          </w:tcPr>
          <w:p w14:paraId="69E207C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40</w:t>
            </w:r>
          </w:p>
        </w:tc>
      </w:tr>
      <w:tr w14:paraId="657E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7D4ED42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16</w:t>
            </w:r>
          </w:p>
        </w:tc>
        <w:tc>
          <w:tcPr>
            <w:tcW w:w="4937" w:type="dxa"/>
            <w:shd w:val="clear" w:color="auto" w:fill="auto"/>
            <w:vAlign w:val="center"/>
          </w:tcPr>
          <w:p w14:paraId="542F0B9B">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乌格一线边导线内5m</w:t>
            </w:r>
          </w:p>
        </w:tc>
        <w:tc>
          <w:tcPr>
            <w:tcW w:w="1469" w:type="dxa"/>
          </w:tcPr>
          <w:p w14:paraId="2BDD0EF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w:t>
            </w:r>
          </w:p>
        </w:tc>
        <w:tc>
          <w:tcPr>
            <w:tcW w:w="1293" w:type="dxa"/>
          </w:tcPr>
          <w:p w14:paraId="5A9371B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r>
      <w:tr w14:paraId="6993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4014BFF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17</w:t>
            </w:r>
          </w:p>
        </w:tc>
        <w:tc>
          <w:tcPr>
            <w:tcW w:w="4937" w:type="dxa"/>
            <w:shd w:val="clear" w:color="auto" w:fill="auto"/>
            <w:vAlign w:val="center"/>
          </w:tcPr>
          <w:p w14:paraId="77161E0E">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乌格一线边导线投影</w:t>
            </w:r>
          </w:p>
        </w:tc>
        <w:tc>
          <w:tcPr>
            <w:tcW w:w="1469" w:type="dxa"/>
          </w:tcPr>
          <w:p w14:paraId="268BF46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c>
          <w:tcPr>
            <w:tcW w:w="1293" w:type="dxa"/>
          </w:tcPr>
          <w:p w14:paraId="622CBE7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r>
      <w:tr w14:paraId="287C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56AC6E6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18</w:t>
            </w:r>
          </w:p>
        </w:tc>
        <w:tc>
          <w:tcPr>
            <w:tcW w:w="4937" w:type="dxa"/>
            <w:shd w:val="clear" w:color="auto" w:fill="auto"/>
            <w:vAlign w:val="center"/>
          </w:tcPr>
          <w:p w14:paraId="30152404">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乌格一线边导线外5m</w:t>
            </w:r>
          </w:p>
        </w:tc>
        <w:tc>
          <w:tcPr>
            <w:tcW w:w="1469" w:type="dxa"/>
          </w:tcPr>
          <w:p w14:paraId="36136DD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w:t>
            </w:r>
          </w:p>
        </w:tc>
        <w:tc>
          <w:tcPr>
            <w:tcW w:w="1293" w:type="dxa"/>
          </w:tcPr>
          <w:p w14:paraId="2268C5E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42</w:t>
            </w:r>
          </w:p>
        </w:tc>
      </w:tr>
      <w:tr w14:paraId="47FE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4BB7F32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19</w:t>
            </w:r>
          </w:p>
        </w:tc>
        <w:tc>
          <w:tcPr>
            <w:tcW w:w="4937" w:type="dxa"/>
            <w:shd w:val="clear" w:color="auto" w:fill="auto"/>
            <w:vAlign w:val="center"/>
          </w:tcPr>
          <w:p w14:paraId="6AF6E678">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乌格一线边导线外10m</w:t>
            </w:r>
          </w:p>
        </w:tc>
        <w:tc>
          <w:tcPr>
            <w:tcW w:w="1469" w:type="dxa"/>
          </w:tcPr>
          <w:p w14:paraId="1CF46D4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w:t>
            </w:r>
          </w:p>
        </w:tc>
        <w:tc>
          <w:tcPr>
            <w:tcW w:w="1293" w:type="dxa"/>
          </w:tcPr>
          <w:p w14:paraId="680FFA3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w:t>
            </w:r>
          </w:p>
        </w:tc>
      </w:tr>
      <w:tr w14:paraId="025A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09B8C31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w:t>
            </w:r>
          </w:p>
        </w:tc>
        <w:tc>
          <w:tcPr>
            <w:tcW w:w="4937" w:type="dxa"/>
            <w:shd w:val="clear" w:color="auto" w:fill="auto"/>
            <w:vAlign w:val="center"/>
          </w:tcPr>
          <w:p w14:paraId="1021FB11">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乌格一线边导线外15m</w:t>
            </w:r>
          </w:p>
        </w:tc>
        <w:tc>
          <w:tcPr>
            <w:tcW w:w="1469" w:type="dxa"/>
          </w:tcPr>
          <w:p w14:paraId="02A97241">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c>
          <w:tcPr>
            <w:tcW w:w="1293" w:type="dxa"/>
          </w:tcPr>
          <w:p w14:paraId="3990C82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r>
      <w:tr w14:paraId="31BF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67E2FD9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21</w:t>
            </w:r>
          </w:p>
        </w:tc>
        <w:tc>
          <w:tcPr>
            <w:tcW w:w="4937" w:type="dxa"/>
            <w:shd w:val="clear" w:color="auto" w:fill="auto"/>
            <w:vAlign w:val="center"/>
          </w:tcPr>
          <w:p w14:paraId="0A27B00D">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乌格一线边导线外20m</w:t>
            </w:r>
          </w:p>
        </w:tc>
        <w:tc>
          <w:tcPr>
            <w:tcW w:w="1469" w:type="dxa"/>
          </w:tcPr>
          <w:p w14:paraId="2F99A88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c>
          <w:tcPr>
            <w:tcW w:w="1293" w:type="dxa"/>
          </w:tcPr>
          <w:p w14:paraId="34E4348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r>
      <w:tr w14:paraId="4163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1996C44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22</w:t>
            </w:r>
          </w:p>
        </w:tc>
        <w:tc>
          <w:tcPr>
            <w:tcW w:w="4937" w:type="dxa"/>
            <w:shd w:val="clear" w:color="auto" w:fill="auto"/>
            <w:vAlign w:val="center"/>
          </w:tcPr>
          <w:p w14:paraId="47F490BD">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乌格一线边导线外25m</w:t>
            </w:r>
          </w:p>
        </w:tc>
        <w:tc>
          <w:tcPr>
            <w:tcW w:w="1469" w:type="dxa"/>
          </w:tcPr>
          <w:p w14:paraId="0C617E4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tcPr>
          <w:p w14:paraId="1337091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42</w:t>
            </w:r>
          </w:p>
        </w:tc>
      </w:tr>
      <w:tr w14:paraId="3CD3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2A002EF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23</w:t>
            </w:r>
          </w:p>
        </w:tc>
        <w:tc>
          <w:tcPr>
            <w:tcW w:w="4937" w:type="dxa"/>
            <w:shd w:val="clear" w:color="auto" w:fill="auto"/>
            <w:vAlign w:val="center"/>
          </w:tcPr>
          <w:p w14:paraId="6416A40D">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乌格一线边导线外30m</w:t>
            </w:r>
          </w:p>
        </w:tc>
        <w:tc>
          <w:tcPr>
            <w:tcW w:w="1469" w:type="dxa"/>
          </w:tcPr>
          <w:p w14:paraId="53A07D42">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c>
          <w:tcPr>
            <w:tcW w:w="1293" w:type="dxa"/>
          </w:tcPr>
          <w:p w14:paraId="4EF2347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w:t>
            </w:r>
          </w:p>
        </w:tc>
      </w:tr>
      <w:tr w14:paraId="5858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099B9C1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24</w:t>
            </w:r>
          </w:p>
        </w:tc>
        <w:tc>
          <w:tcPr>
            <w:tcW w:w="4937" w:type="dxa"/>
            <w:shd w:val="clear" w:color="auto" w:fill="auto"/>
            <w:vAlign w:val="center"/>
          </w:tcPr>
          <w:p w14:paraId="31BF4A96">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乌格一线边导线外35m</w:t>
            </w:r>
          </w:p>
        </w:tc>
        <w:tc>
          <w:tcPr>
            <w:tcW w:w="1469" w:type="dxa"/>
          </w:tcPr>
          <w:p w14:paraId="129D337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tcPr>
          <w:p w14:paraId="33CCF17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42</w:t>
            </w:r>
          </w:p>
        </w:tc>
      </w:tr>
      <w:tr w14:paraId="07C6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4C6CCB8E">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25</w:t>
            </w:r>
          </w:p>
        </w:tc>
        <w:tc>
          <w:tcPr>
            <w:tcW w:w="4937" w:type="dxa"/>
            <w:shd w:val="clear" w:color="auto" w:fill="auto"/>
            <w:vAlign w:val="center"/>
          </w:tcPr>
          <w:p w14:paraId="04C9E513">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乌格一线边导线外40m</w:t>
            </w:r>
          </w:p>
        </w:tc>
        <w:tc>
          <w:tcPr>
            <w:tcW w:w="1469" w:type="dxa"/>
          </w:tcPr>
          <w:p w14:paraId="5065BF4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c>
          <w:tcPr>
            <w:tcW w:w="1293" w:type="dxa"/>
          </w:tcPr>
          <w:p w14:paraId="6A66E0A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44</w:t>
            </w:r>
          </w:p>
        </w:tc>
      </w:tr>
      <w:tr w14:paraId="65C1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59848B90">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26</w:t>
            </w:r>
          </w:p>
        </w:tc>
        <w:tc>
          <w:tcPr>
            <w:tcW w:w="4937" w:type="dxa"/>
            <w:shd w:val="clear" w:color="auto" w:fill="auto"/>
            <w:vAlign w:val="center"/>
          </w:tcPr>
          <w:p w14:paraId="4CEAFA1D">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乌格一线边导线外45m</w:t>
            </w:r>
          </w:p>
        </w:tc>
        <w:tc>
          <w:tcPr>
            <w:tcW w:w="1469" w:type="dxa"/>
          </w:tcPr>
          <w:p w14:paraId="6D8A0C77">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c>
          <w:tcPr>
            <w:tcW w:w="1293" w:type="dxa"/>
          </w:tcPr>
          <w:p w14:paraId="640D1A9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43</w:t>
            </w:r>
          </w:p>
        </w:tc>
      </w:tr>
      <w:tr w14:paraId="3905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50" w:type="dxa"/>
          </w:tcPr>
          <w:p w14:paraId="4CA1E71D">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27</w:t>
            </w:r>
          </w:p>
        </w:tc>
        <w:tc>
          <w:tcPr>
            <w:tcW w:w="4937" w:type="dxa"/>
            <w:shd w:val="clear" w:color="auto" w:fill="auto"/>
            <w:vAlign w:val="center"/>
          </w:tcPr>
          <w:p w14:paraId="7A2C30B4">
            <w:pPr>
              <w:spacing w:line="240" w:lineRule="auto"/>
              <w:ind w:firstLine="0" w:firstLineChars="0"/>
              <w:jc w:val="center"/>
              <w:rPr>
                <w:color w:val="000000" w:themeColor="text1"/>
                <w:sz w:val="21"/>
                <w:szCs w:val="21"/>
                <w:lang w:eastAsia="en-US"/>
                <w14:textFill>
                  <w14:solidFill>
                    <w14:schemeClr w14:val="tx1"/>
                  </w14:solidFill>
                </w14:textFill>
              </w:rPr>
            </w:pPr>
            <w:r>
              <w:rPr>
                <w:rFonts w:hint="eastAsia"/>
                <w:color w:val="000000" w:themeColor="text1"/>
                <w:sz w:val="21"/>
                <w:szCs w:val="21"/>
                <w14:textFill>
                  <w14:solidFill>
                    <w14:schemeClr w14:val="tx1"/>
                  </w14:solidFill>
                </w14:textFill>
              </w:rPr>
              <w:t>乌格一线边导线外50m</w:t>
            </w:r>
          </w:p>
        </w:tc>
        <w:tc>
          <w:tcPr>
            <w:tcW w:w="1469" w:type="dxa"/>
          </w:tcPr>
          <w:p w14:paraId="0C555C2F">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38</w:t>
            </w:r>
          </w:p>
        </w:tc>
        <w:tc>
          <w:tcPr>
            <w:tcW w:w="1293" w:type="dxa"/>
          </w:tcPr>
          <w:p w14:paraId="41BE350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40</w:t>
            </w:r>
          </w:p>
        </w:tc>
      </w:tr>
    </w:tbl>
    <w:p w14:paraId="2842F747">
      <w:pPr>
        <w:pStyle w:val="67"/>
        <w:shd w:val="clea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hd w:val="clear"/>
          <w14:textFill>
            <w14:solidFill>
              <w14:schemeClr w14:val="tx1"/>
            </w14:solidFill>
          </w14:textFill>
        </w:rPr>
        <w:t>由类比监测结果可知750kV彩渠Ⅱ线和750kV渠蒋II线单回并行线路衰减断面上测得的昼间噪声值范围为35～37dB（A），夜间噪声值范围为35～36dB（A</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bCs/>
          <w:snapToGrid/>
          <w:color w:val="000000" w:themeColor="text1"/>
          <w14:textFill>
            <w14:solidFill>
              <w14:schemeClr w14:val="tx1"/>
            </w14:solidFill>
          </w14:textFill>
        </w:rPr>
        <w:t>满足《声环境质量标准》（GB3096-2008）中</w:t>
      </w:r>
      <w:r>
        <w:rPr>
          <w:rFonts w:hint="default" w:ascii="Times New Roman" w:hAnsi="Times New Roman" w:cs="Times New Roman"/>
          <w:bCs/>
          <w:snapToGrid/>
          <w:color w:val="000000" w:themeColor="text1"/>
          <w:lang w:val="en-US" w:eastAsia="zh-CN"/>
          <w14:textFill>
            <w14:solidFill>
              <w14:schemeClr w14:val="tx1"/>
            </w14:solidFill>
          </w14:textFill>
        </w:rPr>
        <w:t>2</w:t>
      </w:r>
      <w:r>
        <w:rPr>
          <w:rFonts w:hint="default" w:ascii="Times New Roman" w:hAnsi="Times New Roman" w:cs="Times New Roman"/>
          <w:bCs/>
          <w:snapToGrid/>
          <w:color w:val="000000" w:themeColor="text1"/>
          <w14:textFill>
            <w14:solidFill>
              <w14:schemeClr w14:val="tx1"/>
            </w14:solidFill>
          </w14:textFill>
        </w:rPr>
        <w:t>类标准限值要求。</w:t>
      </w:r>
    </w:p>
    <w:p w14:paraId="2C1514BE">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乌格一线昼间噪声为50dB（A）~52dB（A），夜间噪声为44dB（A）~50dB（A），乌格一线、乌格II线同塔双回线路昼间噪声为38dB（A）~50dB（A），夜间噪声为40dB（A）~45dB（A），符合《声环境质量标准》（GB3096-2008）中</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类标准（昼间6</w:t>
      </w:r>
      <w:r>
        <w:rPr>
          <w:rFonts w:hint="default" w:ascii="Times New Roman" w:hAnsi="Times New Roman" w:cs="Times New Roman"/>
          <w:color w:val="000000" w:themeColor="text1"/>
          <w:lang w:val="en-US" w:eastAsia="zh-CN"/>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dB（A），夜间5</w:t>
      </w:r>
      <w:r>
        <w:rPr>
          <w:rFonts w:hint="default" w:ascii="Times New Roman" w:hAnsi="Times New Roman" w:cs="Times New Roman"/>
          <w:color w:val="000000" w:themeColor="text1"/>
          <w:lang w:val="en-US" w:eastAsia="zh-CN"/>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dB（A））。</w:t>
      </w:r>
    </w:p>
    <w:p w14:paraId="3FC98E79">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通过类比监测可知，本项目投运后评价范围内声环境质量符合《声环境质量标准》（GB3096-2008）中</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类标准（昼间6</w:t>
      </w:r>
      <w:r>
        <w:rPr>
          <w:rFonts w:hint="default" w:ascii="Times New Roman" w:hAnsi="Times New Roman" w:cs="Times New Roman"/>
          <w:color w:val="000000" w:themeColor="text1"/>
          <w:lang w:val="en-US" w:eastAsia="zh-CN"/>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dB（A），夜间5</w:t>
      </w:r>
      <w:r>
        <w:rPr>
          <w:rFonts w:hint="default" w:ascii="Times New Roman" w:hAnsi="Times New Roman" w:cs="Times New Roman"/>
          <w:color w:val="000000" w:themeColor="text1"/>
          <w:lang w:val="en-US" w:eastAsia="zh-CN"/>
          <w14:textFill>
            <w14:solidFill>
              <w14:schemeClr w14:val="tx1"/>
            </w14:solidFill>
          </w14:textFill>
        </w:rPr>
        <w:t>0</w:t>
      </w:r>
      <w:r>
        <w:rPr>
          <w:rFonts w:hint="default" w:ascii="Times New Roman" w:hAnsi="Times New Roman" w:cs="Times New Roman"/>
          <w:color w:val="000000" w:themeColor="text1"/>
          <w14:textFill>
            <w14:solidFill>
              <w14:schemeClr w14:val="tx1"/>
            </w14:solidFill>
          </w14:textFill>
        </w:rPr>
        <w:t>dB（A））。</w:t>
      </w:r>
    </w:p>
    <w:p w14:paraId="326B7C71">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rFonts w:hint="eastAsia"/>
          <w:bCs/>
          <w:color w:val="000000" w:themeColor="text1"/>
          <w:sz w:val="28"/>
          <w:szCs w:val="32"/>
          <w14:textFill>
            <w14:solidFill>
              <w14:schemeClr w14:val="tx1"/>
            </w14:solidFill>
          </w14:textFill>
        </w:rPr>
        <w:t>6.2.2声环境影响评价结论</w:t>
      </w:r>
    </w:p>
    <w:p w14:paraId="6091D5A3">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本项目750kV输电线路建成运行后，线路附近声环境可满足《声环境质量标准》（GB3096-2008）中</w:t>
      </w:r>
      <w:r>
        <w:rPr>
          <w:rFonts w:hint="eastAsia"/>
          <w:color w:val="000000" w:themeColor="text1"/>
          <w:lang w:val="en-US" w:eastAsia="zh-CN"/>
          <w14:textFill>
            <w14:solidFill>
              <w14:schemeClr w14:val="tx1"/>
            </w14:solidFill>
          </w14:textFill>
        </w:rPr>
        <w:t>相应的标准要求</w:t>
      </w:r>
      <w:r>
        <w:rPr>
          <w:color w:val="000000" w:themeColor="text1"/>
          <w14:textFill>
            <w14:solidFill>
              <w14:schemeClr w14:val="tx1"/>
            </w14:solidFill>
          </w14:textFill>
        </w:rPr>
        <w:t>。</w:t>
      </w:r>
    </w:p>
    <w:p w14:paraId="55BDBF35">
      <w:pPr>
        <w:pStyle w:val="4"/>
        <w:keepNext/>
        <w:keepLines/>
        <w:tabs>
          <w:tab w:val="clear" w:pos="907"/>
          <w:tab w:val="clear" w:pos="1034"/>
        </w:tabs>
        <w:adjustRightInd/>
        <w:spacing w:before="120" w:beforeLines="50" w:after="120" w:afterLines="50"/>
        <w:ind w:firstLine="0" w:firstLineChars="0"/>
        <w:jc w:val="both"/>
        <w:rPr>
          <w:color w:val="000000" w:themeColor="text1"/>
          <w14:textFill>
            <w14:solidFill>
              <w14:schemeClr w14:val="tx1"/>
            </w14:solidFill>
          </w14:textFill>
        </w:rPr>
      </w:pPr>
      <w:r>
        <w:rPr>
          <w:rFonts w:hint="eastAsia"/>
          <w:bCs/>
          <w:color w:val="000000" w:themeColor="text1"/>
          <w:sz w:val="28"/>
          <w:szCs w:val="32"/>
          <w14:textFill>
            <w14:solidFill>
              <w14:schemeClr w14:val="tx1"/>
            </w14:solidFill>
          </w14:textFill>
        </w:rPr>
        <w:t>6.2.3</w:t>
      </w:r>
      <w:r>
        <w:rPr>
          <w:rFonts w:hint="eastAsia"/>
          <w:bCs/>
          <w:color w:val="000000" w:themeColor="text1"/>
          <w:sz w:val="28"/>
          <w:szCs w:val="32"/>
          <w:lang w:val="zh-CN"/>
          <w14:textFill>
            <w14:solidFill>
              <w14:schemeClr w14:val="tx1"/>
            </w14:solidFill>
          </w14:textFill>
        </w:rPr>
        <w:t>声环境影响评价自查表</w:t>
      </w:r>
    </w:p>
    <w:p w14:paraId="6B5D2ACB">
      <w:pPr>
        <w:ind w:firstLine="480"/>
        <w:rPr>
          <w:color w:val="000000" w:themeColor="text1"/>
          <w:lang w:val="zh-CN"/>
          <w14:textFill>
            <w14:solidFill>
              <w14:schemeClr w14:val="tx1"/>
            </w14:solidFill>
          </w14:textFill>
        </w:rPr>
      </w:pPr>
      <w:r>
        <w:rPr>
          <w:color w:val="000000" w:themeColor="text1"/>
          <w:lang w:val="zh-CN"/>
          <w14:textFill>
            <w14:solidFill>
              <w14:schemeClr w14:val="tx1"/>
            </w14:solidFill>
          </w14:textFill>
        </w:rPr>
        <w:t>声环境影响评价自查表见表6.2-</w:t>
      </w:r>
      <w:r>
        <w:rPr>
          <w:rFonts w:hint="eastAsia"/>
          <w:color w:val="000000" w:themeColor="text1"/>
          <w14:textFill>
            <w14:solidFill>
              <w14:schemeClr w14:val="tx1"/>
            </w14:solidFill>
          </w14:textFill>
        </w:rPr>
        <w:t>10</w:t>
      </w:r>
      <w:r>
        <w:rPr>
          <w:color w:val="000000" w:themeColor="text1"/>
          <w:lang w:val="zh-CN"/>
          <w14:textFill>
            <w14:solidFill>
              <w14:schemeClr w14:val="tx1"/>
            </w14:solidFill>
          </w14:textFill>
        </w:rPr>
        <w:t>。</w:t>
      </w:r>
    </w:p>
    <w:p w14:paraId="703FA614">
      <w:pPr>
        <w:ind w:firstLine="422"/>
        <w:jc w:val="center"/>
        <w:rPr>
          <w:b/>
          <w:color w:val="000000" w:themeColor="text1"/>
          <w:sz w:val="21"/>
          <w:szCs w:val="21"/>
          <w:lang w:val="zh-CN"/>
          <w14:textFill>
            <w14:solidFill>
              <w14:schemeClr w14:val="tx1"/>
            </w14:solidFill>
          </w14:textFill>
        </w:rPr>
      </w:pPr>
      <w:r>
        <w:rPr>
          <w:b/>
          <w:color w:val="000000" w:themeColor="text1"/>
          <w:sz w:val="21"/>
          <w:szCs w:val="21"/>
          <w:lang w:val="zh-CN"/>
          <w14:textFill>
            <w14:solidFill>
              <w14:schemeClr w14:val="tx1"/>
            </w14:solidFill>
          </w14:textFill>
        </w:rPr>
        <w:t>表6.2-</w:t>
      </w:r>
      <w:r>
        <w:rPr>
          <w:rFonts w:hint="eastAsia"/>
          <w:b/>
          <w:color w:val="000000" w:themeColor="text1"/>
          <w:sz w:val="21"/>
          <w:szCs w:val="21"/>
          <w14:textFill>
            <w14:solidFill>
              <w14:schemeClr w14:val="tx1"/>
            </w14:solidFill>
          </w14:textFill>
        </w:rPr>
        <w:t>10</w:t>
      </w:r>
      <w:r>
        <w:rPr>
          <w:b/>
          <w:color w:val="000000" w:themeColor="text1"/>
          <w:sz w:val="21"/>
          <w:szCs w:val="21"/>
          <w:lang w:val="zh-CN"/>
          <w14:textFill>
            <w14:solidFill>
              <w14:schemeClr w14:val="tx1"/>
            </w14:solidFill>
          </w14:textFill>
        </w:rPr>
        <w:t xml:space="preserve">  声环境影响评价自查表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1"/>
        <w:gridCol w:w="1380"/>
        <w:gridCol w:w="1008"/>
        <w:gridCol w:w="507"/>
        <w:gridCol w:w="289"/>
        <w:gridCol w:w="216"/>
        <w:gridCol w:w="961"/>
        <w:gridCol w:w="53"/>
        <w:gridCol w:w="1009"/>
        <w:gridCol w:w="507"/>
        <w:gridCol w:w="432"/>
        <w:gridCol w:w="73"/>
        <w:gridCol w:w="1019"/>
      </w:tblGrid>
      <w:tr w14:paraId="0CDD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348" w:type="pct"/>
            <w:gridSpan w:val="2"/>
            <w:vAlign w:val="center"/>
          </w:tcPr>
          <w:p w14:paraId="54D342AD">
            <w:pPr>
              <w:spacing w:line="240" w:lineRule="auto"/>
              <w:ind w:firstLine="0" w:firstLineChars="0"/>
              <w:jc w:val="center"/>
              <w:rPr>
                <w:b/>
                <w:bCs/>
                <w:color w:val="000000" w:themeColor="text1"/>
                <w:kern w:val="0"/>
                <w:sz w:val="21"/>
                <w:szCs w:val="21"/>
                <w14:textFill>
                  <w14:solidFill>
                    <w14:schemeClr w14:val="tx1"/>
                  </w14:solidFill>
                </w14:textFill>
              </w:rPr>
            </w:pPr>
            <w:r>
              <w:rPr>
                <w:b/>
                <w:bCs/>
                <w:color w:val="000000" w:themeColor="text1"/>
                <w:spacing w:val="-2"/>
                <w:kern w:val="0"/>
                <w:sz w:val="21"/>
                <w:szCs w:val="21"/>
                <w14:textFill>
                  <w14:solidFill>
                    <w14:schemeClr w14:val="tx1"/>
                  </w14:solidFill>
                </w14:textFill>
              </w:rPr>
              <w:t>工作内</w:t>
            </w:r>
            <w:r>
              <w:rPr>
                <w:b/>
                <w:bCs/>
                <w:color w:val="000000" w:themeColor="text1"/>
                <w:spacing w:val="-1"/>
                <w:kern w:val="0"/>
                <w:sz w:val="21"/>
                <w:szCs w:val="21"/>
                <w14:textFill>
                  <w14:solidFill>
                    <w14:schemeClr w14:val="tx1"/>
                  </w14:solidFill>
                </w14:textFill>
              </w:rPr>
              <w:t>容</w:t>
            </w:r>
          </w:p>
        </w:tc>
        <w:tc>
          <w:tcPr>
            <w:tcW w:w="3652" w:type="pct"/>
            <w:gridSpan w:val="11"/>
            <w:vAlign w:val="center"/>
          </w:tcPr>
          <w:p w14:paraId="47B1D8F7">
            <w:pPr>
              <w:spacing w:line="240" w:lineRule="auto"/>
              <w:ind w:firstLine="0" w:firstLineChars="0"/>
              <w:jc w:val="center"/>
              <w:rPr>
                <w:b/>
                <w:bCs/>
                <w:color w:val="000000" w:themeColor="text1"/>
                <w:kern w:val="0"/>
                <w:sz w:val="21"/>
                <w:szCs w:val="21"/>
                <w14:textFill>
                  <w14:solidFill>
                    <w14:schemeClr w14:val="tx1"/>
                  </w14:solidFill>
                </w14:textFill>
              </w:rPr>
            </w:pPr>
            <w:r>
              <w:rPr>
                <w:b/>
                <w:bCs/>
                <w:color w:val="000000" w:themeColor="text1"/>
                <w:spacing w:val="-7"/>
                <w:kern w:val="0"/>
                <w:sz w:val="21"/>
                <w:szCs w:val="21"/>
                <w14:textFill>
                  <w14:solidFill>
                    <w14:schemeClr w14:val="tx1"/>
                  </w14:solidFill>
                </w14:textFill>
              </w:rPr>
              <w:t>自查项目</w:t>
            </w:r>
          </w:p>
        </w:tc>
      </w:tr>
      <w:tr w14:paraId="1DD7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restart"/>
            <w:vAlign w:val="center"/>
          </w:tcPr>
          <w:p w14:paraId="2014CBA3">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评价等级与范围</w:t>
            </w:r>
          </w:p>
        </w:tc>
        <w:tc>
          <w:tcPr>
            <w:tcW w:w="829" w:type="pct"/>
            <w:vAlign w:val="center"/>
          </w:tcPr>
          <w:p w14:paraId="58D500BC">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评价等级</w:t>
            </w:r>
          </w:p>
        </w:tc>
        <w:tc>
          <w:tcPr>
            <w:tcW w:w="1085" w:type="pct"/>
            <w:gridSpan w:val="3"/>
            <w:vAlign w:val="center"/>
          </w:tcPr>
          <w:p w14:paraId="7E8A01F0">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一级□</w:t>
            </w:r>
          </w:p>
        </w:tc>
        <w:tc>
          <w:tcPr>
            <w:tcW w:w="1347" w:type="pct"/>
            <w:gridSpan w:val="4"/>
            <w:vAlign w:val="center"/>
          </w:tcPr>
          <w:p w14:paraId="0F7945A2">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二级</w:t>
            </w:r>
            <w:r>
              <w:rPr>
                <w:color w:val="000000" w:themeColor="text1"/>
                <w:spacing w:val="-2"/>
                <w:kern w:val="0"/>
                <w:sz w:val="21"/>
                <w:szCs w:val="21"/>
                <w14:textFill>
                  <w14:solidFill>
                    <w14:schemeClr w14:val="tx1"/>
                  </w14:solidFill>
                </w14:textFill>
              </w:rPr>
              <w:sym w:font="Wingdings 2" w:char="0052"/>
            </w:r>
          </w:p>
        </w:tc>
        <w:tc>
          <w:tcPr>
            <w:tcW w:w="1220" w:type="pct"/>
            <w:gridSpan w:val="4"/>
            <w:vAlign w:val="center"/>
          </w:tcPr>
          <w:p w14:paraId="3A710BA1">
            <w:pPr>
              <w:spacing w:line="240" w:lineRule="auto"/>
              <w:ind w:firstLine="0" w:firstLineChars="0"/>
              <w:jc w:val="center"/>
              <w:rPr>
                <w:rFonts w:hint="eastAsia" w:eastAsia="宋体"/>
                <w:color w:val="000000" w:themeColor="text1"/>
                <w:spacing w:val="-2"/>
                <w:kern w:val="0"/>
                <w:sz w:val="21"/>
                <w:szCs w:val="21"/>
                <w:lang w:eastAsia="zh-CN"/>
                <w14:textFill>
                  <w14:solidFill>
                    <w14:schemeClr w14:val="tx1"/>
                  </w14:solidFill>
                </w14:textFill>
              </w:rPr>
            </w:pPr>
            <w:r>
              <w:rPr>
                <w:color w:val="000000" w:themeColor="text1"/>
                <w:spacing w:val="-2"/>
                <w:kern w:val="0"/>
                <w:sz w:val="21"/>
                <w:szCs w:val="21"/>
                <w14:textFill>
                  <w14:solidFill>
                    <w14:schemeClr w14:val="tx1"/>
                  </w14:solidFill>
                </w14:textFill>
              </w:rPr>
              <w:t>三级</w:t>
            </w:r>
            <w:r>
              <w:rPr>
                <w:rFonts w:hint="eastAsia"/>
                <w:color w:val="000000" w:themeColor="text1"/>
                <w:spacing w:val="-2"/>
                <w:kern w:val="0"/>
                <w:sz w:val="21"/>
                <w:szCs w:val="21"/>
                <w:lang w:eastAsia="zh-CN"/>
                <w14:textFill>
                  <w14:solidFill>
                    <w14:schemeClr w14:val="tx1"/>
                  </w14:solidFill>
                </w14:textFill>
              </w:rPr>
              <w:t>□</w:t>
            </w:r>
          </w:p>
        </w:tc>
      </w:tr>
      <w:tr w14:paraId="51F3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7EB91D63">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1EA9550E">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评价范围</w:t>
            </w:r>
          </w:p>
        </w:tc>
        <w:tc>
          <w:tcPr>
            <w:tcW w:w="606" w:type="pct"/>
            <w:vAlign w:val="center"/>
          </w:tcPr>
          <w:p w14:paraId="6130B7C0">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200m</w:t>
            </w:r>
            <w:r>
              <w:rPr>
                <w:color w:val="000000" w:themeColor="text1"/>
                <w:spacing w:val="-2"/>
                <w:kern w:val="0"/>
                <w:sz w:val="21"/>
                <w:szCs w:val="21"/>
                <w14:textFill>
                  <w14:solidFill>
                    <w14:schemeClr w14:val="tx1"/>
                  </w14:solidFill>
                </w14:textFill>
              </w:rPr>
              <w:sym w:font="Wingdings 2" w:char="00A3"/>
            </w:r>
          </w:p>
        </w:tc>
        <w:tc>
          <w:tcPr>
            <w:tcW w:w="1826" w:type="pct"/>
            <w:gridSpan w:val="6"/>
            <w:vAlign w:val="center"/>
          </w:tcPr>
          <w:p w14:paraId="25062D66">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大于200m□</w:t>
            </w:r>
          </w:p>
        </w:tc>
        <w:tc>
          <w:tcPr>
            <w:tcW w:w="1220" w:type="pct"/>
            <w:gridSpan w:val="4"/>
            <w:vAlign w:val="center"/>
          </w:tcPr>
          <w:p w14:paraId="79086410">
            <w:pPr>
              <w:spacing w:line="240" w:lineRule="auto"/>
              <w:ind w:firstLine="0" w:firstLineChars="0"/>
              <w:jc w:val="center"/>
              <w:rPr>
                <w:rFonts w:hint="eastAsia" w:eastAsia="宋体"/>
                <w:color w:val="000000" w:themeColor="text1"/>
                <w:spacing w:val="-2"/>
                <w:kern w:val="0"/>
                <w:sz w:val="21"/>
                <w:szCs w:val="21"/>
                <w:lang w:eastAsia="zh-CN"/>
                <w14:textFill>
                  <w14:solidFill>
                    <w14:schemeClr w14:val="tx1"/>
                  </w14:solidFill>
                </w14:textFill>
              </w:rPr>
            </w:pPr>
            <w:r>
              <w:rPr>
                <w:color w:val="000000" w:themeColor="text1"/>
                <w:spacing w:val="-2"/>
                <w:kern w:val="0"/>
                <w:sz w:val="21"/>
                <w:szCs w:val="21"/>
                <w14:textFill>
                  <w14:solidFill>
                    <w14:schemeClr w14:val="tx1"/>
                  </w14:solidFill>
                </w14:textFill>
              </w:rPr>
              <w:t>小于200m</w:t>
            </w:r>
            <w:r>
              <w:rPr>
                <w:rFonts w:hint="eastAsia"/>
                <w:color w:val="000000" w:themeColor="text1"/>
                <w:spacing w:val="-2"/>
                <w:kern w:val="0"/>
                <w:sz w:val="21"/>
                <w:szCs w:val="21"/>
                <w:lang w:eastAsia="zh-CN"/>
                <w14:textFill>
                  <w14:solidFill>
                    <w14:schemeClr w14:val="tx1"/>
                  </w14:solidFill>
                </w14:textFill>
              </w:rPr>
              <w:t>☑</w:t>
            </w:r>
          </w:p>
        </w:tc>
      </w:tr>
      <w:tr w14:paraId="10D1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Align w:val="center"/>
          </w:tcPr>
          <w:p w14:paraId="0E595B72">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评价因子</w:t>
            </w:r>
          </w:p>
        </w:tc>
        <w:tc>
          <w:tcPr>
            <w:tcW w:w="829" w:type="pct"/>
            <w:vAlign w:val="center"/>
          </w:tcPr>
          <w:p w14:paraId="1515EE99">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评价因子</w:t>
            </w:r>
          </w:p>
        </w:tc>
        <w:tc>
          <w:tcPr>
            <w:tcW w:w="3652" w:type="pct"/>
            <w:gridSpan w:val="11"/>
            <w:vAlign w:val="center"/>
          </w:tcPr>
          <w:p w14:paraId="056F1051">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等效连续A声级</w:t>
            </w:r>
            <w:r>
              <w:rPr>
                <w:color w:val="000000" w:themeColor="text1"/>
                <w:spacing w:val="-2"/>
                <w:kern w:val="0"/>
                <w:sz w:val="21"/>
                <w:szCs w:val="21"/>
                <w14:textFill>
                  <w14:solidFill>
                    <w14:schemeClr w14:val="tx1"/>
                  </w14:solidFill>
                </w14:textFill>
              </w:rPr>
              <w:sym w:font="Wingdings 2" w:char="F052"/>
            </w:r>
            <w:r>
              <w:rPr>
                <w:color w:val="000000" w:themeColor="text1"/>
                <w:spacing w:val="-2"/>
                <w:kern w:val="0"/>
                <w:sz w:val="21"/>
                <w:szCs w:val="21"/>
                <w14:textFill>
                  <w14:solidFill>
                    <w14:schemeClr w14:val="tx1"/>
                  </w14:solidFill>
                </w14:textFill>
              </w:rPr>
              <w:t xml:space="preserve">   最大A声级□   计权等效连续感觉噪声级□</w:t>
            </w:r>
          </w:p>
        </w:tc>
      </w:tr>
      <w:tr w14:paraId="1F27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Align w:val="center"/>
          </w:tcPr>
          <w:p w14:paraId="5883807E">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评价标准</w:t>
            </w:r>
          </w:p>
        </w:tc>
        <w:tc>
          <w:tcPr>
            <w:tcW w:w="829" w:type="pct"/>
            <w:vAlign w:val="center"/>
          </w:tcPr>
          <w:p w14:paraId="47E534A5">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评价标准</w:t>
            </w:r>
          </w:p>
        </w:tc>
        <w:tc>
          <w:tcPr>
            <w:tcW w:w="911" w:type="pct"/>
            <w:gridSpan w:val="2"/>
            <w:vAlign w:val="center"/>
          </w:tcPr>
          <w:p w14:paraId="3F2173BC">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国家标准</w:t>
            </w:r>
            <w:r>
              <w:rPr>
                <w:color w:val="000000" w:themeColor="text1"/>
                <w:spacing w:val="-2"/>
                <w:kern w:val="0"/>
                <w:sz w:val="21"/>
                <w:szCs w:val="21"/>
                <w14:textFill>
                  <w14:solidFill>
                    <w14:schemeClr w14:val="tx1"/>
                  </w14:solidFill>
                </w14:textFill>
              </w:rPr>
              <w:sym w:font="Wingdings 2" w:char="F052"/>
            </w:r>
          </w:p>
        </w:tc>
        <w:tc>
          <w:tcPr>
            <w:tcW w:w="1521" w:type="pct"/>
            <w:gridSpan w:val="5"/>
            <w:vAlign w:val="center"/>
          </w:tcPr>
          <w:p w14:paraId="0161CC51">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地方标准□</w:t>
            </w:r>
          </w:p>
        </w:tc>
        <w:tc>
          <w:tcPr>
            <w:tcW w:w="1220" w:type="pct"/>
            <w:gridSpan w:val="4"/>
            <w:vAlign w:val="center"/>
          </w:tcPr>
          <w:p w14:paraId="1FE7EAD0">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国外标准□</w:t>
            </w:r>
          </w:p>
        </w:tc>
      </w:tr>
      <w:tr w14:paraId="4CFF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restart"/>
            <w:vAlign w:val="center"/>
          </w:tcPr>
          <w:p w14:paraId="58EB2E8E">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现状评价</w:t>
            </w:r>
          </w:p>
        </w:tc>
        <w:tc>
          <w:tcPr>
            <w:tcW w:w="829" w:type="pct"/>
            <w:vAlign w:val="center"/>
          </w:tcPr>
          <w:p w14:paraId="5165D85C">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环境功能区</w:t>
            </w:r>
          </w:p>
        </w:tc>
        <w:tc>
          <w:tcPr>
            <w:tcW w:w="606" w:type="pct"/>
            <w:vAlign w:val="center"/>
          </w:tcPr>
          <w:p w14:paraId="4B2A309D">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0 类区□</w:t>
            </w:r>
          </w:p>
        </w:tc>
        <w:tc>
          <w:tcPr>
            <w:tcW w:w="609" w:type="pct"/>
            <w:gridSpan w:val="3"/>
            <w:vAlign w:val="center"/>
          </w:tcPr>
          <w:p w14:paraId="2C97E628">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1 类区□</w:t>
            </w:r>
          </w:p>
        </w:tc>
        <w:tc>
          <w:tcPr>
            <w:tcW w:w="610" w:type="pct"/>
            <w:gridSpan w:val="2"/>
            <w:vAlign w:val="center"/>
          </w:tcPr>
          <w:p w14:paraId="5A654E51">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2 类区</w:t>
            </w:r>
            <w:r>
              <w:rPr>
                <w:color w:val="000000" w:themeColor="text1"/>
                <w:spacing w:val="-2"/>
                <w:kern w:val="0"/>
                <w:sz w:val="21"/>
                <w:szCs w:val="21"/>
                <w14:textFill>
                  <w14:solidFill>
                    <w14:schemeClr w14:val="tx1"/>
                  </w14:solidFill>
                </w14:textFill>
              </w:rPr>
              <w:sym w:font="Wingdings 2" w:char="0052"/>
            </w:r>
          </w:p>
        </w:tc>
        <w:tc>
          <w:tcPr>
            <w:tcW w:w="607" w:type="pct"/>
            <w:vAlign w:val="center"/>
          </w:tcPr>
          <w:p w14:paraId="7B7A65B2">
            <w:pPr>
              <w:spacing w:line="240" w:lineRule="auto"/>
              <w:ind w:firstLine="0" w:firstLineChars="0"/>
              <w:jc w:val="center"/>
              <w:rPr>
                <w:rFonts w:hint="eastAsia" w:eastAsia="宋体"/>
                <w:color w:val="000000" w:themeColor="text1"/>
                <w:spacing w:val="-2"/>
                <w:kern w:val="0"/>
                <w:sz w:val="21"/>
                <w:szCs w:val="21"/>
                <w:lang w:eastAsia="zh-CN"/>
                <w14:textFill>
                  <w14:solidFill>
                    <w14:schemeClr w14:val="tx1"/>
                  </w14:solidFill>
                </w14:textFill>
              </w:rPr>
            </w:pPr>
            <w:r>
              <w:rPr>
                <w:color w:val="000000" w:themeColor="text1"/>
                <w:spacing w:val="-2"/>
                <w:kern w:val="0"/>
                <w:sz w:val="21"/>
                <w:szCs w:val="21"/>
                <w14:textFill>
                  <w14:solidFill>
                    <w14:schemeClr w14:val="tx1"/>
                  </w14:solidFill>
                </w14:textFill>
              </w:rPr>
              <w:t>3 类区</w:t>
            </w:r>
            <w:r>
              <w:rPr>
                <w:rFonts w:hint="eastAsia"/>
                <w:color w:val="000000" w:themeColor="text1"/>
                <w:spacing w:val="-2"/>
                <w:kern w:val="0"/>
                <w:sz w:val="21"/>
                <w:szCs w:val="21"/>
                <w:lang w:eastAsia="zh-CN"/>
                <w14:textFill>
                  <w14:solidFill>
                    <w14:schemeClr w14:val="tx1"/>
                  </w14:solidFill>
                </w14:textFill>
              </w:rPr>
              <w:t>☑</w:t>
            </w:r>
          </w:p>
        </w:tc>
        <w:tc>
          <w:tcPr>
            <w:tcW w:w="608" w:type="pct"/>
            <w:gridSpan w:val="3"/>
            <w:vAlign w:val="center"/>
          </w:tcPr>
          <w:p w14:paraId="219C4990">
            <w:pPr>
              <w:spacing w:line="240" w:lineRule="auto"/>
              <w:ind w:firstLine="0" w:firstLineChars="0"/>
              <w:jc w:val="center"/>
              <w:rPr>
                <w:rFonts w:hint="eastAsia" w:eastAsia="宋体"/>
                <w:color w:val="000000" w:themeColor="text1"/>
                <w:spacing w:val="-2"/>
                <w:kern w:val="0"/>
                <w:sz w:val="21"/>
                <w:szCs w:val="21"/>
                <w:lang w:eastAsia="zh-CN"/>
                <w14:textFill>
                  <w14:solidFill>
                    <w14:schemeClr w14:val="tx1"/>
                  </w14:solidFill>
                </w14:textFill>
              </w:rPr>
            </w:pPr>
            <w:r>
              <w:rPr>
                <w:color w:val="000000" w:themeColor="text1"/>
                <w:spacing w:val="-2"/>
                <w:kern w:val="0"/>
                <w:sz w:val="21"/>
                <w:szCs w:val="21"/>
                <w14:textFill>
                  <w14:solidFill>
                    <w14:schemeClr w14:val="tx1"/>
                  </w14:solidFill>
                </w14:textFill>
              </w:rPr>
              <w:t>4a 类区</w:t>
            </w:r>
            <w:r>
              <w:rPr>
                <w:rFonts w:hint="eastAsia"/>
                <w:color w:val="000000" w:themeColor="text1"/>
                <w:spacing w:val="-2"/>
                <w:kern w:val="0"/>
                <w:sz w:val="21"/>
                <w:szCs w:val="21"/>
                <w:lang w:eastAsia="zh-CN"/>
                <w14:textFill>
                  <w14:solidFill>
                    <w14:schemeClr w14:val="tx1"/>
                  </w14:solidFill>
                </w14:textFill>
              </w:rPr>
              <w:t>☑</w:t>
            </w:r>
          </w:p>
        </w:tc>
        <w:tc>
          <w:tcPr>
            <w:tcW w:w="612" w:type="pct"/>
            <w:vAlign w:val="center"/>
          </w:tcPr>
          <w:p w14:paraId="03BEE25F">
            <w:pPr>
              <w:spacing w:line="240" w:lineRule="auto"/>
              <w:ind w:firstLine="0" w:firstLineChars="0"/>
              <w:jc w:val="center"/>
              <w:rPr>
                <w:rFonts w:hint="eastAsia" w:eastAsia="宋体"/>
                <w:color w:val="000000" w:themeColor="text1"/>
                <w:spacing w:val="-2"/>
                <w:kern w:val="0"/>
                <w:sz w:val="21"/>
                <w:szCs w:val="21"/>
                <w:lang w:eastAsia="zh-CN"/>
                <w14:textFill>
                  <w14:solidFill>
                    <w14:schemeClr w14:val="tx1"/>
                  </w14:solidFill>
                </w14:textFill>
              </w:rPr>
            </w:pPr>
            <w:r>
              <w:rPr>
                <w:color w:val="000000" w:themeColor="text1"/>
                <w:spacing w:val="-2"/>
                <w:kern w:val="0"/>
                <w:sz w:val="21"/>
                <w:szCs w:val="21"/>
                <w14:textFill>
                  <w14:solidFill>
                    <w14:schemeClr w14:val="tx1"/>
                  </w14:solidFill>
                </w14:textFill>
              </w:rPr>
              <w:t>4b 类区</w:t>
            </w:r>
            <w:r>
              <w:rPr>
                <w:rFonts w:hint="eastAsia"/>
                <w:color w:val="000000" w:themeColor="text1"/>
                <w:spacing w:val="-2"/>
                <w:kern w:val="0"/>
                <w:sz w:val="21"/>
                <w:szCs w:val="21"/>
                <w:lang w:eastAsia="zh-CN"/>
                <w14:textFill>
                  <w14:solidFill>
                    <w14:schemeClr w14:val="tx1"/>
                  </w14:solidFill>
                </w14:textFill>
              </w:rPr>
              <w:t>☑</w:t>
            </w:r>
          </w:p>
        </w:tc>
      </w:tr>
      <w:tr w14:paraId="59DC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6FC199FC">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713D45F1">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评价年度</w:t>
            </w:r>
          </w:p>
        </w:tc>
        <w:tc>
          <w:tcPr>
            <w:tcW w:w="911" w:type="pct"/>
            <w:gridSpan w:val="2"/>
            <w:vAlign w:val="center"/>
          </w:tcPr>
          <w:p w14:paraId="56B10FE2">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初期</w:t>
            </w:r>
            <w:r>
              <w:rPr>
                <w:color w:val="000000" w:themeColor="text1"/>
                <w:spacing w:val="-2"/>
                <w:kern w:val="0"/>
                <w:sz w:val="21"/>
                <w:szCs w:val="21"/>
                <w14:textFill>
                  <w14:solidFill>
                    <w14:schemeClr w14:val="tx1"/>
                  </w14:solidFill>
                </w14:textFill>
              </w:rPr>
              <w:sym w:font="Wingdings 2" w:char="F052"/>
            </w:r>
            <w:r>
              <w:rPr>
                <w:color w:val="000000" w:themeColor="text1"/>
                <w:spacing w:val="-2"/>
                <w:kern w:val="0"/>
                <w:sz w:val="21"/>
                <w:szCs w:val="21"/>
                <w14:textFill>
                  <w14:solidFill>
                    <w14:schemeClr w14:val="tx1"/>
                  </w14:solidFill>
                </w14:textFill>
              </w:rPr>
              <w:t xml:space="preserve"> </w:t>
            </w:r>
          </w:p>
        </w:tc>
        <w:tc>
          <w:tcPr>
            <w:tcW w:w="914" w:type="pct"/>
            <w:gridSpan w:val="4"/>
            <w:vAlign w:val="center"/>
          </w:tcPr>
          <w:p w14:paraId="61BB2924">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近期☑</w:t>
            </w:r>
          </w:p>
        </w:tc>
        <w:tc>
          <w:tcPr>
            <w:tcW w:w="912" w:type="pct"/>
            <w:gridSpan w:val="2"/>
            <w:vAlign w:val="center"/>
          </w:tcPr>
          <w:p w14:paraId="64263453">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 xml:space="preserve">中期□ </w:t>
            </w:r>
          </w:p>
        </w:tc>
        <w:tc>
          <w:tcPr>
            <w:tcW w:w="915" w:type="pct"/>
            <w:gridSpan w:val="3"/>
            <w:vAlign w:val="center"/>
          </w:tcPr>
          <w:p w14:paraId="28B243B9">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远期□</w:t>
            </w:r>
          </w:p>
        </w:tc>
      </w:tr>
      <w:tr w14:paraId="2892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07F52399">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62636C5D">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现状调查方法</w:t>
            </w:r>
          </w:p>
        </w:tc>
        <w:tc>
          <w:tcPr>
            <w:tcW w:w="3652" w:type="pct"/>
            <w:gridSpan w:val="11"/>
            <w:vAlign w:val="center"/>
          </w:tcPr>
          <w:p w14:paraId="1B410614">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现场实测法</w:t>
            </w:r>
            <w:r>
              <w:rPr>
                <w:color w:val="000000" w:themeColor="text1"/>
                <w:spacing w:val="-2"/>
                <w:kern w:val="0"/>
                <w:sz w:val="21"/>
                <w:szCs w:val="21"/>
                <w14:textFill>
                  <w14:solidFill>
                    <w14:schemeClr w14:val="tx1"/>
                  </w14:solidFill>
                </w14:textFill>
              </w:rPr>
              <w:sym w:font="Wingdings 2" w:char="F052"/>
            </w:r>
            <w:r>
              <w:rPr>
                <w:color w:val="000000" w:themeColor="text1"/>
                <w:spacing w:val="-2"/>
                <w:kern w:val="0"/>
                <w:sz w:val="21"/>
                <w:szCs w:val="21"/>
                <w14:textFill>
                  <w14:solidFill>
                    <w14:schemeClr w14:val="tx1"/>
                  </w14:solidFill>
                </w14:textFill>
              </w:rPr>
              <w:t xml:space="preserve">       现场实测加模型计算法□     收集资料□</w:t>
            </w:r>
          </w:p>
        </w:tc>
      </w:tr>
      <w:tr w14:paraId="785B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250F92D8">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618138F1">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现状评价</w:t>
            </w:r>
          </w:p>
        </w:tc>
        <w:tc>
          <w:tcPr>
            <w:tcW w:w="1085" w:type="pct"/>
            <w:gridSpan w:val="3"/>
            <w:vAlign w:val="center"/>
          </w:tcPr>
          <w:p w14:paraId="3572528A">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达标百分比</w:t>
            </w:r>
          </w:p>
        </w:tc>
        <w:tc>
          <w:tcPr>
            <w:tcW w:w="2567" w:type="pct"/>
            <w:gridSpan w:val="8"/>
            <w:vAlign w:val="center"/>
          </w:tcPr>
          <w:p w14:paraId="7DD53B91">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100%</w:t>
            </w:r>
          </w:p>
        </w:tc>
      </w:tr>
      <w:tr w14:paraId="1350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Align w:val="center"/>
          </w:tcPr>
          <w:p w14:paraId="59601125">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噪声源调查</w:t>
            </w:r>
          </w:p>
        </w:tc>
        <w:tc>
          <w:tcPr>
            <w:tcW w:w="829" w:type="pct"/>
            <w:vAlign w:val="center"/>
          </w:tcPr>
          <w:p w14:paraId="557E90C8">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噪声源调查方法</w:t>
            </w:r>
          </w:p>
        </w:tc>
        <w:tc>
          <w:tcPr>
            <w:tcW w:w="911" w:type="pct"/>
            <w:gridSpan w:val="2"/>
            <w:vAlign w:val="center"/>
          </w:tcPr>
          <w:p w14:paraId="73852869">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现场实测□</w:t>
            </w:r>
          </w:p>
        </w:tc>
        <w:tc>
          <w:tcPr>
            <w:tcW w:w="2741" w:type="pct"/>
            <w:gridSpan w:val="9"/>
            <w:vAlign w:val="center"/>
          </w:tcPr>
          <w:p w14:paraId="566C4997">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已有资料</w:t>
            </w:r>
            <w:r>
              <w:rPr>
                <w:color w:val="000000" w:themeColor="text1"/>
                <w:spacing w:val="-2"/>
                <w:kern w:val="0"/>
                <w:sz w:val="21"/>
                <w:szCs w:val="21"/>
                <w14:textFill>
                  <w14:solidFill>
                    <w14:schemeClr w14:val="tx1"/>
                  </w14:solidFill>
                </w14:textFill>
              </w:rPr>
              <w:sym w:font="Wingdings 2" w:char="F052"/>
            </w:r>
            <w:r>
              <w:rPr>
                <w:color w:val="000000" w:themeColor="text1"/>
                <w:spacing w:val="-2"/>
                <w:kern w:val="0"/>
                <w:sz w:val="21"/>
                <w:szCs w:val="21"/>
                <w14:textFill>
                  <w14:solidFill>
                    <w14:schemeClr w14:val="tx1"/>
                  </w14:solidFill>
                </w14:textFill>
              </w:rPr>
              <w:t xml:space="preserve">               研究成果□</w:t>
            </w:r>
          </w:p>
        </w:tc>
      </w:tr>
      <w:tr w14:paraId="75B3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restart"/>
            <w:vAlign w:val="center"/>
          </w:tcPr>
          <w:p w14:paraId="01F6BFF9">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声环境影响预测与评价</w:t>
            </w:r>
          </w:p>
        </w:tc>
        <w:tc>
          <w:tcPr>
            <w:tcW w:w="829" w:type="pct"/>
            <w:vAlign w:val="center"/>
          </w:tcPr>
          <w:p w14:paraId="722F716C">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预测模型</w:t>
            </w:r>
          </w:p>
        </w:tc>
        <w:tc>
          <w:tcPr>
            <w:tcW w:w="911" w:type="pct"/>
            <w:gridSpan w:val="2"/>
            <w:vAlign w:val="center"/>
          </w:tcPr>
          <w:p w14:paraId="211F1E65">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导则推荐模型</w:t>
            </w:r>
            <w:r>
              <w:rPr>
                <w:color w:val="000000" w:themeColor="text1"/>
                <w:spacing w:val="-2"/>
                <w:kern w:val="0"/>
                <w:sz w:val="21"/>
                <w:szCs w:val="21"/>
                <w14:textFill>
                  <w14:solidFill>
                    <w14:schemeClr w14:val="tx1"/>
                  </w14:solidFill>
                </w14:textFill>
              </w:rPr>
              <w:sym w:font="Wingdings 2" w:char="00A3"/>
            </w:r>
          </w:p>
        </w:tc>
        <w:tc>
          <w:tcPr>
            <w:tcW w:w="2741" w:type="pct"/>
            <w:gridSpan w:val="9"/>
            <w:vAlign w:val="center"/>
          </w:tcPr>
          <w:p w14:paraId="41DDD14C">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 xml:space="preserve">其他□         </w:t>
            </w:r>
          </w:p>
        </w:tc>
      </w:tr>
      <w:tr w14:paraId="2CFB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757EAECD">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1804D9B3">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预测范围</w:t>
            </w:r>
          </w:p>
        </w:tc>
        <w:tc>
          <w:tcPr>
            <w:tcW w:w="3652" w:type="pct"/>
            <w:gridSpan w:val="11"/>
            <w:vAlign w:val="center"/>
          </w:tcPr>
          <w:p w14:paraId="0D2058CF">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200 m</w:t>
            </w:r>
            <w:r>
              <w:rPr>
                <w:color w:val="000000" w:themeColor="text1"/>
                <w:spacing w:val="-2"/>
                <w:kern w:val="0"/>
                <w:sz w:val="21"/>
                <w:szCs w:val="21"/>
                <w14:textFill>
                  <w14:solidFill>
                    <w14:schemeClr w14:val="tx1"/>
                  </w14:solidFill>
                </w14:textFill>
              </w:rPr>
              <w:sym w:font="Wingdings 2" w:char="00A3"/>
            </w:r>
            <w:r>
              <w:rPr>
                <w:color w:val="000000" w:themeColor="text1"/>
                <w:spacing w:val="-2"/>
                <w:kern w:val="0"/>
                <w:sz w:val="21"/>
                <w:szCs w:val="21"/>
                <w14:textFill>
                  <w14:solidFill>
                    <w14:schemeClr w14:val="tx1"/>
                  </w14:solidFill>
                </w14:textFill>
              </w:rPr>
              <w:t xml:space="preserve">            大于200 m□          小于200 m□</w:t>
            </w:r>
          </w:p>
        </w:tc>
      </w:tr>
      <w:tr w14:paraId="0BCF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5022BE18">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5FE385D2">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预测因子</w:t>
            </w:r>
          </w:p>
        </w:tc>
        <w:tc>
          <w:tcPr>
            <w:tcW w:w="3652" w:type="pct"/>
            <w:gridSpan w:val="11"/>
            <w:vAlign w:val="center"/>
          </w:tcPr>
          <w:p w14:paraId="3691A0BB">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等效连续A声级</w:t>
            </w:r>
            <w:r>
              <w:rPr>
                <w:color w:val="000000" w:themeColor="text1"/>
                <w:spacing w:val="-2"/>
                <w:kern w:val="0"/>
                <w:sz w:val="21"/>
                <w:szCs w:val="21"/>
                <w14:textFill>
                  <w14:solidFill>
                    <w14:schemeClr w14:val="tx1"/>
                  </w14:solidFill>
                </w14:textFill>
              </w:rPr>
              <w:sym w:font="Wingdings 2" w:char="00A3"/>
            </w:r>
            <w:r>
              <w:rPr>
                <w:color w:val="000000" w:themeColor="text1"/>
                <w:spacing w:val="-2"/>
                <w:kern w:val="0"/>
                <w:sz w:val="21"/>
                <w:szCs w:val="21"/>
                <w14:textFill>
                  <w14:solidFill>
                    <w14:schemeClr w14:val="tx1"/>
                  </w14:solidFill>
                </w14:textFill>
              </w:rPr>
              <w:t xml:space="preserve">   最大A声级□  计权等效连续感觉噪声级□</w:t>
            </w:r>
          </w:p>
        </w:tc>
      </w:tr>
      <w:tr w14:paraId="7E23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456EC248">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45202CC2">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厂界噪声贡献值</w:t>
            </w:r>
          </w:p>
        </w:tc>
        <w:tc>
          <w:tcPr>
            <w:tcW w:w="1085" w:type="pct"/>
            <w:gridSpan w:val="3"/>
            <w:vAlign w:val="center"/>
          </w:tcPr>
          <w:p w14:paraId="7E61D7D4">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达标</w:t>
            </w:r>
            <w:r>
              <w:rPr>
                <w:color w:val="000000" w:themeColor="text1"/>
                <w:spacing w:val="-2"/>
                <w:kern w:val="0"/>
                <w:sz w:val="21"/>
                <w:szCs w:val="21"/>
                <w14:textFill>
                  <w14:solidFill>
                    <w14:schemeClr w14:val="tx1"/>
                  </w14:solidFill>
                </w14:textFill>
              </w:rPr>
              <w:sym w:font="Wingdings 2" w:char="00A3"/>
            </w:r>
          </w:p>
        </w:tc>
        <w:tc>
          <w:tcPr>
            <w:tcW w:w="2567" w:type="pct"/>
            <w:gridSpan w:val="8"/>
            <w:vAlign w:val="center"/>
          </w:tcPr>
          <w:p w14:paraId="0AA1D98E">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不达标□</w:t>
            </w:r>
          </w:p>
        </w:tc>
      </w:tr>
      <w:tr w14:paraId="2615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3CC9E051">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27AF4E95">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声环境保护目标处噪声值</w:t>
            </w:r>
          </w:p>
        </w:tc>
        <w:tc>
          <w:tcPr>
            <w:tcW w:w="1085" w:type="pct"/>
            <w:gridSpan w:val="3"/>
            <w:vAlign w:val="center"/>
          </w:tcPr>
          <w:p w14:paraId="0B6664BA">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达标</w:t>
            </w:r>
            <w:r>
              <w:rPr>
                <w:color w:val="000000" w:themeColor="text1"/>
                <w:spacing w:val="-2"/>
                <w:kern w:val="0"/>
                <w:sz w:val="21"/>
                <w:szCs w:val="21"/>
                <w14:textFill>
                  <w14:solidFill>
                    <w14:schemeClr w14:val="tx1"/>
                  </w14:solidFill>
                </w14:textFill>
              </w:rPr>
              <w:sym w:font="Wingdings 2" w:char="00A3"/>
            </w:r>
          </w:p>
        </w:tc>
        <w:tc>
          <w:tcPr>
            <w:tcW w:w="2567" w:type="pct"/>
            <w:gridSpan w:val="8"/>
            <w:vAlign w:val="center"/>
          </w:tcPr>
          <w:p w14:paraId="7232E8B1">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 xml:space="preserve">不达标□ </w:t>
            </w:r>
          </w:p>
        </w:tc>
      </w:tr>
      <w:tr w14:paraId="471A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restart"/>
            <w:vAlign w:val="center"/>
          </w:tcPr>
          <w:p w14:paraId="2C60EAE4">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环境监测 计划</w:t>
            </w:r>
          </w:p>
        </w:tc>
        <w:tc>
          <w:tcPr>
            <w:tcW w:w="829" w:type="pct"/>
            <w:vAlign w:val="center"/>
          </w:tcPr>
          <w:p w14:paraId="1D20034C">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排放监测</w:t>
            </w:r>
          </w:p>
        </w:tc>
        <w:tc>
          <w:tcPr>
            <w:tcW w:w="3652" w:type="pct"/>
            <w:gridSpan w:val="11"/>
            <w:vAlign w:val="center"/>
          </w:tcPr>
          <w:p w14:paraId="702B459C">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厂界监测</w:t>
            </w:r>
            <w:r>
              <w:rPr>
                <w:color w:val="000000" w:themeColor="text1"/>
                <w:spacing w:val="-2"/>
                <w:kern w:val="0"/>
                <w:sz w:val="21"/>
                <w:szCs w:val="21"/>
                <w14:textFill>
                  <w14:solidFill>
                    <w14:schemeClr w14:val="tx1"/>
                  </w14:solidFill>
                </w14:textFill>
              </w:rPr>
              <w:sym w:font="Wingdings 2" w:char="00A3"/>
            </w:r>
            <w:r>
              <w:rPr>
                <w:color w:val="000000" w:themeColor="text1"/>
                <w:spacing w:val="-2"/>
                <w:kern w:val="0"/>
                <w:sz w:val="21"/>
                <w:szCs w:val="21"/>
                <w14:textFill>
                  <w14:solidFill>
                    <w14:schemeClr w14:val="tx1"/>
                  </w14:solidFill>
                </w14:textFill>
              </w:rPr>
              <w:t xml:space="preserve">  固定位置监测□  自动监测□  手动监测</w:t>
            </w:r>
            <w:r>
              <w:rPr>
                <w:rFonts w:hint="eastAsia"/>
                <w:color w:val="000000" w:themeColor="text1"/>
                <w:spacing w:val="-2"/>
                <w:kern w:val="0"/>
                <w:sz w:val="21"/>
                <w:szCs w:val="21"/>
                <w14:textFill>
                  <w14:solidFill>
                    <w14:schemeClr w14:val="tx1"/>
                  </w14:solidFill>
                </w14:textFill>
              </w:rPr>
              <w:t>☑</w:t>
            </w:r>
            <w:r>
              <w:rPr>
                <w:color w:val="000000" w:themeColor="text1"/>
                <w:spacing w:val="-2"/>
                <w:kern w:val="0"/>
                <w:sz w:val="21"/>
                <w:szCs w:val="21"/>
                <w14:textFill>
                  <w14:solidFill>
                    <w14:schemeClr w14:val="tx1"/>
                  </w14:solidFill>
                </w14:textFill>
              </w:rPr>
              <w:t xml:space="preserve">  无监测□</w:t>
            </w:r>
          </w:p>
        </w:tc>
      </w:tr>
      <w:tr w14:paraId="02ED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Merge w:val="continue"/>
            <w:vAlign w:val="center"/>
          </w:tcPr>
          <w:p w14:paraId="5B89DBD0">
            <w:pPr>
              <w:spacing w:line="240" w:lineRule="auto"/>
              <w:ind w:firstLine="0" w:firstLineChars="0"/>
              <w:jc w:val="center"/>
              <w:rPr>
                <w:color w:val="000000" w:themeColor="text1"/>
                <w:spacing w:val="-2"/>
                <w:kern w:val="0"/>
                <w:sz w:val="21"/>
                <w:szCs w:val="21"/>
                <w14:textFill>
                  <w14:solidFill>
                    <w14:schemeClr w14:val="tx1"/>
                  </w14:solidFill>
                </w14:textFill>
              </w:rPr>
            </w:pPr>
          </w:p>
        </w:tc>
        <w:tc>
          <w:tcPr>
            <w:tcW w:w="829" w:type="pct"/>
            <w:vAlign w:val="center"/>
          </w:tcPr>
          <w:p w14:paraId="52C2B1B3">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声环境保护目标处噪声监测</w:t>
            </w:r>
          </w:p>
        </w:tc>
        <w:tc>
          <w:tcPr>
            <w:tcW w:w="1793" w:type="pct"/>
            <w:gridSpan w:val="5"/>
            <w:vAlign w:val="center"/>
          </w:tcPr>
          <w:p w14:paraId="1227F287">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监测因子：</w:t>
            </w:r>
            <w:r>
              <w:rPr>
                <w:rFonts w:hint="eastAsia"/>
                <w:color w:val="000000" w:themeColor="text1"/>
                <w:spacing w:val="-2"/>
                <w:kern w:val="0"/>
                <w:sz w:val="21"/>
                <w:szCs w:val="21"/>
                <w14:textFill>
                  <w14:solidFill>
                    <w14:schemeClr w14:val="tx1"/>
                  </w14:solidFill>
                </w14:textFill>
              </w:rPr>
              <w:t>（）</w:t>
            </w:r>
          </w:p>
        </w:tc>
        <w:tc>
          <w:tcPr>
            <w:tcW w:w="1204" w:type="pct"/>
            <w:gridSpan w:val="4"/>
            <w:vAlign w:val="center"/>
          </w:tcPr>
          <w:p w14:paraId="218FD7FF">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监测点位数</w:t>
            </w:r>
            <w:r>
              <w:rPr>
                <w:rFonts w:hint="eastAsia"/>
                <w:color w:val="000000" w:themeColor="text1"/>
                <w:spacing w:val="-2"/>
                <w:kern w:val="0"/>
                <w:sz w:val="21"/>
                <w:szCs w:val="21"/>
                <w14:textFill>
                  <w14:solidFill>
                    <w14:schemeClr w14:val="tx1"/>
                  </w14:solidFill>
                </w14:textFill>
              </w:rPr>
              <w:t>（</w:t>
            </w:r>
            <w:r>
              <w:rPr>
                <w:rFonts w:hint="eastAsia"/>
                <w:color w:val="000000" w:themeColor="text1"/>
                <w:spacing w:val="-2"/>
                <w:kern w:val="0"/>
                <w:sz w:val="21"/>
                <w:szCs w:val="21"/>
                <w:lang w:val="en-US" w:eastAsia="zh-CN"/>
                <w14:textFill>
                  <w14:solidFill>
                    <w14:schemeClr w14:val="tx1"/>
                  </w14:solidFill>
                </w14:textFill>
              </w:rPr>
              <w:t>1</w:t>
            </w:r>
            <w:r>
              <w:rPr>
                <w:rFonts w:hint="eastAsia"/>
                <w:color w:val="000000" w:themeColor="text1"/>
                <w:spacing w:val="-2"/>
                <w:kern w:val="0"/>
                <w:sz w:val="21"/>
                <w:szCs w:val="21"/>
                <w14:textFill>
                  <w14:solidFill>
                    <w14:schemeClr w14:val="tx1"/>
                  </w14:solidFill>
                </w14:textFill>
              </w:rPr>
              <w:t>）</w:t>
            </w:r>
          </w:p>
        </w:tc>
        <w:tc>
          <w:tcPr>
            <w:tcW w:w="655" w:type="pct"/>
            <w:gridSpan w:val="2"/>
            <w:vAlign w:val="center"/>
          </w:tcPr>
          <w:p w14:paraId="265E18E5">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无监测□</w:t>
            </w:r>
          </w:p>
        </w:tc>
      </w:tr>
      <w:tr w14:paraId="71C8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18" w:type="pct"/>
            <w:vAlign w:val="center"/>
          </w:tcPr>
          <w:p w14:paraId="79AD2CC6">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评价结论</w:t>
            </w:r>
          </w:p>
        </w:tc>
        <w:tc>
          <w:tcPr>
            <w:tcW w:w="829" w:type="pct"/>
            <w:vAlign w:val="center"/>
          </w:tcPr>
          <w:p w14:paraId="039BB2B4">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环境影响</w:t>
            </w:r>
          </w:p>
        </w:tc>
        <w:tc>
          <w:tcPr>
            <w:tcW w:w="3652" w:type="pct"/>
            <w:gridSpan w:val="11"/>
            <w:vAlign w:val="center"/>
          </w:tcPr>
          <w:p w14:paraId="072356DF">
            <w:pPr>
              <w:spacing w:line="240" w:lineRule="auto"/>
              <w:ind w:firstLine="0" w:firstLineChars="0"/>
              <w:jc w:val="center"/>
              <w:rPr>
                <w:color w:val="000000" w:themeColor="text1"/>
                <w:spacing w:val="-2"/>
                <w:kern w:val="0"/>
                <w:sz w:val="21"/>
                <w:szCs w:val="21"/>
                <w14:textFill>
                  <w14:solidFill>
                    <w14:schemeClr w14:val="tx1"/>
                  </w14:solidFill>
                </w14:textFill>
              </w:rPr>
            </w:pPr>
            <w:r>
              <w:rPr>
                <w:color w:val="000000" w:themeColor="text1"/>
                <w:spacing w:val="-2"/>
                <w:kern w:val="0"/>
                <w:sz w:val="21"/>
                <w:szCs w:val="21"/>
                <w14:textFill>
                  <w14:solidFill>
                    <w14:schemeClr w14:val="tx1"/>
                  </w14:solidFill>
                </w14:textFill>
              </w:rPr>
              <w:t>可行</w:t>
            </w:r>
            <w:r>
              <w:rPr>
                <w:color w:val="000000" w:themeColor="text1"/>
                <w:spacing w:val="-2"/>
                <w:kern w:val="0"/>
                <w:sz w:val="21"/>
                <w:szCs w:val="21"/>
                <w14:textFill>
                  <w14:solidFill>
                    <w14:schemeClr w14:val="tx1"/>
                  </w14:solidFill>
                </w14:textFill>
              </w:rPr>
              <w:sym w:font="Wingdings 2" w:char="F052"/>
            </w:r>
            <w:r>
              <w:rPr>
                <w:color w:val="000000" w:themeColor="text1"/>
                <w:spacing w:val="-2"/>
                <w:kern w:val="0"/>
                <w:sz w:val="21"/>
                <w:szCs w:val="21"/>
                <w14:textFill>
                  <w14:solidFill>
                    <w14:schemeClr w14:val="tx1"/>
                  </w14:solidFill>
                </w14:textFill>
              </w:rPr>
              <w:t xml:space="preserve">       不可行□</w:t>
            </w:r>
          </w:p>
        </w:tc>
      </w:tr>
      <w:tr w14:paraId="16B5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000" w:type="pct"/>
            <w:gridSpan w:val="13"/>
            <w:vAlign w:val="center"/>
          </w:tcPr>
          <w:p w14:paraId="2D57A72E">
            <w:pPr>
              <w:spacing w:line="240" w:lineRule="auto"/>
              <w:ind w:firstLine="0" w:firstLineChars="0"/>
              <w:jc w:val="left"/>
              <w:rPr>
                <w:color w:val="000000" w:themeColor="text1"/>
                <w:spacing w:val="-2"/>
                <w:kern w:val="0"/>
                <w:sz w:val="21"/>
                <w:szCs w:val="21"/>
                <w14:textFill>
                  <w14:solidFill>
                    <w14:schemeClr w14:val="tx1"/>
                  </w14:solidFill>
                </w14:textFill>
              </w:rPr>
            </w:pPr>
            <w:r>
              <w:rPr>
                <w:color w:val="000000" w:themeColor="text1"/>
                <w:spacing w:val="-2"/>
                <w:kern w:val="0"/>
                <w:sz w:val="18"/>
                <w:szCs w:val="18"/>
                <w14:textFill>
                  <w14:solidFill>
                    <w14:schemeClr w14:val="tx1"/>
                  </w14:solidFill>
                </w14:textFill>
              </w:rPr>
              <w:t>注：</w:t>
            </w:r>
            <w:r>
              <w:rPr>
                <w:rFonts w:hint="eastAsia" w:ascii="宋体" w:hAnsi="宋体" w:cs="宋体"/>
                <w:color w:val="000000" w:themeColor="text1"/>
                <w:spacing w:val="-2"/>
                <w:kern w:val="0"/>
                <w:sz w:val="18"/>
                <w:szCs w:val="18"/>
                <w14:textFill>
                  <w14:solidFill>
                    <w14:schemeClr w14:val="tx1"/>
                  </w14:solidFill>
                </w14:textFill>
              </w:rPr>
              <w:t>“□”</w:t>
            </w:r>
            <w:r>
              <w:rPr>
                <w:color w:val="000000" w:themeColor="text1"/>
                <w:spacing w:val="-2"/>
                <w:kern w:val="0"/>
                <w:sz w:val="18"/>
                <w:szCs w:val="18"/>
                <w14:textFill>
                  <w14:solidFill>
                    <w14:schemeClr w14:val="tx1"/>
                  </w14:solidFill>
                </w14:textFill>
              </w:rPr>
              <w:t xml:space="preserve"> 为勾选项 ，可 √ </w:t>
            </w:r>
            <w:r>
              <w:rPr>
                <w:rFonts w:hint="eastAsia" w:ascii="宋体" w:hAnsi="宋体" w:cs="宋体"/>
                <w:color w:val="000000" w:themeColor="text1"/>
                <w:spacing w:val="-2"/>
                <w:kern w:val="0"/>
                <w:sz w:val="18"/>
                <w:szCs w:val="18"/>
                <w14:textFill>
                  <w14:solidFill>
                    <w14:schemeClr w14:val="tx1"/>
                  </w14:solidFill>
                </w14:textFill>
              </w:rPr>
              <w:t xml:space="preserve">；“（   ）”  </w:t>
            </w:r>
            <w:r>
              <w:rPr>
                <w:color w:val="000000" w:themeColor="text1"/>
                <w:spacing w:val="-2"/>
                <w:kern w:val="0"/>
                <w:sz w:val="18"/>
                <w:szCs w:val="18"/>
                <w14:textFill>
                  <w14:solidFill>
                    <w14:schemeClr w14:val="tx1"/>
                  </w14:solidFill>
                </w14:textFill>
              </w:rPr>
              <w:t>为内容填写项。</w:t>
            </w:r>
          </w:p>
        </w:tc>
      </w:tr>
    </w:tbl>
    <w:p w14:paraId="46E46BD0">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1017" w:name="_Toc19471"/>
      <w:bookmarkStart w:id="1018" w:name="_Toc26903"/>
      <w:bookmarkStart w:id="1019" w:name="_Toc21906"/>
      <w:bookmarkStart w:id="1020" w:name="_Toc25582"/>
      <w:bookmarkStart w:id="1021" w:name="_Toc13336"/>
      <w:bookmarkStart w:id="1022" w:name="_Toc14059"/>
      <w:bookmarkStart w:id="1023" w:name="_Toc6586"/>
      <w:bookmarkStart w:id="1024" w:name="_Toc20104"/>
      <w:bookmarkStart w:id="1025" w:name="_Toc20740"/>
      <w:bookmarkStart w:id="1026" w:name="_Toc7226"/>
      <w:bookmarkStart w:id="1027" w:name="_Toc5215"/>
      <w:r>
        <w:rPr>
          <w:color w:val="000000" w:themeColor="text1"/>
          <w:szCs w:val="32"/>
          <w14:textFill>
            <w14:solidFill>
              <w14:schemeClr w14:val="tx1"/>
            </w14:solidFill>
          </w14:textFill>
        </w:rPr>
        <w:t>6.</w:t>
      </w:r>
      <w:r>
        <w:rPr>
          <w:rFonts w:hint="eastAsia"/>
          <w:color w:val="000000" w:themeColor="text1"/>
          <w:szCs w:val="32"/>
          <w14:textFill>
            <w14:solidFill>
              <w14:schemeClr w14:val="tx1"/>
            </w14:solidFill>
          </w14:textFill>
        </w:rPr>
        <w:t>3</w:t>
      </w:r>
      <w:r>
        <w:rPr>
          <w:color w:val="000000" w:themeColor="text1"/>
          <w:szCs w:val="32"/>
          <w14:textFill>
            <w14:solidFill>
              <w14:schemeClr w14:val="tx1"/>
            </w14:solidFill>
          </w14:textFill>
        </w:rPr>
        <w:t>地表水环境影响分析</w:t>
      </w:r>
      <w:bookmarkEnd w:id="1017"/>
      <w:bookmarkEnd w:id="1018"/>
      <w:bookmarkEnd w:id="1019"/>
      <w:bookmarkEnd w:id="1020"/>
      <w:bookmarkEnd w:id="1021"/>
      <w:bookmarkEnd w:id="1022"/>
      <w:bookmarkEnd w:id="1023"/>
      <w:bookmarkEnd w:id="1024"/>
      <w:bookmarkEnd w:id="1025"/>
      <w:bookmarkEnd w:id="1026"/>
      <w:bookmarkEnd w:id="1027"/>
    </w:p>
    <w:p w14:paraId="4408D26B">
      <w:pPr>
        <w:autoSpaceDE w:val="0"/>
        <w:autoSpaceDN w:val="0"/>
        <w:adjustRightInd w:val="0"/>
        <w:ind w:firstLine="480"/>
        <w:rPr>
          <w:color w:val="000000" w:themeColor="text1"/>
          <w:lang w:val="zh-CN"/>
          <w14:textFill>
            <w14:solidFill>
              <w14:schemeClr w14:val="tx1"/>
            </w14:solidFill>
          </w14:textFill>
        </w:rPr>
      </w:pPr>
      <w:r>
        <w:rPr>
          <w:color w:val="000000" w:themeColor="text1"/>
          <w14:textFill>
            <w14:solidFill>
              <w14:schemeClr w14:val="tx1"/>
            </w14:solidFill>
          </w14:textFill>
        </w:rPr>
        <w:t>本项目输电线路运营期无废污水产生，故对水环境无影响。</w:t>
      </w:r>
    </w:p>
    <w:p w14:paraId="217D3421">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1028" w:name="_Toc24886"/>
      <w:bookmarkStart w:id="1029" w:name="_Toc2003"/>
      <w:bookmarkStart w:id="1030" w:name="_Toc942"/>
      <w:bookmarkStart w:id="1031" w:name="_Toc29894"/>
      <w:bookmarkStart w:id="1032" w:name="_Toc20620"/>
      <w:bookmarkStart w:id="1033" w:name="_Toc27079"/>
      <w:bookmarkStart w:id="1034" w:name="_Toc29138"/>
      <w:bookmarkStart w:id="1035" w:name="_Toc9218"/>
      <w:bookmarkStart w:id="1036" w:name="_Toc18985"/>
      <w:bookmarkStart w:id="1037" w:name="_Toc21687"/>
      <w:bookmarkStart w:id="1038" w:name="_Toc625"/>
      <w:r>
        <w:rPr>
          <w:color w:val="000000" w:themeColor="text1"/>
          <w:szCs w:val="32"/>
          <w14:textFill>
            <w14:solidFill>
              <w14:schemeClr w14:val="tx1"/>
            </w14:solidFill>
          </w14:textFill>
        </w:rPr>
        <w:t>6.</w:t>
      </w:r>
      <w:r>
        <w:rPr>
          <w:rFonts w:hint="eastAsia"/>
          <w:color w:val="000000" w:themeColor="text1"/>
          <w:szCs w:val="32"/>
          <w14:textFill>
            <w14:solidFill>
              <w14:schemeClr w14:val="tx1"/>
            </w14:solidFill>
          </w14:textFill>
        </w:rPr>
        <w:t>4</w:t>
      </w:r>
      <w:r>
        <w:rPr>
          <w:color w:val="000000" w:themeColor="text1"/>
          <w:szCs w:val="32"/>
          <w14:textFill>
            <w14:solidFill>
              <w14:schemeClr w14:val="tx1"/>
            </w14:solidFill>
          </w14:textFill>
        </w:rPr>
        <w:t>固体废物环境影响分析</w:t>
      </w:r>
      <w:bookmarkEnd w:id="1028"/>
      <w:bookmarkEnd w:id="1029"/>
      <w:bookmarkEnd w:id="1030"/>
      <w:bookmarkEnd w:id="1031"/>
      <w:bookmarkEnd w:id="1032"/>
      <w:bookmarkEnd w:id="1033"/>
      <w:bookmarkEnd w:id="1034"/>
      <w:bookmarkEnd w:id="1035"/>
      <w:bookmarkEnd w:id="1036"/>
      <w:bookmarkEnd w:id="1037"/>
      <w:bookmarkEnd w:id="1038"/>
    </w:p>
    <w:p w14:paraId="5B45A6FC">
      <w:pPr>
        <w:pStyle w:val="52"/>
        <w:rPr>
          <w:rFonts w:hAnsi="Times New Roman"/>
          <w:color w:val="000000" w:themeColor="text1"/>
          <w14:textFill>
            <w14:solidFill>
              <w14:schemeClr w14:val="tx1"/>
            </w14:solidFill>
          </w14:textFill>
        </w:rPr>
      </w:pPr>
      <w:r>
        <w:rPr>
          <w:color w:val="000000" w:themeColor="text1"/>
          <w14:textFill>
            <w14:solidFill>
              <w14:schemeClr w14:val="tx1"/>
            </w14:solidFill>
          </w14:textFill>
        </w:rPr>
        <w:t>本项目输电线路正常运营期</w:t>
      </w:r>
      <w:r>
        <w:rPr>
          <w:rFonts w:hint="eastAsia"/>
          <w:color w:val="000000" w:themeColor="text1"/>
          <w:lang w:val="en-US" w:eastAsia="zh-CN"/>
          <w14:textFill>
            <w14:solidFill>
              <w14:schemeClr w14:val="tx1"/>
            </w14:solidFill>
          </w14:textFill>
        </w:rPr>
        <w:t>主要为换流站或者火电厂安排人员进行巡检，本项目线路较短，巡检过程中基本无固体废物产生。检修期间产生的废旧材料进行回收再利用。若检修过程人员产生少量的生活垃圾，巡检完毕后带回站内进行统一处理，对周围环境无影响。</w:t>
      </w:r>
    </w:p>
    <w:p w14:paraId="1A23F8F3">
      <w:pPr>
        <w:pStyle w:val="3"/>
        <w:keepNext/>
        <w:keepLines/>
        <w:tabs>
          <w:tab w:val="clear" w:pos="420"/>
          <w:tab w:val="clear" w:pos="907"/>
          <w:tab w:val="clear" w:pos="1267"/>
        </w:tabs>
        <w:adjustRightInd/>
        <w:spacing w:before="120" w:beforeLines="50" w:after="120" w:afterLines="50"/>
        <w:rPr>
          <w:color w:val="000000" w:themeColor="text1"/>
          <w:szCs w:val="32"/>
          <w14:textFill>
            <w14:solidFill>
              <w14:schemeClr w14:val="tx1"/>
            </w14:solidFill>
          </w14:textFill>
        </w:rPr>
      </w:pPr>
      <w:bookmarkStart w:id="1039" w:name="_Toc28734"/>
      <w:bookmarkStart w:id="1040" w:name="_Toc13249"/>
      <w:bookmarkStart w:id="1041" w:name="_Toc30027"/>
      <w:bookmarkStart w:id="1042" w:name="_Toc10658"/>
      <w:bookmarkStart w:id="1043" w:name="_Toc10920"/>
      <w:bookmarkStart w:id="1044" w:name="_Toc30960"/>
      <w:bookmarkStart w:id="1045" w:name="_Toc31491"/>
      <w:bookmarkStart w:id="1046" w:name="_Toc12598"/>
      <w:bookmarkStart w:id="1047" w:name="_Toc28114"/>
      <w:bookmarkStart w:id="1048" w:name="_Toc15052"/>
      <w:bookmarkStart w:id="1049" w:name="_Toc21128"/>
      <w:r>
        <w:rPr>
          <w:color w:val="000000" w:themeColor="text1"/>
          <w:szCs w:val="32"/>
          <w14:textFill>
            <w14:solidFill>
              <w14:schemeClr w14:val="tx1"/>
            </w14:solidFill>
          </w14:textFill>
        </w:rPr>
        <w:t>6.</w:t>
      </w:r>
      <w:r>
        <w:rPr>
          <w:rFonts w:hint="eastAsia"/>
          <w:color w:val="000000" w:themeColor="text1"/>
          <w:szCs w:val="32"/>
          <w14:textFill>
            <w14:solidFill>
              <w14:schemeClr w14:val="tx1"/>
            </w14:solidFill>
          </w14:textFill>
        </w:rPr>
        <w:t>5</w:t>
      </w:r>
      <w:r>
        <w:rPr>
          <w:color w:val="000000" w:themeColor="text1"/>
          <w:szCs w:val="32"/>
          <w14:textFill>
            <w14:solidFill>
              <w14:schemeClr w14:val="tx1"/>
            </w14:solidFill>
          </w14:textFill>
        </w:rPr>
        <w:t>环境风险分析</w:t>
      </w:r>
      <w:bookmarkEnd w:id="1039"/>
      <w:bookmarkEnd w:id="1040"/>
      <w:bookmarkEnd w:id="1041"/>
      <w:bookmarkEnd w:id="1042"/>
      <w:bookmarkEnd w:id="1043"/>
      <w:bookmarkEnd w:id="1044"/>
      <w:bookmarkEnd w:id="1045"/>
      <w:bookmarkEnd w:id="1046"/>
      <w:bookmarkEnd w:id="1047"/>
      <w:bookmarkEnd w:id="1048"/>
      <w:bookmarkEnd w:id="1049"/>
    </w:p>
    <w:p w14:paraId="71124F3A">
      <w:pPr>
        <w:ind w:firstLine="480"/>
        <w:rPr>
          <w:color w:val="000000" w:themeColor="text1"/>
          <w14:textFill>
            <w14:solidFill>
              <w14:schemeClr w14:val="tx1"/>
            </w14:solidFill>
          </w14:textFill>
        </w:rPr>
      </w:pPr>
      <w:bookmarkStart w:id="1050" w:name="_Toc432167024"/>
      <w:bookmarkStart w:id="1051" w:name="_Toc18188"/>
      <w:bookmarkStart w:id="1052" w:name="_Toc432083743"/>
      <w:bookmarkStart w:id="1053" w:name="_Toc432166841"/>
      <w:bookmarkStart w:id="1054" w:name="_Toc24049"/>
      <w:r>
        <w:rPr>
          <w:color w:val="000000" w:themeColor="text1"/>
          <w14:textFill>
            <w14:solidFill>
              <w14:schemeClr w14:val="tx1"/>
            </w14:solidFill>
          </w14:textFill>
        </w:rPr>
        <w:t>本项目输电线路正常运营期间无固体废物产生，不会对沿线环境造成影响。</w:t>
      </w:r>
    </w:p>
    <w:p w14:paraId="667652D0">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本项目不涉及变电工程，无环境风险物质，输电线路主要环境风险为电流过载时导致噪声、工频电场强度、工频磁感应强度增加。</w:t>
      </w:r>
    </w:p>
    <w:p w14:paraId="6453E162">
      <w:pPr>
        <w:ind w:firstLine="480"/>
        <w:rPr>
          <w:color w:val="000000" w:themeColor="text1"/>
          <w14:textFill>
            <w14:solidFill>
              <w14:schemeClr w14:val="tx1"/>
            </w14:solidFill>
          </w14:textFill>
        </w:rPr>
      </w:pPr>
      <w:r>
        <w:rPr>
          <w:color w:val="000000" w:themeColor="text1"/>
          <w14:textFill>
            <w14:solidFill>
              <w14:schemeClr w14:val="tx1"/>
            </w14:solidFill>
          </w14:textFill>
        </w:rPr>
        <w:t>本环评要求运营单位加强线路运营管理，合理配置线路负荷，避免出现线路过载状况发生。</w:t>
      </w:r>
    </w:p>
    <w:p w14:paraId="00FA550E">
      <w:pPr>
        <w:widowControl/>
        <w:spacing w:afterAutospacing="1"/>
        <w:ind w:firstLine="480"/>
        <w:jc w:val="left"/>
        <w:rPr>
          <w:color w:val="000000" w:themeColor="text1"/>
          <w:kern w:val="0"/>
          <w:lang w:val="zh-CN"/>
          <w14:textFill>
            <w14:solidFill>
              <w14:schemeClr w14:val="tx1"/>
            </w14:solidFill>
          </w14:textFill>
        </w:rPr>
        <w:sectPr>
          <w:pgSz w:w="11905" w:h="16838"/>
          <w:pgMar w:top="1440" w:right="1800" w:bottom="1440" w:left="1800" w:header="850" w:footer="992" w:gutter="0"/>
          <w:cols w:space="720" w:num="1"/>
          <w:docGrid w:linePitch="286" w:charSpace="0"/>
        </w:sectPr>
      </w:pPr>
    </w:p>
    <w:bookmarkEnd w:id="1050"/>
    <w:bookmarkEnd w:id="1051"/>
    <w:bookmarkEnd w:id="1052"/>
    <w:bookmarkEnd w:id="1053"/>
    <w:bookmarkEnd w:id="1054"/>
    <w:p w14:paraId="1E9DB582">
      <w:pPr>
        <w:pStyle w:val="2"/>
        <w:spacing w:before="120" w:beforeLines="50" w:after="120" w:afterLines="50"/>
        <w:rPr>
          <w:color w:val="000000" w:themeColor="text1"/>
          <w14:textFill>
            <w14:solidFill>
              <w14:schemeClr w14:val="tx1"/>
            </w14:solidFill>
          </w14:textFill>
        </w:rPr>
      </w:pPr>
      <w:bookmarkStart w:id="1055" w:name="_Toc26022"/>
      <w:bookmarkStart w:id="1056" w:name="_Toc7970"/>
      <w:bookmarkStart w:id="1057" w:name="_Toc16649"/>
      <w:bookmarkStart w:id="1058" w:name="_Toc24046"/>
      <w:bookmarkStart w:id="1059" w:name="_Toc26756"/>
      <w:bookmarkStart w:id="1060" w:name="_Toc4890"/>
      <w:bookmarkStart w:id="1061" w:name="_Toc30932"/>
      <w:bookmarkStart w:id="1062" w:name="_Toc18821"/>
      <w:bookmarkStart w:id="1063" w:name="_Toc2526"/>
      <w:bookmarkStart w:id="1064" w:name="_Toc15388"/>
      <w:bookmarkStart w:id="1065" w:name="_Toc23960"/>
      <w:r>
        <w:rPr>
          <w:color w:val="000000" w:themeColor="text1"/>
          <w14:textFill>
            <w14:solidFill>
              <w14:schemeClr w14:val="tx1"/>
            </w14:solidFill>
          </w14:textFill>
        </w:rPr>
        <w:t>7环境保护设施、措施分析与论证</w:t>
      </w:r>
      <w:bookmarkEnd w:id="1055"/>
      <w:bookmarkEnd w:id="1056"/>
      <w:bookmarkEnd w:id="1057"/>
      <w:bookmarkEnd w:id="1058"/>
      <w:bookmarkEnd w:id="1059"/>
      <w:bookmarkEnd w:id="1060"/>
      <w:bookmarkEnd w:id="1061"/>
      <w:bookmarkEnd w:id="1062"/>
      <w:bookmarkEnd w:id="1063"/>
      <w:bookmarkEnd w:id="1064"/>
      <w:bookmarkEnd w:id="1065"/>
    </w:p>
    <w:p w14:paraId="2348F147">
      <w:pPr>
        <w:pStyle w:val="3"/>
        <w:keepNext/>
        <w:keepLines/>
        <w:tabs>
          <w:tab w:val="clear" w:pos="420"/>
          <w:tab w:val="clear" w:pos="907"/>
          <w:tab w:val="clear" w:pos="1267"/>
        </w:tabs>
        <w:adjustRightInd/>
        <w:spacing w:before="120" w:beforeLines="50" w:after="120" w:afterLines="50"/>
        <w:rPr>
          <w:color w:val="000000" w:themeColor="text1"/>
          <w:sz w:val="28"/>
          <w:szCs w:val="32"/>
          <w14:textFill>
            <w14:solidFill>
              <w14:schemeClr w14:val="tx1"/>
            </w14:solidFill>
          </w14:textFill>
        </w:rPr>
      </w:pPr>
      <w:bookmarkStart w:id="1066" w:name="_Toc32531"/>
      <w:bookmarkStart w:id="1067" w:name="_Toc19808"/>
      <w:bookmarkStart w:id="1068" w:name="_Toc8167"/>
      <w:bookmarkStart w:id="1069" w:name="_Toc28459"/>
      <w:bookmarkStart w:id="1070" w:name="_Toc19861"/>
      <w:bookmarkStart w:id="1071" w:name="_Toc24315"/>
      <w:bookmarkStart w:id="1072" w:name="_Toc27525"/>
      <w:bookmarkStart w:id="1073" w:name="_Toc10586"/>
      <w:bookmarkStart w:id="1074" w:name="_Toc16773"/>
      <w:bookmarkStart w:id="1075" w:name="_Toc4588"/>
      <w:bookmarkStart w:id="1076" w:name="_Toc22007"/>
      <w:r>
        <w:rPr>
          <w:color w:val="000000" w:themeColor="text1"/>
          <w:sz w:val="28"/>
          <w:szCs w:val="32"/>
          <w14:textFill>
            <w14:solidFill>
              <w14:schemeClr w14:val="tx1"/>
            </w14:solidFill>
          </w14:textFill>
        </w:rPr>
        <w:t>7.1环境保护措施分析</w:t>
      </w:r>
      <w:bookmarkEnd w:id="1066"/>
      <w:bookmarkEnd w:id="1067"/>
      <w:bookmarkEnd w:id="1068"/>
      <w:bookmarkEnd w:id="1069"/>
      <w:bookmarkEnd w:id="1070"/>
      <w:bookmarkEnd w:id="1071"/>
      <w:bookmarkEnd w:id="1072"/>
      <w:bookmarkEnd w:id="1073"/>
      <w:bookmarkEnd w:id="1074"/>
      <w:bookmarkEnd w:id="1075"/>
      <w:bookmarkEnd w:id="1076"/>
    </w:p>
    <w:p w14:paraId="405D06D9">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本报告书将根据工程环境影响特点、工程区域环境特点、</w:t>
      </w:r>
      <w:r>
        <w:rPr>
          <w:rFonts w:hint="eastAsia" w:ascii="Times New Roman" w:hAnsi="Times New Roman"/>
          <w:color w:val="000000" w:themeColor="text1"/>
          <w:lang w:val="en-US" w:eastAsia="zh-CN"/>
          <w14:textFill>
            <w14:solidFill>
              <w14:schemeClr w14:val="tx1"/>
            </w14:solidFill>
          </w14:textFill>
        </w:rPr>
        <w:t>生态</w:t>
      </w:r>
      <w:r>
        <w:rPr>
          <w:rFonts w:ascii="Times New Roman" w:hAnsi="Times New Roman"/>
          <w:color w:val="000000" w:themeColor="text1"/>
          <w14:textFill>
            <w14:solidFill>
              <w14:schemeClr w14:val="tx1"/>
            </w14:solidFill>
          </w14:textFill>
        </w:rPr>
        <w:t>环境影响评价过程中发现的问题，补充相应的环境影响预防、减缓、补偿、恢复及环境管理措施，以保证本工程的建设符合国家</w:t>
      </w:r>
      <w:r>
        <w:rPr>
          <w:rFonts w:hint="eastAsia" w:ascii="Times New Roman" w:hAnsi="Times New Roman"/>
          <w:color w:val="000000" w:themeColor="text1"/>
          <w:lang w:val="en-US" w:eastAsia="zh-CN"/>
          <w14:textFill>
            <w14:solidFill>
              <w14:schemeClr w14:val="tx1"/>
            </w14:solidFill>
          </w14:textFill>
        </w:rPr>
        <w:t>生态</w:t>
      </w:r>
      <w:r>
        <w:rPr>
          <w:rFonts w:ascii="Times New Roman" w:hAnsi="Times New Roman"/>
          <w:color w:val="000000" w:themeColor="text1"/>
          <w14:textFill>
            <w14:solidFill>
              <w14:schemeClr w14:val="tx1"/>
            </w14:solidFill>
          </w14:textFill>
        </w:rPr>
        <w:t>环境影响评价、环境保护的法律法规、环境保护技术政策、国家环境保护产业政策的要求。</w:t>
      </w:r>
    </w:p>
    <w:p w14:paraId="4BDC910E">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077" w:name="_Toc8917"/>
      <w:bookmarkStart w:id="1078" w:name="_Toc27439"/>
      <w:bookmarkStart w:id="1079" w:name="_Toc11872"/>
      <w:bookmarkStart w:id="1080" w:name="_Toc15491"/>
      <w:bookmarkStart w:id="1081" w:name="_Toc26345"/>
      <w:bookmarkStart w:id="1082" w:name="_Toc24456"/>
      <w:bookmarkStart w:id="1083" w:name="_Toc14984"/>
      <w:bookmarkStart w:id="1084" w:name="_Toc1573"/>
      <w:bookmarkStart w:id="1085" w:name="_Toc6508"/>
      <w:bookmarkStart w:id="1086" w:name="_Toc4042"/>
      <w:r>
        <w:rPr>
          <w:bCs/>
          <w:color w:val="000000" w:themeColor="text1"/>
          <w:sz w:val="28"/>
          <w:szCs w:val="32"/>
          <w14:textFill>
            <w14:solidFill>
              <w14:schemeClr w14:val="tx1"/>
            </w14:solidFill>
          </w14:textFill>
        </w:rPr>
        <w:t>7.1.1设计阶段的环境保护措施</w:t>
      </w:r>
      <w:bookmarkEnd w:id="1077"/>
      <w:bookmarkEnd w:id="1078"/>
      <w:bookmarkEnd w:id="1079"/>
      <w:bookmarkEnd w:id="1080"/>
      <w:bookmarkEnd w:id="1081"/>
      <w:bookmarkEnd w:id="1082"/>
      <w:bookmarkEnd w:id="1083"/>
      <w:bookmarkEnd w:id="1084"/>
      <w:bookmarkEnd w:id="1085"/>
      <w:bookmarkEnd w:id="1086"/>
    </w:p>
    <w:p w14:paraId="67B59C8D">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）电磁、噪声环境影响控制措施</w:t>
      </w:r>
    </w:p>
    <w:p w14:paraId="3D43BE9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①尽量远离居民类敏感目标，确保居民点处的工频电场强度不大于</w:t>
      </w:r>
      <w:r>
        <w:rPr>
          <w:color w:val="000000" w:themeColor="text1"/>
          <w:kern w:val="0"/>
          <w:lang w:bidi="ar"/>
          <w14:textFill>
            <w14:solidFill>
              <w14:schemeClr w14:val="tx1"/>
            </w14:solidFill>
          </w14:textFill>
        </w:rPr>
        <w:t>4000V/m</w:t>
      </w:r>
      <w:r>
        <w:rPr>
          <w:rFonts w:hint="eastAsia" w:ascii="宋体" w:hAnsi="宋体" w:cs="宋体"/>
          <w:color w:val="000000" w:themeColor="text1"/>
          <w:kern w:val="0"/>
          <w:lang w:bidi="ar"/>
          <w14:textFill>
            <w14:solidFill>
              <w14:schemeClr w14:val="tx1"/>
            </w14:solidFill>
          </w14:textFill>
        </w:rPr>
        <w:t>，工频磁感应强度不大于</w:t>
      </w:r>
      <w:r>
        <w:rPr>
          <w:color w:val="000000" w:themeColor="text1"/>
          <w:kern w:val="0"/>
          <w:lang w:bidi="ar"/>
          <w14:textFill>
            <w14:solidFill>
              <w14:schemeClr w14:val="tx1"/>
            </w14:solidFill>
          </w14:textFill>
        </w:rPr>
        <w:t>100μT</w:t>
      </w:r>
      <w:r>
        <w:rPr>
          <w:rFonts w:hint="eastAsia" w:ascii="宋体" w:hAnsi="宋体" w:cs="宋体"/>
          <w:color w:val="000000" w:themeColor="text1"/>
          <w:kern w:val="0"/>
          <w:lang w:bidi="ar"/>
          <w14:textFill>
            <w14:solidFill>
              <w14:schemeClr w14:val="tx1"/>
            </w14:solidFill>
          </w14:textFill>
        </w:rPr>
        <w:t>。</w:t>
      </w:r>
    </w:p>
    <w:p w14:paraId="6AF379E0">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②合理地选择分裂子导线的线径、分裂根数、分裂间距、并合理地控制导线对地的距离，保证线路的电磁环境满足相关规定，减少因电磁场产生的环境问题。</w:t>
      </w:r>
    </w:p>
    <w:p w14:paraId="19976A1B">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③线路经过牧草地、畜禽饲养地、道路等场所时，并行单回路导线最小对地高度需抬高至</w:t>
      </w:r>
      <w:r>
        <w:rPr>
          <w:rFonts w:hint="eastAsia"/>
          <w:color w:val="000000" w:themeColor="text1"/>
          <w:kern w:val="0"/>
          <w:lang w:val="en-US" w:eastAsia="zh-CN" w:bidi="ar"/>
          <w14:textFill>
            <w14:solidFill>
              <w14:schemeClr w14:val="tx1"/>
            </w14:solidFill>
          </w14:textFill>
        </w:rPr>
        <w:t>17.2</w:t>
      </w:r>
      <w:r>
        <w:rPr>
          <w:color w:val="000000" w:themeColor="text1"/>
          <w:kern w:val="0"/>
          <w:lang w:bidi="ar"/>
          <w14:textFill>
            <w14:solidFill>
              <w14:schemeClr w14:val="tx1"/>
            </w14:solidFill>
          </w14:textFill>
        </w:rPr>
        <w:t>m</w:t>
      </w:r>
      <w:r>
        <w:rPr>
          <w:rFonts w:hint="eastAsia"/>
          <w:color w:val="000000" w:themeColor="text1"/>
          <w:kern w:val="0"/>
          <w:lang w:bidi="ar"/>
          <w14:textFill>
            <w14:solidFill>
              <w14:schemeClr w14:val="tx1"/>
            </w14:solidFill>
          </w14:textFill>
        </w:rPr>
        <w:t>、同塔双回导线</w:t>
      </w:r>
      <w:r>
        <w:rPr>
          <w:rFonts w:hint="eastAsia" w:ascii="宋体" w:hAnsi="宋体" w:cs="宋体"/>
          <w:color w:val="000000" w:themeColor="text1"/>
          <w:kern w:val="0"/>
          <w:lang w:bidi="ar"/>
          <w14:textFill>
            <w14:solidFill>
              <w14:schemeClr w14:val="tx1"/>
            </w14:solidFill>
          </w14:textFill>
        </w:rPr>
        <w:t>最小对地高度需抬高至</w:t>
      </w:r>
      <w:r>
        <w:rPr>
          <w:rFonts w:hint="eastAsia"/>
          <w:color w:val="000000" w:themeColor="text1"/>
          <w:kern w:val="0"/>
          <w:lang w:bidi="ar"/>
          <w14:textFill>
            <w14:solidFill>
              <w14:schemeClr w14:val="tx1"/>
            </w14:solidFill>
          </w14:textFill>
        </w:rPr>
        <w:t>16.</w:t>
      </w:r>
      <w:r>
        <w:rPr>
          <w:rFonts w:hint="eastAsia"/>
          <w:color w:val="000000" w:themeColor="text1"/>
          <w:kern w:val="0"/>
          <w:lang w:val="en-US" w:eastAsia="zh-CN" w:bidi="ar"/>
          <w14:textFill>
            <w14:solidFill>
              <w14:schemeClr w14:val="tx1"/>
            </w14:solidFill>
          </w14:textFill>
        </w:rPr>
        <w:t>5</w:t>
      </w:r>
      <w:r>
        <w:rPr>
          <w:color w:val="000000" w:themeColor="text1"/>
          <w:kern w:val="0"/>
          <w:lang w:bidi="ar"/>
          <w14:textFill>
            <w14:solidFill>
              <w14:schemeClr w14:val="tx1"/>
            </w14:solidFill>
          </w14:textFill>
        </w:rPr>
        <w:t>m</w:t>
      </w:r>
      <w:r>
        <w:rPr>
          <w:rFonts w:hint="eastAsia" w:ascii="宋体" w:hAnsi="宋体" w:cs="宋体"/>
          <w:color w:val="000000" w:themeColor="text1"/>
          <w:kern w:val="0"/>
          <w:lang w:bidi="ar"/>
          <w14:textFill>
            <w14:solidFill>
              <w14:schemeClr w14:val="tx1"/>
            </w14:solidFill>
          </w14:textFill>
        </w:rPr>
        <w:t>，确保输电线路线下工频电场强度满足小于</w:t>
      </w:r>
      <w:r>
        <w:rPr>
          <w:color w:val="000000" w:themeColor="text1"/>
          <w:kern w:val="0"/>
          <w:lang w:bidi="ar"/>
          <w14:textFill>
            <w14:solidFill>
              <w14:schemeClr w14:val="tx1"/>
            </w14:solidFill>
          </w14:textFill>
        </w:rPr>
        <w:t>10kV/m</w:t>
      </w:r>
      <w:r>
        <w:rPr>
          <w:rFonts w:hint="eastAsia" w:ascii="宋体" w:hAnsi="宋体" w:cs="宋体"/>
          <w:color w:val="000000" w:themeColor="text1"/>
          <w:kern w:val="0"/>
          <w:lang w:bidi="ar"/>
          <w14:textFill>
            <w14:solidFill>
              <w14:schemeClr w14:val="tx1"/>
            </w14:solidFill>
          </w14:textFill>
        </w:rPr>
        <w:t>限值要求；为满足线下</w:t>
      </w:r>
      <w:r>
        <w:rPr>
          <w:color w:val="000000" w:themeColor="text1"/>
          <w:kern w:val="0"/>
          <w:lang w:bidi="ar"/>
          <w14:textFill>
            <w14:solidFill>
              <w14:schemeClr w14:val="tx1"/>
            </w14:solidFill>
          </w14:textFill>
        </w:rPr>
        <w:t>1.5m</w:t>
      </w:r>
      <w:r>
        <w:rPr>
          <w:rFonts w:hint="eastAsia" w:ascii="宋体" w:hAnsi="宋体" w:cs="宋体"/>
          <w:color w:val="000000" w:themeColor="text1"/>
          <w:kern w:val="0"/>
          <w:lang w:bidi="ar"/>
          <w14:textFill>
            <w14:solidFill>
              <w14:schemeClr w14:val="tx1"/>
            </w14:solidFill>
          </w14:textFill>
        </w:rPr>
        <w:t>高度全部区域工频电场强度满足</w:t>
      </w:r>
      <w:r>
        <w:rPr>
          <w:color w:val="000000" w:themeColor="text1"/>
          <w:kern w:val="0"/>
          <w:lang w:bidi="ar"/>
          <w14:textFill>
            <w14:solidFill>
              <w14:schemeClr w14:val="tx1"/>
            </w14:solidFill>
          </w14:textFill>
        </w:rPr>
        <w:t>4kV/m</w:t>
      </w:r>
      <w:r>
        <w:rPr>
          <w:rFonts w:hint="eastAsia" w:ascii="宋体" w:hAnsi="宋体" w:cs="宋体"/>
          <w:color w:val="000000" w:themeColor="text1"/>
          <w:kern w:val="0"/>
          <w:lang w:bidi="ar"/>
          <w14:textFill>
            <w14:solidFill>
              <w14:schemeClr w14:val="tx1"/>
            </w14:solidFill>
          </w14:textFill>
        </w:rPr>
        <w:t>控制限值要求，并行单回路线路离地最小高度不低于</w:t>
      </w:r>
      <w:r>
        <w:rPr>
          <w:rFonts w:hint="eastAsia"/>
          <w:color w:val="000000" w:themeColor="text1"/>
          <w:kern w:val="0"/>
          <w:lang w:bidi="ar"/>
          <w14:textFill>
            <w14:solidFill>
              <w14:schemeClr w14:val="tx1"/>
            </w14:solidFill>
          </w14:textFill>
        </w:rPr>
        <w:t>3</w:t>
      </w:r>
      <w:r>
        <w:rPr>
          <w:rFonts w:hint="eastAsia"/>
          <w:color w:val="000000" w:themeColor="text1"/>
          <w:kern w:val="0"/>
          <w:lang w:val="en-US" w:eastAsia="zh-CN" w:bidi="ar"/>
          <w14:textFill>
            <w14:solidFill>
              <w14:schemeClr w14:val="tx1"/>
            </w14:solidFill>
          </w14:textFill>
        </w:rPr>
        <w:t>0.9</w:t>
      </w:r>
      <w:r>
        <w:rPr>
          <w:color w:val="000000" w:themeColor="text1"/>
          <w:kern w:val="0"/>
          <w:lang w:bidi="ar"/>
          <w14:textFill>
            <w14:solidFill>
              <w14:schemeClr w14:val="tx1"/>
            </w14:solidFill>
          </w14:textFill>
        </w:rPr>
        <w:t>m</w:t>
      </w:r>
      <w:r>
        <w:rPr>
          <w:rFonts w:hint="eastAsia"/>
          <w:color w:val="000000" w:themeColor="text1"/>
          <w:kern w:val="0"/>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同塔双回路线路离地最小高度不低于</w:t>
      </w:r>
      <w:r>
        <w:rPr>
          <w:rFonts w:hint="eastAsia"/>
          <w:color w:val="000000" w:themeColor="text1"/>
          <w:kern w:val="0"/>
          <w:lang w:bidi="ar"/>
          <w14:textFill>
            <w14:solidFill>
              <w14:schemeClr w14:val="tx1"/>
            </w14:solidFill>
          </w14:textFill>
        </w:rPr>
        <w:t>34.</w:t>
      </w:r>
      <w:r>
        <w:rPr>
          <w:rFonts w:hint="eastAsia"/>
          <w:color w:val="000000" w:themeColor="text1"/>
          <w:kern w:val="0"/>
          <w:lang w:val="en-US" w:eastAsia="zh-CN" w:bidi="ar"/>
          <w14:textFill>
            <w14:solidFill>
              <w14:schemeClr w14:val="tx1"/>
            </w14:solidFill>
          </w14:textFill>
        </w:rPr>
        <w:t>2</w:t>
      </w:r>
      <w:r>
        <w:rPr>
          <w:color w:val="000000" w:themeColor="text1"/>
          <w:kern w:val="0"/>
          <w:lang w:bidi="ar"/>
          <w14:textFill>
            <w14:solidFill>
              <w14:schemeClr w14:val="tx1"/>
            </w14:solidFill>
          </w14:textFill>
        </w:rPr>
        <w:t>m</w:t>
      </w:r>
      <w:r>
        <w:rPr>
          <w:rFonts w:hint="eastAsia" w:ascii="宋体" w:hAnsi="宋体" w:cs="宋体"/>
          <w:color w:val="000000" w:themeColor="text1"/>
          <w:kern w:val="0"/>
          <w:lang w:bidi="ar"/>
          <w14:textFill>
            <w14:solidFill>
              <w14:schemeClr w14:val="tx1"/>
            </w14:solidFill>
          </w14:textFill>
        </w:rPr>
        <w:t>，后期根据具体塔型进一步优化线路对地高度。</w:t>
      </w:r>
    </w:p>
    <w:p w14:paraId="60CE5EA8">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④对当地群众进行有关高压输电线路和设备方面的环境宣传工作，帮助群众建立环境保护意识和自我安全防护意识。</w:t>
      </w:r>
    </w:p>
    <w:p w14:paraId="68122C7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）生态环境保护措施</w:t>
      </w:r>
    </w:p>
    <w:p w14:paraId="1C41D955">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①设计时，应继续优化线路路径及塔位，尽量选择植被稀疏处及生态价值较低的土地立塔，最大限度减轻植被破坏，降低生态影响。</w:t>
      </w:r>
    </w:p>
    <w:p w14:paraId="253B598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②进一步优化塔型及基础设计，减少线路走廊宽度，减少永久占地。</w:t>
      </w:r>
    </w:p>
    <w:p w14:paraId="70E5C2F0">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087" w:name="_Toc1514"/>
      <w:bookmarkStart w:id="1088" w:name="_Toc15709"/>
      <w:bookmarkStart w:id="1089" w:name="_Toc8742"/>
      <w:bookmarkStart w:id="1090" w:name="_Toc2664"/>
      <w:bookmarkStart w:id="1091" w:name="_Toc6229"/>
      <w:bookmarkStart w:id="1092" w:name="_Toc20573"/>
      <w:bookmarkStart w:id="1093" w:name="_Toc14084"/>
      <w:bookmarkStart w:id="1094" w:name="_Toc24593"/>
      <w:bookmarkStart w:id="1095" w:name="_Toc6139"/>
      <w:bookmarkStart w:id="1096" w:name="_Toc8771"/>
      <w:bookmarkStart w:id="1097" w:name="_Toc13408"/>
      <w:r>
        <w:rPr>
          <w:bCs/>
          <w:color w:val="000000" w:themeColor="text1"/>
          <w:sz w:val="28"/>
          <w:szCs w:val="32"/>
          <w14:textFill>
            <w14:solidFill>
              <w14:schemeClr w14:val="tx1"/>
            </w14:solidFill>
          </w14:textFill>
        </w:rPr>
        <w:t>7.1.2施工期环境保护措施</w:t>
      </w:r>
      <w:bookmarkEnd w:id="1087"/>
      <w:bookmarkEnd w:id="1088"/>
      <w:bookmarkEnd w:id="1089"/>
      <w:bookmarkEnd w:id="1090"/>
      <w:bookmarkEnd w:id="1091"/>
      <w:bookmarkEnd w:id="1092"/>
      <w:bookmarkEnd w:id="1093"/>
      <w:bookmarkEnd w:id="1094"/>
      <w:bookmarkEnd w:id="1095"/>
      <w:bookmarkEnd w:id="1096"/>
      <w:bookmarkEnd w:id="1097"/>
    </w:p>
    <w:p w14:paraId="397474EA">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）电磁、声环境污染防治措施</w:t>
      </w:r>
    </w:p>
    <w:p w14:paraId="538D67B4">
      <w:pPr>
        <w:widowControl/>
        <w:ind w:firstLine="480"/>
        <w:jc w:val="left"/>
        <w:rPr>
          <w:rFonts w:hint="eastAsia" w:ascii="宋体" w:hAnsi="宋体" w:cs="宋体"/>
          <w:color w:val="000000" w:themeColor="text1"/>
          <w:kern w:val="0"/>
          <w:lang w:val="en-US" w:eastAsia="zh-CN"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w:t>
      </w:r>
      <w:r>
        <w:rPr>
          <w:rFonts w:hint="eastAsia" w:ascii="宋体" w:hAnsi="宋体" w:cs="宋体"/>
          <w:color w:val="000000" w:themeColor="text1"/>
          <w:kern w:val="0"/>
          <w:lang w:val="en-US" w:eastAsia="zh-CN" w:bidi="ar"/>
          <w14:textFill>
            <w14:solidFill>
              <w14:schemeClr w14:val="tx1"/>
            </w14:solidFill>
          </w14:textFill>
        </w:rPr>
        <w:t>使用低噪声的施工方法、工艺和设备，最大限度降低噪声影响。</w:t>
      </w:r>
    </w:p>
    <w:p w14:paraId="43B5F512">
      <w:pPr>
        <w:widowControl/>
        <w:ind w:firstLine="480"/>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val="en-US" w:eastAsia="zh-CN" w:bidi="ar"/>
          <w14:textFill>
            <w14:solidFill>
              <w14:schemeClr w14:val="tx1"/>
            </w14:solidFill>
          </w14:textFill>
        </w:rPr>
        <w:t>②严格控制夜间施工和夜间行车，使施工场界噪声满足《建筑施工噪声排放标准》（GB12523-2025）有关规定。</w:t>
      </w:r>
    </w:p>
    <w:p w14:paraId="368798F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val="en-US" w:eastAsia="zh-CN" w:bidi="ar"/>
          <w14:textFill>
            <w14:solidFill>
              <w14:schemeClr w14:val="tx1"/>
            </w14:solidFill>
          </w14:textFill>
        </w:rPr>
        <w:t>③</w:t>
      </w:r>
      <w:r>
        <w:rPr>
          <w:rFonts w:hint="eastAsia" w:ascii="宋体" w:hAnsi="宋体" w:cs="宋体"/>
          <w:color w:val="000000" w:themeColor="text1"/>
          <w:kern w:val="0"/>
          <w:lang w:bidi="ar"/>
          <w14:textFill>
            <w14:solidFill>
              <w14:schemeClr w14:val="tx1"/>
            </w14:solidFill>
          </w14:textFill>
        </w:rPr>
        <w:t>严格按照设计及本环评报告中规定的导线线高及间距进行线路架设。</w:t>
      </w:r>
    </w:p>
    <w:p w14:paraId="0B051FD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）水污染防治措施</w:t>
      </w:r>
    </w:p>
    <w:p w14:paraId="5EA44816">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①加强施工管理，做到文明施工。施工营地设置移动式环保厕所、防渗收集池，污水定期收集后交由当地环卫处置，防止生活污水外排。</w:t>
      </w:r>
    </w:p>
    <w:p w14:paraId="5F6E55EC">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②施工时应先设置拦挡措施，后进行工程建设。基础钻孔或挖孔的渣不能随意堆弃，应运到指定地点堆放。</w:t>
      </w:r>
    </w:p>
    <w:p w14:paraId="26E32816">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w:t>
      </w:r>
      <w:r>
        <w:rPr>
          <w:rFonts w:hint="eastAsia" w:ascii="宋体" w:hAnsi="宋体" w:cs="宋体"/>
          <w:color w:val="000000" w:themeColor="text1"/>
          <w:kern w:val="0"/>
          <w:lang w:val="en-US" w:eastAsia="zh-CN" w:bidi="ar"/>
          <w14:textFill>
            <w14:solidFill>
              <w14:schemeClr w14:val="tx1"/>
            </w14:solidFill>
          </w14:textFill>
        </w:rPr>
        <w:t>本项目</w:t>
      </w:r>
      <w:r>
        <w:rPr>
          <w:rFonts w:hint="eastAsia" w:ascii="宋体" w:hAnsi="宋体" w:cs="宋体"/>
          <w:color w:val="000000" w:themeColor="text1"/>
          <w:kern w:val="0"/>
          <w:lang w:bidi="ar"/>
          <w14:textFill>
            <w14:solidFill>
              <w14:schemeClr w14:val="tx1"/>
            </w14:solidFill>
          </w14:textFill>
        </w:rPr>
        <w:t>线路基础工程现场混凝土采用</w:t>
      </w:r>
      <w:r>
        <w:rPr>
          <w:rFonts w:hint="eastAsia" w:ascii="宋体" w:hAnsi="宋体" w:cs="宋体"/>
          <w:color w:val="000000" w:themeColor="text1"/>
          <w:kern w:val="0"/>
          <w:lang w:val="en-US" w:eastAsia="zh-CN" w:bidi="ar"/>
          <w14:textFill>
            <w14:solidFill>
              <w14:schemeClr w14:val="tx1"/>
            </w14:solidFill>
          </w14:textFill>
        </w:rPr>
        <w:t>商品混凝土</w:t>
      </w:r>
      <w:r>
        <w:rPr>
          <w:rFonts w:hint="eastAsia" w:ascii="宋体" w:hAnsi="宋体" w:cs="宋体"/>
          <w:color w:val="000000" w:themeColor="text1"/>
          <w:kern w:val="0"/>
          <w:lang w:bidi="ar"/>
          <w14:textFill>
            <w14:solidFill>
              <w14:schemeClr w14:val="tx1"/>
            </w14:solidFill>
          </w14:textFill>
        </w:rPr>
        <w:t>，</w:t>
      </w:r>
      <w:r>
        <w:rPr>
          <w:rFonts w:hint="eastAsia" w:ascii="宋体" w:hAnsi="宋体" w:cs="宋体"/>
          <w:color w:val="000000" w:themeColor="text1"/>
          <w:kern w:val="0"/>
          <w:lang w:val="en-US" w:eastAsia="zh-CN" w:bidi="ar"/>
          <w14:textFill>
            <w14:solidFill>
              <w14:schemeClr w14:val="tx1"/>
            </w14:solidFill>
          </w14:textFill>
        </w:rPr>
        <w:t>不涉及施工废水排放</w:t>
      </w:r>
      <w:r>
        <w:rPr>
          <w:rFonts w:hint="eastAsia" w:ascii="宋体" w:hAnsi="宋体" w:cs="宋体"/>
          <w:color w:val="000000" w:themeColor="text1"/>
          <w:kern w:val="0"/>
          <w:lang w:bidi="ar"/>
          <w14:textFill>
            <w14:solidFill>
              <w14:schemeClr w14:val="tx1"/>
            </w14:solidFill>
          </w14:textFill>
        </w:rPr>
        <w:t>。</w:t>
      </w:r>
    </w:p>
    <w:p w14:paraId="7385964D">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④合理安排工期，避免雨季施工。</w:t>
      </w:r>
    </w:p>
    <w:p w14:paraId="66E3FEA8">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⑤塔基施工用电使用的自备小型柴油发电机底座下应铺设毛毡或橡胶垫，防止遗漏的柴油污染土壤及地下水。</w:t>
      </w:r>
    </w:p>
    <w:p w14:paraId="53AD6871">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）大气污染防治措施</w:t>
      </w:r>
    </w:p>
    <w:p w14:paraId="3E8CA918">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①塔基基础开挖过程中，应定时、及时洒水使施工区域保持一定的湿度；对施工场地内松散、干涸的表土，也应定时、及时洒水。</w:t>
      </w:r>
    </w:p>
    <w:p w14:paraId="353FC2BB">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②施工临时堆土应集中、合理堆放，遇干燥天气时应对其进行遮盖。</w:t>
      </w:r>
    </w:p>
    <w:p w14:paraId="6A1E3E92">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③施工材料及建筑垃圾在运输时用布覆盖。严禁运输车辆装载过满，不得超出车厢板高度，并采取遮盖、密闭措施防止沿途抛洒、散落。</w:t>
      </w:r>
    </w:p>
    <w:p w14:paraId="2553618C">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④车辆及时冲洗，限制车速，对附近的运输道路定期洒水，使其保持一定的湿度，防止道路扬尘。</w:t>
      </w:r>
    </w:p>
    <w:p w14:paraId="0AD2110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4</w:t>
      </w:r>
      <w:r>
        <w:rPr>
          <w:rFonts w:hint="eastAsia" w:ascii="宋体" w:hAnsi="宋体" w:cs="宋体"/>
          <w:color w:val="000000" w:themeColor="text1"/>
          <w:kern w:val="0"/>
          <w:lang w:bidi="ar"/>
          <w14:textFill>
            <w14:solidFill>
              <w14:schemeClr w14:val="tx1"/>
            </w14:solidFill>
          </w14:textFill>
        </w:rPr>
        <w:t>）固体废物污染防治措施</w:t>
      </w:r>
    </w:p>
    <w:p w14:paraId="37E3F2DD">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在工程施工前应做好施工机构及施工人员的环保培训，明确要求施工过程中产生的施工余土、建筑垃圾及生活垃圾应分别收集堆放。施工产生的余土将按照水土保持方案的要求在塔基范围内就地平整或采取其他措施妥善处置；生活垃圾由当地环卫部门妥善处理，及时运至环卫部门指定的地点安全处置；</w:t>
      </w:r>
      <w:r>
        <w:rPr>
          <w:rFonts w:hint="eastAsia"/>
          <w:color w:val="000000" w:themeColor="text1"/>
          <w14:textFill>
            <w14:solidFill>
              <w14:schemeClr w14:val="tx1"/>
            </w14:solidFill>
          </w14:textFill>
        </w:rPr>
        <w:t>建筑垃圾由施工单位及时清运至指定场所处理</w:t>
      </w:r>
      <w:r>
        <w:rPr>
          <w:rFonts w:hint="eastAsia" w:ascii="宋体" w:hAnsi="宋体" w:cs="宋体"/>
          <w:color w:val="000000" w:themeColor="text1"/>
          <w:kern w:val="0"/>
          <w:lang w:bidi="ar"/>
          <w14:textFill>
            <w14:solidFill>
              <w14:schemeClr w14:val="tx1"/>
            </w14:solidFill>
          </w14:textFill>
        </w:rPr>
        <w:t>。施工结束后对场地进行清理整平，结合周边的土地利用现状及时恢复原有土地功能。</w:t>
      </w:r>
    </w:p>
    <w:p w14:paraId="3EE8E06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5</w:t>
      </w:r>
      <w:r>
        <w:rPr>
          <w:rFonts w:hint="eastAsia" w:ascii="宋体" w:hAnsi="宋体" w:cs="宋体"/>
          <w:color w:val="000000" w:themeColor="text1"/>
          <w:kern w:val="0"/>
          <w:lang w:bidi="ar"/>
          <w14:textFill>
            <w14:solidFill>
              <w14:schemeClr w14:val="tx1"/>
            </w14:solidFill>
          </w14:textFill>
        </w:rPr>
        <w:t>）生态保护措施</w:t>
      </w:r>
    </w:p>
    <w:p w14:paraId="06F59A46">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）总体措施</w:t>
      </w:r>
    </w:p>
    <w:p w14:paraId="172C348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①生态保护意识教育</w:t>
      </w:r>
    </w:p>
    <w:p w14:paraId="15E77190">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根据《中华人民共和国野生动物保护法》《中华人民共和国野生植物保护条例》等法律法规，加强对施工人员的环境保护意识教育，要求文明施工，不得滥采滥挖滥伐，不得捡拾鸟卵、捕捉野生动物及其幼体等。</w:t>
      </w:r>
    </w:p>
    <w:p w14:paraId="6AFC7155">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②划定施工范围</w:t>
      </w:r>
    </w:p>
    <w:p w14:paraId="7194C9C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根据工程施工位点，划定施工范围，禁止随意扩展施工范围。</w:t>
      </w:r>
    </w:p>
    <w:p w14:paraId="740DD9E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③施工组织方式优化</w:t>
      </w:r>
    </w:p>
    <w:p w14:paraId="526CF0B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本次施工全程采用机械化施工，提高施工精度，降低安全风险。同时提高可靠性，缩短施工工期，减少施工期生活污水及建筑垃圾的产生，减少对环境的扰动，同时提高施工标准化，保持施工现场整洁，降低施工器械（旋挖钻机）振动和噪声污染影响。合理安排工期，避免大风及暴雨天气施工，提高施工效率，缩短施工时间，减少生态影响；可根据天气情况及时调整施工工序，工序布设紧凑合理，避免因工序安排不当而造成的大面积地表裸露，将水土流失控制在最低程度。</w:t>
      </w:r>
    </w:p>
    <w:p w14:paraId="385C9F09">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④加强施工人员管理</w:t>
      </w:r>
    </w:p>
    <w:p w14:paraId="544DF95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加强施工人员管理，禁止施工人员打猎、捡拾鸟卵。</w:t>
      </w:r>
    </w:p>
    <w:p w14:paraId="4E62FC48">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⑤定期清理污染物</w:t>
      </w:r>
    </w:p>
    <w:p w14:paraId="46753E28">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施工时，污染物排放不得超过国家和地方规定的污染物排放标准，定期安排人员收集垃圾和废污水，禁止排放废污水、扔垃圾等。</w:t>
      </w:r>
    </w:p>
    <w:p w14:paraId="1ADE62D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⑥加强植被恢复措施</w:t>
      </w:r>
    </w:p>
    <w:p w14:paraId="6083AC6C">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工程施工应当尽量减少破坏植被；临时占地施工结束后应恢复原地貌和植被。</w:t>
      </w:r>
    </w:p>
    <w:p w14:paraId="367A99E8">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w:t>
      </w:r>
      <w:r>
        <w:rPr>
          <w:rFonts w:hint="eastAsia" w:ascii="宋体" w:hAnsi="宋体" w:cs="宋体"/>
          <w:color w:val="000000" w:themeColor="text1"/>
          <w:kern w:val="0"/>
          <w:lang w:val="en-US" w:eastAsia="zh-CN" w:bidi="ar"/>
          <w14:textFill>
            <w14:solidFill>
              <w14:schemeClr w14:val="tx1"/>
            </w14:solidFill>
          </w14:textFill>
        </w:rPr>
        <w:t>对保护植物和其他植物的</w:t>
      </w:r>
      <w:r>
        <w:rPr>
          <w:rFonts w:hint="eastAsia" w:ascii="宋体" w:hAnsi="宋体" w:cs="宋体"/>
          <w:color w:val="000000" w:themeColor="text1"/>
          <w:kern w:val="0"/>
          <w:lang w:bidi="ar"/>
          <w14:textFill>
            <w14:solidFill>
              <w14:schemeClr w14:val="tx1"/>
            </w14:solidFill>
          </w14:textFill>
        </w:rPr>
        <w:t>保护措施</w:t>
      </w:r>
    </w:p>
    <w:p w14:paraId="186F17A0">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进入施工现场前，应组织进行生态环境保护相关法规方面的宣传、教育，使所有参与施工人员认识到保护项目区天然植被的重要性，强化施工人员的保护意识，并落实到自身的实际行动中。在施工过程中，必须加强对参与施工人员的管理，杜绝人为破坏天然植被行为。尤其在秋季施工时，必须注意生产和生活用火的安全，避免火灾的发生和蔓延，对一定区域内的天然植被造成毁灭性的破坏。</w:t>
      </w:r>
    </w:p>
    <w:p w14:paraId="78EA0D65">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②在选择材料堆放场、牵张场、临时施工道路等临时占地时，应注意对植被生长良好地段的避让。牵张场应尽量选择路边无植被地段或地表植被稀疏地段。</w:t>
      </w:r>
    </w:p>
    <w:p w14:paraId="4610C55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③合理规划、设计施工便道及场地，并要求各种机械和车辆固定行车路线，不能随意下道行驶或另开辟便道，以保证周围地表和植被不受破坏。</w:t>
      </w:r>
    </w:p>
    <w:p w14:paraId="0C6F78F2">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④在草地区域施工时，严格控制施工区域，严禁随意碾压草地，对施工区域表土进行单独剥离、单独存放，最终用于施工场地恢复，占用草地应按相关规定办理占地手续并进行补偿。</w:t>
      </w:r>
    </w:p>
    <w:p w14:paraId="2B7F835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⑤对施工过程中占用的各类临时用地，在施工结束后，应及时恢复原有地貌，并压实整平。及时清理施工现场，对施工过程中产生的生活垃圾和废弃物，应集中收集装袋，并在结束施工时带出施工区域，不得随意丢弃于施工区域的天然植被中，既造成环境污染，又对植被的正常生长发育产生不良影响。</w:t>
      </w:r>
    </w:p>
    <w:p w14:paraId="55DDF5D2">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⑥基础施工应在塔基范围内铺设彩条布，在铁塔塔材堆放区、组装区、牵张场、起吊区、工器具堆放区等区域铺设彩条布以及枕木，最大限度降低对地表植被的破坏。</w:t>
      </w:r>
    </w:p>
    <w:p w14:paraId="3F2C5DF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⑦合理选择施工便道，尽可能利用已有道路，减少施工便道的修筑。施工便道采用彩旗绳围挡，严格控制施工区域，不能随意下道行驶或另开辟便道，以保证周围地表和植被不受破坏。</w:t>
      </w:r>
    </w:p>
    <w:p w14:paraId="00A31F83">
      <w:pPr>
        <w:widowControl/>
        <w:ind w:firstLine="480"/>
        <w:jc w:val="left"/>
        <w:rPr>
          <w:rFonts w:hint="eastAsia"/>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⑧规范施工道路和牵张场占地，临时占地选择植被生长较少的占地，临时占地尽量避开国家二级保护植物胀果甘草和黑果枸杞。塔基临时堆土区及牵张场选择植被较少的一边。</w:t>
      </w:r>
    </w:p>
    <w:p w14:paraId="22EC9B9F">
      <w:pPr>
        <w:widowControl/>
        <w:ind w:firstLine="480"/>
        <w:jc w:val="left"/>
        <w:rPr>
          <w:rFonts w:hint="default"/>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⑨禁止施工人员挖掘胀果甘草和黑果枸杞等保护植物；划定保护小区，设置围栏或警示标志，禁止人为破坏；施工完毕后进行生态恢复补种。</w:t>
      </w:r>
    </w:p>
    <w:p w14:paraId="241EB7E9">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w:t>
      </w:r>
      <w:r>
        <w:rPr>
          <w:rFonts w:hint="eastAsia" w:ascii="宋体" w:hAnsi="宋体" w:cs="宋体"/>
          <w:color w:val="000000" w:themeColor="text1"/>
          <w:kern w:val="0"/>
          <w:lang w:val="en-US" w:eastAsia="zh-CN" w:bidi="ar"/>
          <w14:textFill>
            <w14:solidFill>
              <w14:schemeClr w14:val="tx1"/>
            </w14:solidFill>
          </w14:textFill>
        </w:rPr>
        <w:t>对保护动物和其他</w:t>
      </w:r>
      <w:r>
        <w:rPr>
          <w:rFonts w:hint="eastAsia" w:ascii="宋体" w:hAnsi="宋体" w:cs="宋体"/>
          <w:color w:val="000000" w:themeColor="text1"/>
          <w:kern w:val="0"/>
          <w:lang w:bidi="ar"/>
          <w14:textFill>
            <w14:solidFill>
              <w14:schemeClr w14:val="tx1"/>
            </w14:solidFill>
          </w14:textFill>
        </w:rPr>
        <w:t>动物保护措施</w:t>
      </w:r>
    </w:p>
    <w:p w14:paraId="498228E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在施工人员进入施工现场前，应组织开展《中华人民共和国野生动物保护法》、重点保护物种（鹅喉羚）保护及林草部门相关管理要求的宣传、教育与技术交底，强化施工人员野生动物保护法律意识，明确违法捕猎、伤害保护动物的法律责任。</w:t>
      </w:r>
    </w:p>
    <w:p w14:paraId="216910A6">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②在施工过程中，必须</w:t>
      </w:r>
      <w:r>
        <w:rPr>
          <w:rFonts w:hint="eastAsia" w:ascii="宋体" w:hAnsi="宋体" w:cs="宋体"/>
          <w:color w:val="000000" w:themeColor="text1"/>
          <w:kern w:val="0"/>
          <w:lang w:eastAsia="zh-CN" w:bidi="ar"/>
          <w14:textFill>
            <w14:solidFill>
              <w14:schemeClr w14:val="tx1"/>
            </w14:solidFill>
          </w14:textFill>
        </w:rPr>
        <w:t>加强对</w:t>
      </w:r>
      <w:r>
        <w:rPr>
          <w:rFonts w:hint="eastAsia" w:ascii="宋体" w:hAnsi="宋体" w:cs="宋体"/>
          <w:color w:val="000000" w:themeColor="text1"/>
          <w:kern w:val="0"/>
          <w:lang w:bidi="ar"/>
          <w14:textFill>
            <w14:solidFill>
              <w14:schemeClr w14:val="tx1"/>
            </w14:solidFill>
          </w14:textFill>
        </w:rPr>
        <w:t>参与施工的人员管理，严格遵守《中华人民共和国野生动物保护法》相关禁止性规定，严禁捕杀、伤害、惊扰施工区及周边野生动物，严禁捕捉幼兽等违法行为。</w:t>
      </w:r>
    </w:p>
    <w:p w14:paraId="63ADF922">
      <w:pPr>
        <w:widowControl/>
        <w:ind w:firstLine="480"/>
        <w:jc w:val="left"/>
        <w:rPr>
          <w:rFonts w:hint="default" w:eastAsia="宋体"/>
          <w:color w:val="000000" w:themeColor="text1"/>
          <w:kern w:val="0"/>
          <w:lang w:val="en-US" w:eastAsia="zh-CN" w:bidi="ar"/>
          <w14:textFill>
            <w14:solidFill>
              <w14:schemeClr w14:val="tx1"/>
            </w14:solidFill>
          </w14:textFill>
        </w:rPr>
      </w:pPr>
      <w:r>
        <w:rPr>
          <w:rFonts w:hint="default" w:eastAsia="宋体"/>
          <w:color w:val="000000" w:themeColor="text1"/>
          <w:kern w:val="0"/>
          <w:lang w:val="en-US" w:eastAsia="zh-CN" w:bidi="ar"/>
          <w14:textFill>
            <w14:solidFill>
              <w14:schemeClr w14:val="tx1"/>
            </w14:solidFill>
          </w14:textFill>
        </w:rPr>
        <w:t>③应努力加快施工速度，缩短施工周期，施工结束后，及时清理施工现场，尽可能减少施工过程对动物的不利影响，符合野生动物保护及林草生态修复相关管理要求。</w:t>
      </w:r>
    </w:p>
    <w:p w14:paraId="3751F91A">
      <w:pPr>
        <w:widowControl/>
        <w:ind w:firstLine="480"/>
        <w:jc w:val="left"/>
        <w:rPr>
          <w:rFonts w:hint="default" w:eastAsia="宋体"/>
          <w:color w:val="000000" w:themeColor="text1"/>
          <w:kern w:val="0"/>
          <w:lang w:val="en-US" w:eastAsia="zh-CN" w:bidi="ar"/>
          <w14:textFill>
            <w14:solidFill>
              <w14:schemeClr w14:val="tx1"/>
            </w14:solidFill>
          </w14:textFill>
        </w:rPr>
      </w:pPr>
      <w:r>
        <w:rPr>
          <w:rFonts w:hint="default" w:eastAsia="宋体"/>
          <w:color w:val="000000" w:themeColor="text1"/>
          <w:kern w:val="0"/>
          <w:lang w:val="en-US" w:eastAsia="zh-CN" w:bidi="ar"/>
          <w14:textFill>
            <w14:solidFill>
              <w14:schemeClr w14:val="tx1"/>
            </w14:solidFill>
          </w14:textFill>
        </w:rPr>
        <w:t>④加强施工人员对野生动物和生态环境的保护意识教育，施工期若发现保护动物（鹅喉羚，国家二级重点保护野生动物），应立即停止扰动、保持安全距离、采取避让管控措施，严禁驱赶、伤害、捕捉珍稀保护动物；如发现受伤保护野生动物，第一时间向属地林草主管部门、野生动物救护机构报告，交由专业人员开展救助处置，不得私自处置，满足野生动物应急救护管理要求。</w:t>
      </w:r>
    </w:p>
    <w:p w14:paraId="0D97CCDE">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4</w:t>
      </w:r>
      <w:r>
        <w:rPr>
          <w:rFonts w:hint="eastAsia" w:ascii="宋体" w:hAnsi="宋体" w:cs="宋体"/>
          <w:color w:val="000000" w:themeColor="text1"/>
          <w:kern w:val="0"/>
          <w:lang w:bidi="ar"/>
          <w14:textFill>
            <w14:solidFill>
              <w14:schemeClr w14:val="tx1"/>
            </w14:solidFill>
          </w14:textFill>
        </w:rPr>
        <w:t>）其他草地生态保护措施</w:t>
      </w:r>
    </w:p>
    <w:p w14:paraId="139B1FF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①荒漠草地地势相对平坦，植被稀疏，输电线路施工期应尽量减少对地表植被的破坏，除不得不砍伐的灌木及铲除的植被外，不允许以其他任何理由砍伐及铲除植被，减少对生态环境的破坏。</w:t>
      </w:r>
    </w:p>
    <w:p w14:paraId="41260CDD">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塔基及施工占地采取的措施有工程措施、植物措施和临时措施。工程措施包括土地整治和植被恢复。土地整治：施工结束后及时对开挖动土区域进行坑凹回填整平，施工结束后可播撒适生草籽恢复植被。临时措施包括临时拦挡及苫盖。临时拦挡及苫盖：塔基施工场地区临时堆土量较多，且含水量少不易粘结，因此建设期间采用填土草袋进行拦挡，并以防尘网进行苫盖，防尘网边缘采用填土草袋进行压实。</w:t>
      </w:r>
    </w:p>
    <w:p w14:paraId="6BC854B9">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③牵张场施工期间应设置简易临时堆土场，用填土草袋拦挡四周，并做好防尘网苫盖措施，施工结束后用于覆盖扰动的区域。</w:t>
      </w:r>
    </w:p>
    <w:p w14:paraId="7F672042">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④跨越施工场地施工结束后及时对扰动区域进行平整，令其自然恢复或对扰动的区域恢复原地貌。施工道路工程完结后对扰动的区域进行疏通整平。</w:t>
      </w:r>
    </w:p>
    <w:p w14:paraId="324D8946">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⑤施工后及时清理现场，将余土和施工废弃物运出现场，做到</w:t>
      </w:r>
      <w:r>
        <w:rPr>
          <w:color w:val="000000" w:themeColor="text1"/>
          <w:kern w:val="0"/>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工完、料尽、场清、整洁</w:t>
      </w:r>
      <w:r>
        <w:rPr>
          <w:color w:val="000000" w:themeColor="text1"/>
          <w:kern w:val="0"/>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，恢复原有生态。</w:t>
      </w:r>
    </w:p>
    <w:p w14:paraId="639821A9">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⑥输电线路牵张场临时进场道路在施工结束后如无使用要求，根据局地条件进行平整并撒播草籽恢复植被，恢复原有生态环境。架线施工的临时用坑，在架线施工结束后及时平整并恢复植被。</w:t>
      </w:r>
    </w:p>
    <w:p w14:paraId="5E504B6D">
      <w:pPr>
        <w:widowControl/>
        <w:ind w:firstLine="480"/>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⑦塔基基座土建工程施工完成后，应对塔基土建工程施工面进行土地平整并恢复植被。</w:t>
      </w:r>
    </w:p>
    <w:p w14:paraId="55632D37">
      <w:pPr>
        <w:pStyle w:val="9"/>
        <w:keepNext w:val="0"/>
        <w:keepLines w:val="0"/>
        <w:pageBreakBefore w:val="0"/>
        <w:kinsoku/>
        <w:wordWrap/>
        <w:overflowPunct/>
        <w:topLinePunct w:val="0"/>
        <w:autoSpaceDE/>
        <w:autoSpaceDN/>
        <w:bidi w:val="0"/>
        <w:adjustRightInd/>
        <w:snapToGrid/>
        <w:spacing w:after="0"/>
        <w:textAlignment w:val="auto"/>
        <w:rPr>
          <w:rFonts w:hint="eastAsia"/>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⑧根据《中华人民共和国草原法》，临时占用草原的期限不得超过二年，并不得在临时占用的草原上修建永久性建筑物、构筑物；占用期满，用地单位必须恢复草原植被并及时退还。因建设征收、征用或者使用草原的，应当交纳草原植被恢复费。</w:t>
      </w:r>
      <w:r>
        <w:rPr>
          <w:rFonts w:ascii="Times New Roman" w:hAnsi="Times New Roman" w:cs="Times New Roman"/>
          <w:color w:val="000000" w:themeColor="text1"/>
          <w14:textFill>
            <w14:solidFill>
              <w14:schemeClr w14:val="tx1"/>
            </w14:solidFill>
          </w14:textFill>
        </w:rPr>
        <w:t>本项目施工前，应向当地相关主管部门办理征地手续，按照相关法律法规进行补偿。</w:t>
      </w:r>
    </w:p>
    <w:p w14:paraId="0D6A5919">
      <w:pPr>
        <w:keepNext w:val="0"/>
        <w:keepLines w:val="0"/>
        <w:pageBreakBefore w:val="0"/>
        <w:widowControl/>
        <w:kinsoku/>
        <w:wordWrap/>
        <w:overflowPunct/>
        <w:topLinePunct w:val="0"/>
        <w:autoSpaceDE/>
        <w:autoSpaceDN/>
        <w:bidi w:val="0"/>
        <w:adjustRightInd/>
        <w:snapToGrid/>
        <w:ind w:firstLine="480"/>
        <w:jc w:val="left"/>
        <w:textAlignment w:val="auto"/>
        <w:rPr>
          <w:rFonts w:hint="default" w:ascii="Times New Roman" w:hAnsi="Times New Roman" w:eastAsia="宋体" w:cs="Times New Roman"/>
          <w:color w:val="000000" w:themeColor="text1"/>
          <w:kern w:val="0"/>
          <w:lang w:val="en-US" w:eastAsia="zh-CN" w:bidi="ar"/>
          <w14:textFill>
            <w14:solidFill>
              <w14:schemeClr w14:val="tx1"/>
            </w14:solidFill>
          </w14:textFill>
        </w:rPr>
      </w:pPr>
      <w:r>
        <w:rPr>
          <w:rFonts w:hint="eastAsia" w:ascii="Times New Roman" w:hAnsi="Times New Roman" w:eastAsia="宋体" w:cs="Times New Roman"/>
          <w:color w:val="000000" w:themeColor="text1"/>
          <w:kern w:val="0"/>
          <w:lang w:val="en-US" w:eastAsia="zh-CN" w:bidi="ar"/>
          <w14:textFill>
            <w14:solidFill>
              <w14:schemeClr w14:val="tx1"/>
            </w14:solidFill>
          </w14:textFill>
        </w:rPr>
        <w:t>5）对公益林的保护措施</w:t>
      </w:r>
    </w:p>
    <w:p w14:paraId="043484B0">
      <w:pPr>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val="en-US" w:eastAsia="zh-CN" w:bidi="ar"/>
          <w14:textFill>
            <w14:solidFill>
              <w14:schemeClr w14:val="tx1"/>
            </w14:solidFill>
          </w14:textFill>
        </w:rPr>
        <w:t>①临时</w:t>
      </w:r>
      <w:r>
        <w:rPr>
          <w:rFonts w:hint="default" w:ascii="Times New Roman" w:hAnsi="Times New Roman" w:cs="Times New Roman"/>
          <w:color w:val="000000" w:themeColor="text1"/>
          <w:sz w:val="24"/>
          <w:szCs w:val="24"/>
          <w14:textFill>
            <w14:solidFill>
              <w14:schemeClr w14:val="tx1"/>
            </w14:solidFill>
          </w14:textFill>
        </w:rPr>
        <w:t>道路和</w:t>
      </w:r>
      <w:r>
        <w:rPr>
          <w:rFonts w:hint="eastAsia" w:cs="Times New Roman"/>
          <w:color w:val="000000" w:themeColor="text1"/>
          <w:sz w:val="24"/>
          <w:szCs w:val="24"/>
          <w:lang w:val="en-US" w:eastAsia="zh-CN"/>
          <w14:textFill>
            <w14:solidFill>
              <w14:schemeClr w14:val="tx1"/>
            </w14:solidFill>
          </w14:textFill>
        </w:rPr>
        <w:t>塔基</w:t>
      </w:r>
      <w:r>
        <w:rPr>
          <w:rFonts w:hint="default" w:ascii="Times New Roman" w:hAnsi="Times New Roman" w:cs="Times New Roman"/>
          <w:color w:val="000000" w:themeColor="text1"/>
          <w:sz w:val="24"/>
          <w:szCs w:val="24"/>
          <w14:textFill>
            <w14:solidFill>
              <w14:schemeClr w14:val="tx1"/>
            </w14:solidFill>
          </w14:textFill>
        </w:rPr>
        <w:t>施工时，注意保护</w:t>
      </w:r>
      <w:r>
        <w:rPr>
          <w:rFonts w:hint="eastAsia" w:cs="Times New Roman"/>
          <w:color w:val="000000" w:themeColor="text1"/>
          <w:sz w:val="24"/>
          <w:szCs w:val="24"/>
          <w:lang w:val="en-US" w:eastAsia="zh-CN"/>
          <w14:textFill>
            <w14:solidFill>
              <w14:schemeClr w14:val="tx1"/>
            </w14:solidFill>
          </w14:textFill>
        </w:rPr>
        <w:t>评价范围内的</w:t>
      </w:r>
      <w:r>
        <w:rPr>
          <w:rFonts w:hint="default" w:ascii="Times New Roman" w:hAnsi="Times New Roman" w:cs="Times New Roman"/>
          <w:color w:val="000000" w:themeColor="text1"/>
          <w:sz w:val="24"/>
          <w:szCs w:val="24"/>
          <w14:textFill>
            <w14:solidFill>
              <w14:schemeClr w14:val="tx1"/>
            </w14:solidFill>
          </w14:textFill>
        </w:rPr>
        <w:t>公益林，划定施工活动范围，严格控制和管理车辆及重型机械的运行范围。</w:t>
      </w:r>
      <w:r>
        <w:rPr>
          <w:rFonts w:hint="eastAsia" w:ascii="宋体" w:hAnsi="宋体" w:cs="宋体"/>
          <w:color w:val="000000" w:themeColor="text1"/>
          <w:kern w:val="0"/>
          <w:lang w:bidi="ar"/>
          <w14:textFill>
            <w14:solidFill>
              <w14:schemeClr w14:val="tx1"/>
            </w14:solidFill>
          </w14:textFill>
        </w:rPr>
        <w:t>不随意开辟施工临时道路。</w:t>
      </w:r>
    </w:p>
    <w:p w14:paraId="5F602F03">
      <w:pPr>
        <w:keepNext w:val="0"/>
        <w:keepLines w:val="0"/>
        <w:pageBreakBefore w:val="0"/>
        <w:widowControl/>
        <w:kinsoku/>
        <w:wordWrap/>
        <w:overflowPunct/>
        <w:topLinePunct w:val="0"/>
        <w:autoSpaceDE/>
        <w:autoSpaceDN/>
        <w:bidi w:val="0"/>
        <w:adjustRightInd/>
        <w:snapToGrid/>
        <w:ind w:firstLine="480"/>
        <w:jc w:val="left"/>
        <w:textAlignment w:val="auto"/>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val="en-US" w:eastAsia="zh-CN" w:bidi="ar"/>
          <w14:textFill>
            <w14:solidFill>
              <w14:schemeClr w14:val="tx1"/>
            </w14:solidFill>
          </w14:textFill>
        </w:rPr>
        <w:t>②</w:t>
      </w:r>
      <w:r>
        <w:rPr>
          <w:rFonts w:hint="default" w:ascii="Times New Roman" w:hAnsi="Times New Roman" w:cs="Times New Roman"/>
          <w:color w:val="000000" w:themeColor="text1"/>
          <w:sz w:val="24"/>
          <w:szCs w:val="24"/>
          <w14:textFill>
            <w14:solidFill>
              <w14:schemeClr w14:val="tx1"/>
            </w14:solidFill>
          </w14:textFill>
        </w:rPr>
        <w:t>施工过程中，加强施工人员的管理，严禁施工人员进行</w:t>
      </w:r>
      <w:r>
        <w:rPr>
          <w:rFonts w:hint="eastAsia" w:cs="Times New Roman"/>
          <w:color w:val="000000" w:themeColor="text1"/>
          <w:sz w:val="24"/>
          <w:szCs w:val="24"/>
          <w:lang w:val="en-US" w:eastAsia="zh-CN"/>
          <w14:textFill>
            <w14:solidFill>
              <w14:schemeClr w14:val="tx1"/>
            </w14:solidFill>
          </w14:textFill>
        </w:rPr>
        <w:t>线路、塔基施工</w:t>
      </w:r>
      <w:r>
        <w:rPr>
          <w:rFonts w:hint="default" w:ascii="Times New Roman" w:hAnsi="Times New Roman" w:cs="Times New Roman"/>
          <w:color w:val="000000" w:themeColor="text1"/>
          <w:sz w:val="24"/>
          <w:szCs w:val="24"/>
          <w14:textFill>
            <w14:solidFill>
              <w14:schemeClr w14:val="tx1"/>
            </w14:solidFill>
          </w14:textFill>
        </w:rPr>
        <w:t>的其他活动，禁止施工人员对公益林滥砍滥伐，严格限制人员的活动范围，破坏沿线的生态环境</w:t>
      </w:r>
      <w:r>
        <w:rPr>
          <w:rFonts w:hint="eastAsia"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尽量减少对项目区周围公益林的影响。</w:t>
      </w:r>
    </w:p>
    <w:p w14:paraId="75156185">
      <w:pPr>
        <w:widowControl/>
        <w:ind w:firstLine="480"/>
        <w:jc w:val="left"/>
        <w:rPr>
          <w:rFonts w:hint="default"/>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6）对戈壁砾幕层保护措施</w:t>
      </w:r>
    </w:p>
    <w:p w14:paraId="5A43B5EF">
      <w:pPr>
        <w:widowControl/>
        <w:ind w:firstLine="480"/>
        <w:jc w:val="left"/>
        <w:rPr>
          <w:rFonts w:hint="eastAsia"/>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①路径避让及划定保护范围：在线路规划阶段，尽量避开砾幕层连续、厚度大（如&gt;5cm）的区域，优先选择已有道路、戈壁裸地（砾幕层较薄区域）作为施工通道。对必须穿越的砾幕层区域，划定核心保护带（如塔基周边50m范围）和控制区（施工通道两侧20m），禁止无关机械和人员进入。</w:t>
      </w:r>
    </w:p>
    <w:p w14:paraId="42EB6462">
      <w:pPr>
        <w:widowControl/>
        <w:ind w:firstLine="480"/>
        <w:jc w:val="left"/>
        <w:rPr>
          <w:rFonts w:hint="eastAsia"/>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②施工方案细化：采用“模块化施工”，减少临时用地面积；明确车辆行驶路线（如规划单一行车轨迹，避免随意碾压），优先使用轻型设备（如无人机放线替代人工拖拽）。</w:t>
      </w:r>
    </w:p>
    <w:p w14:paraId="4A98C306">
      <w:pPr>
        <w:widowControl/>
        <w:ind w:firstLine="480"/>
        <w:jc w:val="left"/>
        <w:rPr>
          <w:rFonts w:hint="eastAsia"/>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③砾幕层剥离与保存：对需开挖的区域（如基坑），先人工剥离表层砾幕层，按“分层堆放、标记原位”原则保存（如用防尘布覆盖，避免细土混入），待施工完成后按原层次回填。</w:t>
      </w:r>
    </w:p>
    <w:p w14:paraId="44D3CAD5">
      <w:pPr>
        <w:widowControl/>
        <w:ind w:firstLine="480"/>
        <w:jc w:val="left"/>
        <w:rPr>
          <w:rFonts w:hint="eastAsia"/>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④限制机械活动及控制临时用地：施工车辆必须沿预设路线行驶，严禁在非作业区碾压；施工营地应选择砾幕层较薄或已破坏区域，在松软砾幕层区域铺设临时钢板或碎石垫层，减少轮胎对地表的压强。</w:t>
      </w:r>
    </w:p>
    <w:p w14:paraId="4C6C911D">
      <w:pPr>
        <w:widowControl/>
        <w:ind w:firstLine="480"/>
        <w:jc w:val="left"/>
        <w:rPr>
          <w:rFonts w:hint="default"/>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⑤砾幕层重构：对碾压或开挖区域，采用“原砾石回填”法：将施工前保存的砾石按原厚度（误差≤2cm）均匀铺设，确保覆盖完整，恢复其抗风蚀功能；若砾石缺失，可采购周边同类砾石（粒径、颜色相近）补充，避免引入外来物质（如黏土、细沙）。施工期尽量避开结皮区域，若无法避开造成结皮破坏，对于轻度损坏的结皮，可清除表面的杂物，喷洒适量的水，促进其自我恢复；对于重度损坏的结皮，可采购与周边相似的同类砾石进行补充，以防土地沙化。</w:t>
      </w:r>
    </w:p>
    <w:p w14:paraId="295EE5EE">
      <w:pPr>
        <w:widowControl/>
        <w:ind w:firstLine="480"/>
        <w:jc w:val="left"/>
        <w:rPr>
          <w:rFonts w:hint="eastAsia"/>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⑥防风固沙辅助：对风蚀风险高的区域（如风口、坡度&gt;5°的地段），可在砾幕层表面铺设草方格（用麦草、芨芨草）或碎石网格，固定砾石和细土，待植被自然恢复后移除。</w:t>
      </w:r>
    </w:p>
    <w:p w14:paraId="77E51894">
      <w:pPr>
        <w:widowControl/>
        <w:ind w:firstLine="480"/>
        <w:jc w:val="left"/>
        <w:rPr>
          <w:rFonts w:hint="eastAsia"/>
          <w:color w:val="000000" w:themeColor="text1"/>
          <w:kern w:val="0"/>
          <w:lang w:val="en-US" w:eastAsia="zh-CN" w:bidi="ar"/>
          <w14:textFill>
            <w14:solidFill>
              <w14:schemeClr w14:val="tx1"/>
            </w14:solidFill>
          </w14:textFill>
        </w:rPr>
      </w:pPr>
      <w:r>
        <w:rPr>
          <w:rFonts w:hint="eastAsia"/>
          <w:color w:val="000000" w:themeColor="text1"/>
          <w:kern w:val="0"/>
          <w:lang w:val="en-US" w:eastAsia="zh-CN" w:bidi="ar"/>
          <w14:textFill>
            <w14:solidFill>
              <w14:schemeClr w14:val="tx1"/>
            </w14:solidFill>
          </w14:textFill>
        </w:rPr>
        <w:t>⑦植被辅助恢复：在砾幕层恢复区域，播种本地耐旱植物种子（如柽柳、骆驼刺），利用植物根系进一步固定地表，但需注意密度（避免过度覆盖影响砾幕层功能）。</w:t>
      </w:r>
    </w:p>
    <w:p w14:paraId="420C6C88">
      <w:pPr>
        <w:widowControl/>
        <w:ind w:firstLine="480"/>
        <w:jc w:val="left"/>
        <w:rPr>
          <w:color w:val="000000" w:themeColor="text1"/>
          <w14:textFill>
            <w14:solidFill>
              <w14:schemeClr w14:val="tx1"/>
            </w14:solidFill>
          </w14:textFill>
        </w:rPr>
      </w:pPr>
      <w:r>
        <w:rPr>
          <w:rFonts w:hint="eastAsia"/>
          <w:color w:val="000000" w:themeColor="text1"/>
          <w:kern w:val="0"/>
          <w:lang w:val="en-US" w:eastAsia="zh-CN" w:bidi="ar"/>
          <w14:textFill>
            <w14:solidFill>
              <w14:schemeClr w14:val="tx1"/>
            </w14:solidFill>
          </w14:textFill>
        </w:rPr>
        <w:t>7</w:t>
      </w:r>
      <w:r>
        <w:rPr>
          <w:rFonts w:hint="eastAsia" w:ascii="宋体" w:hAnsi="宋体" w:cs="宋体"/>
          <w:color w:val="000000" w:themeColor="text1"/>
          <w:kern w:val="0"/>
          <w:lang w:bidi="ar"/>
          <w14:textFill>
            <w14:solidFill>
              <w14:schemeClr w14:val="tx1"/>
            </w14:solidFill>
          </w14:textFill>
        </w:rPr>
        <w:t>）防沙治沙措施</w:t>
      </w:r>
    </w:p>
    <w:p w14:paraId="71AC6543">
      <w:pPr>
        <w:widowControl/>
        <w:ind w:firstLine="480"/>
        <w:jc w:val="left"/>
        <w:rPr>
          <w:color w:val="000000" w:themeColor="text1"/>
          <w:szCs w:val="20"/>
          <w14:textFill>
            <w14:solidFill>
              <w14:schemeClr w14:val="tx1"/>
            </w14:solidFill>
          </w14:textFill>
        </w:rPr>
      </w:pPr>
      <w:r>
        <w:rPr>
          <w:rFonts w:hint="eastAsia"/>
          <w:color w:val="000000" w:themeColor="text1"/>
          <w:szCs w:val="20"/>
          <w14:textFill>
            <w14:solidFill>
              <w14:schemeClr w14:val="tx1"/>
            </w14:solidFill>
          </w14:textFill>
        </w:rPr>
        <w:t>本项目区</w:t>
      </w:r>
      <w:r>
        <w:rPr>
          <w:rFonts w:hint="eastAsia"/>
          <w:bCs/>
          <w:color w:val="000000" w:themeColor="text1"/>
          <w14:textFill>
            <w14:solidFill>
              <w14:schemeClr w14:val="tx1"/>
            </w14:solidFill>
          </w14:textFill>
        </w:rPr>
        <w:t>属于沙化土地类型中的戈壁</w:t>
      </w:r>
      <w:r>
        <w:rPr>
          <w:rFonts w:hint="eastAsia"/>
          <w:color w:val="000000" w:themeColor="text1"/>
          <w:szCs w:val="20"/>
          <w14:textFill>
            <w14:solidFill>
              <w14:schemeClr w14:val="tx1"/>
            </w14:solidFill>
          </w14:textFill>
        </w:rPr>
        <w:t>，按照《中华人民共和国防沙治沙法》（2018年11月14日修订）有关规定以及《关于加强沙区建设项目环境影响评价工作的通知》（新环环评发〔2020〕138号）文件，在沙化土地范围内从事开发建设活动的，必须事先就该项目可能对当地及相关地区生态产生的影响进行环境影响评价，依法提交环境影响报告；环境影响报告应当包括有关防沙治沙的内容。</w:t>
      </w:r>
    </w:p>
    <w:p w14:paraId="7DB59C98">
      <w:pPr>
        <w:snapToGrid w:val="0"/>
        <w:ind w:firstLine="480"/>
        <w:rPr>
          <w:color w:val="000000" w:themeColor="text1"/>
          <w:szCs w:val="20"/>
          <w14:textFill>
            <w14:solidFill>
              <w14:schemeClr w14:val="tx1"/>
            </w14:solidFill>
          </w14:textFill>
        </w:rPr>
      </w:pPr>
      <w:r>
        <w:rPr>
          <w:rFonts w:hint="eastAsia"/>
          <w:color w:val="000000" w:themeColor="text1"/>
          <w:szCs w:val="20"/>
          <w14:textFill>
            <w14:solidFill>
              <w14:schemeClr w14:val="tx1"/>
            </w14:solidFill>
          </w14:textFill>
        </w:rPr>
        <w:t>A.</w:t>
      </w:r>
      <w:r>
        <w:rPr>
          <w:color w:val="000000" w:themeColor="text1"/>
          <w:szCs w:val="20"/>
          <w14:textFill>
            <w14:solidFill>
              <w14:schemeClr w14:val="tx1"/>
            </w14:solidFill>
          </w14:textFill>
        </w:rPr>
        <w:t>制定方案的原则：</w:t>
      </w:r>
    </w:p>
    <w:p w14:paraId="3B456ABB">
      <w:pPr>
        <w:snapToGrid w:val="0"/>
        <w:ind w:firstLine="480"/>
        <w:rPr>
          <w:color w:val="000000" w:themeColor="text1"/>
          <w:szCs w:val="20"/>
          <w14:textFill>
            <w14:solidFill>
              <w14:schemeClr w14:val="tx1"/>
            </w14:solidFill>
          </w14:textFill>
        </w:rPr>
      </w:pPr>
      <w:r>
        <w:rPr>
          <w:color w:val="000000" w:themeColor="text1"/>
          <w:szCs w:val="20"/>
          <w14:textFill>
            <w14:solidFill>
              <w14:schemeClr w14:val="tx1"/>
            </w14:solidFill>
          </w14:textFill>
        </w:rPr>
        <w:t>①预防为主，保护优先：加强对沙化土地的监测和预警，及时采取预防措施，防止沙化土地进一步扩大。</w:t>
      </w:r>
    </w:p>
    <w:p w14:paraId="711C56FB">
      <w:pPr>
        <w:snapToGrid w:val="0"/>
        <w:ind w:firstLine="480"/>
        <w:rPr>
          <w:color w:val="000000" w:themeColor="text1"/>
          <w:szCs w:val="20"/>
          <w14:textFill>
            <w14:solidFill>
              <w14:schemeClr w14:val="tx1"/>
            </w14:solidFill>
          </w14:textFill>
        </w:rPr>
      </w:pPr>
      <w:r>
        <w:rPr>
          <w:color w:val="000000" w:themeColor="text1"/>
          <w:szCs w:val="20"/>
          <w14:textFill>
            <w14:solidFill>
              <w14:schemeClr w14:val="tx1"/>
            </w14:solidFill>
          </w14:textFill>
        </w:rPr>
        <w:t>②因地制宜，分区施策：根据</w:t>
      </w:r>
      <w:r>
        <w:rPr>
          <w:rFonts w:hint="eastAsia"/>
          <w:color w:val="000000" w:themeColor="text1"/>
          <w:szCs w:val="20"/>
          <w14:textFill>
            <w14:solidFill>
              <w14:schemeClr w14:val="tx1"/>
            </w14:solidFill>
          </w14:textFill>
        </w:rPr>
        <w:t>若羌县</w:t>
      </w:r>
      <w:r>
        <w:rPr>
          <w:color w:val="000000" w:themeColor="text1"/>
          <w:szCs w:val="20"/>
          <w14:textFill>
            <w14:solidFill>
              <w14:schemeClr w14:val="tx1"/>
            </w14:solidFill>
          </w14:textFill>
        </w:rPr>
        <w:t>不同区域的自然条件和沙化程度，制定针对性的防沙治沙措施。</w:t>
      </w:r>
    </w:p>
    <w:p w14:paraId="6741CD39">
      <w:pPr>
        <w:snapToGrid w:val="0"/>
        <w:ind w:firstLine="480"/>
        <w:rPr>
          <w:color w:val="000000" w:themeColor="text1"/>
          <w:szCs w:val="20"/>
          <w14:textFill>
            <w14:solidFill>
              <w14:schemeClr w14:val="tx1"/>
            </w14:solidFill>
          </w14:textFill>
        </w:rPr>
      </w:pPr>
      <w:r>
        <w:rPr>
          <w:color w:val="000000" w:themeColor="text1"/>
          <w:szCs w:val="20"/>
          <w14:textFill>
            <w14:solidFill>
              <w14:schemeClr w14:val="tx1"/>
            </w14:solidFill>
          </w14:textFill>
        </w:rPr>
        <w:t>③科学防治，合理利用：依靠科学技术，提高防沙治沙的科学性和有效性，同时注重沙区资源的合理开发和利用。</w:t>
      </w:r>
    </w:p>
    <w:p w14:paraId="626AEF3A">
      <w:pPr>
        <w:widowControl/>
        <w:ind w:firstLine="480"/>
        <w:jc w:val="left"/>
        <w:rPr>
          <w:color w:val="000000" w:themeColor="text1"/>
          <w:szCs w:val="20"/>
          <w14:textFill>
            <w14:solidFill>
              <w14:schemeClr w14:val="tx1"/>
            </w14:solidFill>
          </w14:textFill>
        </w:rPr>
      </w:pPr>
      <w:r>
        <w:rPr>
          <w:color w:val="000000" w:themeColor="text1"/>
          <w:szCs w:val="20"/>
          <w14:textFill>
            <w14:solidFill>
              <w14:schemeClr w14:val="tx1"/>
            </w14:solidFill>
          </w14:textFill>
        </w:rPr>
        <w:t>④统筹推进，综合效益：将防沙治沙与生态保护、经济发展、民生改善相结合，实现生态效益、经济效益和社会效益的有机统一。</w:t>
      </w:r>
    </w:p>
    <w:p w14:paraId="3B68770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B.</w:t>
      </w:r>
      <w:r>
        <w:rPr>
          <w:color w:val="000000" w:themeColor="text1"/>
          <w14:textFill>
            <w14:solidFill>
              <w14:schemeClr w14:val="tx1"/>
            </w14:solidFill>
          </w14:textFill>
        </w:rPr>
        <w:t>防沙治沙分阶段治理措施</w:t>
      </w:r>
    </w:p>
    <w:p w14:paraId="31AA79FE">
      <w:pPr>
        <w:snapToGrid w:val="0"/>
        <w:ind w:left="480" w:leftChars="200" w:firstLine="0" w:firstLineChars="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①</w:t>
      </w:r>
      <w:r>
        <w:rPr>
          <w:bCs/>
          <w:color w:val="000000" w:themeColor="text1"/>
          <w14:textFill>
            <w14:solidFill>
              <w14:schemeClr w14:val="tx1"/>
            </w14:solidFill>
          </w14:textFill>
        </w:rPr>
        <w:t>塔基及施工场地区</w:t>
      </w:r>
    </w:p>
    <w:p w14:paraId="7416DF2F">
      <w:pPr>
        <w:ind w:firstLine="480"/>
        <w:rPr>
          <w:color w:val="000000" w:themeColor="text1"/>
          <w14:textFill>
            <w14:solidFill>
              <w14:schemeClr w14:val="tx1"/>
            </w14:solidFill>
          </w14:textFill>
        </w:rPr>
      </w:pPr>
      <w:r>
        <w:rPr>
          <w:color w:val="000000" w:themeColor="text1"/>
          <w14:textFill>
            <w14:solidFill>
              <w14:schemeClr w14:val="tx1"/>
            </w14:solidFill>
          </w14:textFill>
        </w:rPr>
        <w:t>施工前设置彩条旗围栏限界，施工过程中采取洒水降尘措施，并设置泥浆沉淀池，对临时堆土顶部及四周采取密目网苫盖措施，施工结束后对扰动的场地坑凹回填，进行平整、并设置草方格沙障。</w:t>
      </w:r>
    </w:p>
    <w:p w14:paraId="2C7D0D14">
      <w:pPr>
        <w:snapToGrid w:val="0"/>
        <w:ind w:left="480" w:leftChars="200" w:firstLine="0" w:firstLineChars="0"/>
        <w:rPr>
          <w:bCs/>
          <w:color w:val="000000" w:themeColor="text1"/>
          <w14:textFill>
            <w14:solidFill>
              <w14:schemeClr w14:val="tx1"/>
            </w14:solidFill>
          </w14:textFill>
        </w:rPr>
      </w:pPr>
      <w:bookmarkStart w:id="1098" w:name="_Hlk196920843"/>
      <w:r>
        <w:rPr>
          <w:rFonts w:hint="eastAsia"/>
          <w:bCs/>
          <w:color w:val="000000" w:themeColor="text1"/>
          <w14:textFill>
            <w14:solidFill>
              <w14:schemeClr w14:val="tx1"/>
            </w14:solidFill>
          </w14:textFill>
        </w:rPr>
        <w:t>a.</w:t>
      </w:r>
      <w:r>
        <w:rPr>
          <w:bCs/>
          <w:color w:val="000000" w:themeColor="text1"/>
          <w:lang w:val="zh-CN"/>
          <w14:textFill>
            <w14:solidFill>
              <w14:schemeClr w14:val="tx1"/>
            </w14:solidFill>
          </w14:textFill>
        </w:rPr>
        <w:t>工程措施</w:t>
      </w:r>
    </w:p>
    <w:p w14:paraId="546B8D9C">
      <w:pPr>
        <w:snapToGrid w:val="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草方格沙障</w:t>
      </w:r>
    </w:p>
    <w:p w14:paraId="3D246F3E">
      <w:pPr>
        <w:snapToGrid w:val="0"/>
        <w:rPr>
          <w:color w:val="000000" w:themeColor="text1"/>
          <w14:textFill>
            <w14:solidFill>
              <w14:schemeClr w14:val="tx1"/>
            </w14:solidFill>
          </w14:textFill>
        </w:rPr>
      </w:pPr>
      <w:r>
        <w:rPr>
          <w:rFonts w:hint="eastAsia"/>
          <w:bCs/>
          <w:color w:val="000000" w:themeColor="text1"/>
          <w:lang w:val="en-US" w:eastAsia="zh-CN"/>
          <w14:textFill>
            <w14:solidFill>
              <w14:schemeClr w14:val="tx1"/>
            </w14:solidFill>
          </w14:textFill>
        </w:rPr>
        <w:t>本项目沿线有戈壁和少部分沙丘，</w:t>
      </w:r>
      <w:r>
        <w:rPr>
          <w:color w:val="000000" w:themeColor="text1"/>
          <w14:textFill>
            <w14:solidFill>
              <w14:schemeClr w14:val="tx1"/>
            </w14:solidFill>
          </w14:textFill>
        </w:rPr>
        <w:t>主体设计于沙地区域塔基区及周边扰动强度较高区域设计均布设草方格沙障措施，内部小方格规格为1m×1m，出露高度约0.18m~0.20m左右，沙埋部分不少于20cm，草方格沙障可起到良好的防风固沙水土保持效果。主体设计的草方格沙障布设面积共计3000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39CC61A2">
      <w:pPr>
        <w:snapToGrid w:val="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土地平整</w:t>
      </w:r>
    </w:p>
    <w:p w14:paraId="70CA61F5">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工程完工后，对扰动的场地坑凹回填，进行平整，用于自然恢复。</w:t>
      </w:r>
    </w:p>
    <w:p w14:paraId="1F1CF99A">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经统计，塔基及施工场地区土地平整面积共计</w:t>
      </w:r>
      <w:r>
        <w:rPr>
          <w:rFonts w:hint="eastAsia"/>
          <w:color w:val="000000" w:themeColor="text1"/>
          <w:lang w:val="en-US" w:eastAsia="zh-CN"/>
          <w14:textFill>
            <w14:solidFill>
              <w14:schemeClr w14:val="tx1"/>
            </w14:solidFill>
          </w14:textFill>
        </w:rPr>
        <w:t>10.84</w:t>
      </w:r>
      <w:r>
        <w:rPr>
          <w:color w:val="000000" w:themeColor="text1"/>
          <w14:textFill>
            <w14:solidFill>
              <w14:schemeClr w14:val="tx1"/>
            </w14:solidFill>
          </w14:textFill>
        </w:rPr>
        <w:t>hm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（扣除塔基硬化区域面积）。</w:t>
      </w:r>
    </w:p>
    <w:p w14:paraId="35A05DB1">
      <w:pPr>
        <w:snapToGrid w:val="0"/>
        <w:ind w:firstLine="480"/>
        <w:rPr>
          <w:bCs/>
          <w:color w:val="000000" w:themeColor="text1"/>
          <w:lang w:val="zh-CN"/>
          <w14:textFill>
            <w14:solidFill>
              <w14:schemeClr w14:val="tx1"/>
            </w14:solidFill>
          </w14:textFill>
        </w:rPr>
      </w:pPr>
      <w:r>
        <w:rPr>
          <w:rFonts w:hint="eastAsia"/>
          <w:bCs/>
          <w:color w:val="000000" w:themeColor="text1"/>
          <w14:textFill>
            <w14:solidFill>
              <w14:schemeClr w14:val="tx1"/>
            </w14:solidFill>
          </w14:textFill>
        </w:rPr>
        <w:t>b.</w:t>
      </w:r>
      <w:r>
        <w:rPr>
          <w:bCs/>
          <w:color w:val="000000" w:themeColor="text1"/>
          <w:lang w:val="zh-CN"/>
          <w14:textFill>
            <w14:solidFill>
              <w14:schemeClr w14:val="tx1"/>
            </w14:solidFill>
          </w14:textFill>
        </w:rPr>
        <w:t>临时措施</w:t>
      </w:r>
    </w:p>
    <w:p w14:paraId="6437137C">
      <w:pPr>
        <w:snapToGrid w:val="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泥浆沉淀池</w:t>
      </w:r>
    </w:p>
    <w:p w14:paraId="3AD93C8B">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输电线路部分地段需采用灌注桩基础，灌注桩基础施工时会产生钻渣泥浆，主体设计考虑在施工过程中采取泥浆沉淀池措施对塔基基础产生的钻渣进行沉淀处理。泥浆沉淀池采用半挖半填方式，每个泥浆沉淀池地下部分尺寸为10m（长）×10m（宽）×2m（深），泥浆沉淀池可起到良好的防风固沙水土保持效果。</w:t>
      </w:r>
      <w:r>
        <w:rPr>
          <w:color w:val="000000" w:themeColor="text1"/>
          <w:lang w:val="en-US" w:eastAsia="zh-CN"/>
          <w14:textFill>
            <w14:solidFill>
              <w14:schemeClr w14:val="tx1"/>
            </w14:solidFill>
          </w14:textFill>
        </w:rPr>
        <w:t>泥浆沉淀池数量共计</w:t>
      </w:r>
      <w:r>
        <w:rPr>
          <w:rFonts w:hint="default"/>
          <w:color w:val="000000" w:themeColor="text1"/>
          <w:lang w:val="en-US" w:eastAsia="zh-CN"/>
          <w14:textFill>
            <w14:solidFill>
              <w14:schemeClr w14:val="tx1"/>
            </w14:solidFill>
          </w14:textFill>
        </w:rPr>
        <w:t>12</w:t>
      </w:r>
      <w:r>
        <w:rPr>
          <w:rFonts w:hint="eastAsia"/>
          <w:color w:val="000000" w:themeColor="text1"/>
          <w:lang w:val="en-US" w:eastAsia="zh-CN"/>
          <w14:textFill>
            <w14:solidFill>
              <w14:schemeClr w14:val="tx1"/>
            </w14:solidFill>
          </w14:textFill>
        </w:rPr>
        <w:t>座。</w:t>
      </w:r>
    </w:p>
    <w:p w14:paraId="26E1E3BD">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彩条旗限界</w:t>
      </w:r>
    </w:p>
    <w:p w14:paraId="42EA9EB4">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施工前在场地边界设置彩条旗围栏限定施工场地，可控制机械及人员扰动施工场地以外的区域。单个塔基平均设置彩旗绳围栏60m。</w:t>
      </w:r>
    </w:p>
    <w:p w14:paraId="3DD73F73">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经统计，塔基及施工场地区彩条旗限界总长度共计约5160m。</w:t>
      </w:r>
    </w:p>
    <w:p w14:paraId="05A9F360">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密目网苫盖</w:t>
      </w:r>
    </w:p>
    <w:p w14:paraId="63EA601F">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输电线路塔基区开挖的土方需临时堆置在塔基临时施工场地内，待完工后再进行回填，施工临时堆土期间需对所有新建塔位临时堆土顶部及四周全面苫盖密目网，密目网边缘用重物压实。输电线路塔基平均每基新建塔位苫盖密目网面积约500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31767295">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经统计，塔基及施工场地区密目网苫盖面积共计约4</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000m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2816987F">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洒水降尘</w:t>
      </w:r>
    </w:p>
    <w:p w14:paraId="05E4F5DD">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为有效防尘降尘，施工期间需对输电线路塔基及施工场地扰动区域采取洒水降尘措施，施工洒水高峰期按90天计算，经统计，塔基及施工场地区洒水降尘量共计约5030m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bookmarkEnd w:id="1098"/>
    </w:p>
    <w:p w14:paraId="3BB8DBD4">
      <w:pPr>
        <w:snapToGrid w:val="0"/>
        <w:ind w:firstLine="480"/>
        <w:rPr>
          <w:b/>
          <w:color w:val="000000" w:themeColor="text1"/>
          <w:lang w:val="zh-CN"/>
          <w14:textFill>
            <w14:solidFill>
              <w14:schemeClr w14:val="tx1"/>
            </w14:solidFill>
          </w14:textFill>
        </w:rPr>
      </w:pPr>
      <w:r>
        <w:rPr>
          <w:rFonts w:hint="eastAsia"/>
          <w:bCs/>
          <w:color w:val="000000" w:themeColor="text1"/>
          <w14:textFill>
            <w14:solidFill>
              <w14:schemeClr w14:val="tx1"/>
            </w14:solidFill>
          </w14:textFill>
        </w:rPr>
        <w:t>②</w:t>
      </w:r>
      <w:r>
        <w:rPr>
          <w:bCs/>
          <w:color w:val="000000" w:themeColor="text1"/>
          <w:lang w:val="zh-CN"/>
          <w14:textFill>
            <w14:solidFill>
              <w14:schemeClr w14:val="tx1"/>
            </w14:solidFill>
          </w14:textFill>
        </w:rPr>
        <w:t>牵张场地区</w:t>
      </w:r>
    </w:p>
    <w:p w14:paraId="3DD624DD">
      <w:pPr>
        <w:ind w:firstLine="480"/>
        <w:rPr>
          <w:color w:val="000000" w:themeColor="text1"/>
          <w14:textFill>
            <w14:solidFill>
              <w14:schemeClr w14:val="tx1"/>
            </w14:solidFill>
          </w14:textFill>
        </w:rPr>
      </w:pPr>
      <w:r>
        <w:rPr>
          <w:color w:val="000000" w:themeColor="text1"/>
          <w14:textFill>
            <w14:solidFill>
              <w14:schemeClr w14:val="tx1"/>
            </w14:solidFill>
          </w14:textFill>
        </w:rPr>
        <w:t>施工前设置彩条旗围栏限界，施工过程中采取洒水降尘措施，施工结束后对扰动的场地坑凹回填，进行平整。</w:t>
      </w:r>
    </w:p>
    <w:p w14:paraId="5B510BC0">
      <w:pPr>
        <w:snapToGrid w:val="0"/>
        <w:ind w:left="480" w:leftChars="200" w:firstLine="0" w:firstLineChars="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a.</w:t>
      </w:r>
      <w:r>
        <w:rPr>
          <w:bCs/>
          <w:color w:val="000000" w:themeColor="text1"/>
          <w:lang w:val="zh-CN"/>
          <w14:textFill>
            <w14:solidFill>
              <w14:schemeClr w14:val="tx1"/>
            </w14:solidFill>
          </w14:textFill>
        </w:rPr>
        <w:t>工程措施</w:t>
      </w:r>
    </w:p>
    <w:p w14:paraId="4F3C99F1">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土地平整</w:t>
      </w:r>
    </w:p>
    <w:p w14:paraId="62EAA08B">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工程完工后，对扰动的场地坑凹回填，进行平整，用于自然恢复。</w:t>
      </w:r>
    </w:p>
    <w:p w14:paraId="5E1DE736">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经统计，牵张场地区土地平整面积共计</w:t>
      </w:r>
      <w:r>
        <w:rPr>
          <w:rFonts w:hint="eastAsia"/>
          <w:color w:val="000000" w:themeColor="text1"/>
          <w:lang w:val="en-US" w:eastAsia="zh-CN"/>
          <w14:textFill>
            <w14:solidFill>
              <w14:schemeClr w14:val="tx1"/>
            </w14:solidFill>
          </w14:textFill>
        </w:rPr>
        <w:t>11.24</w:t>
      </w:r>
      <w:r>
        <w:rPr>
          <w:color w:val="000000" w:themeColor="text1"/>
          <w14:textFill>
            <w14:solidFill>
              <w14:schemeClr w14:val="tx1"/>
            </w14:solidFill>
          </w14:textFill>
        </w:rPr>
        <w:t>hm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3C3BDFFA">
      <w:pPr>
        <w:snapToGrid w:val="0"/>
        <w:ind w:left="480" w:leftChars="200" w:firstLine="0" w:firstLineChars="0"/>
        <w:rPr>
          <w:b/>
          <w:color w:val="000000" w:themeColor="text1"/>
          <w:lang w:val="zh-CN"/>
          <w14:textFill>
            <w14:solidFill>
              <w14:schemeClr w14:val="tx1"/>
            </w14:solidFill>
          </w14:textFill>
        </w:rPr>
      </w:pPr>
      <w:r>
        <w:rPr>
          <w:rFonts w:hint="eastAsia"/>
          <w:bCs/>
          <w:color w:val="000000" w:themeColor="text1"/>
          <w14:textFill>
            <w14:solidFill>
              <w14:schemeClr w14:val="tx1"/>
            </w14:solidFill>
          </w14:textFill>
        </w:rPr>
        <w:t>b.</w:t>
      </w:r>
      <w:r>
        <w:rPr>
          <w:bCs/>
          <w:color w:val="000000" w:themeColor="text1"/>
          <w:lang w:val="zh-CN"/>
          <w14:textFill>
            <w14:solidFill>
              <w14:schemeClr w14:val="tx1"/>
            </w14:solidFill>
          </w14:textFill>
        </w:rPr>
        <w:t>临时措施</w:t>
      </w:r>
    </w:p>
    <w:p w14:paraId="600C6019">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彩条旗限界</w:t>
      </w:r>
    </w:p>
    <w:p w14:paraId="55CF7699">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输电线路牵张场地区施工前在场地边界三面设置彩条旗限界限定施工场地，可控制机械及人员扰动施工场地以外的区域。单个牵张场平均设置彩条旗限界约195m。</w:t>
      </w:r>
    </w:p>
    <w:p w14:paraId="1305AB6B">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经统计，牵张场地区彩条旗限界总长度共计约2340m。</w:t>
      </w:r>
    </w:p>
    <w:p w14:paraId="5B8DE78F">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洒水降尘</w:t>
      </w:r>
    </w:p>
    <w:p w14:paraId="6DF941EC">
      <w:pPr>
        <w:snapToGrid w:val="0"/>
        <w:ind w:firstLine="480"/>
        <w:rPr>
          <w:color w:val="000000" w:themeColor="text1"/>
          <w14:textFill>
            <w14:solidFill>
              <w14:schemeClr w14:val="tx1"/>
            </w14:solidFill>
          </w14:textFill>
        </w:rPr>
      </w:pPr>
      <w:r>
        <w:rPr>
          <w:snapToGrid w:val="0"/>
          <w:color w:val="000000" w:themeColor="text1"/>
          <w14:textFill>
            <w14:solidFill>
              <w14:schemeClr w14:val="tx1"/>
            </w14:solidFill>
          </w14:textFill>
        </w:rPr>
        <w:t>为有效防尘降尘，施工期间需对</w:t>
      </w:r>
      <w:r>
        <w:rPr>
          <w:color w:val="000000" w:themeColor="text1"/>
          <w:lang w:bidi="ar"/>
          <w14:textFill>
            <w14:solidFill>
              <w14:schemeClr w14:val="tx1"/>
            </w14:solidFill>
          </w14:textFill>
        </w:rPr>
        <w:t>输电线路</w:t>
      </w:r>
      <w:r>
        <w:rPr>
          <w:color w:val="000000" w:themeColor="text1"/>
          <w14:textFill>
            <w14:solidFill>
              <w14:schemeClr w14:val="tx1"/>
            </w14:solidFill>
          </w14:textFill>
        </w:rPr>
        <w:t>牵张场</w:t>
      </w:r>
      <w:r>
        <w:rPr>
          <w:snapToGrid w:val="0"/>
          <w:color w:val="000000" w:themeColor="text1"/>
          <w14:textFill>
            <w14:solidFill>
              <w14:schemeClr w14:val="tx1"/>
            </w14:solidFill>
          </w14:textFill>
        </w:rPr>
        <w:t>扰动区域采取洒水降尘措施，施工洒水高峰期按30天计算，</w:t>
      </w:r>
      <w:r>
        <w:rPr>
          <w:color w:val="000000" w:themeColor="text1"/>
          <w14:textFill>
            <w14:solidFill>
              <w14:schemeClr w14:val="tx1"/>
            </w14:solidFill>
          </w14:textFill>
        </w:rPr>
        <w:t>经统计，塔基及施工场地区洒水降尘量共计约432m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p>
    <w:p w14:paraId="0E62E6EF">
      <w:pPr>
        <w:snapToGrid w:val="0"/>
        <w:ind w:left="480" w:leftChars="200" w:firstLine="0" w:firstLineChars="0"/>
        <w:rPr>
          <w:bCs/>
          <w:color w:val="000000" w:themeColor="text1"/>
          <w:lang w:val="zh-CN"/>
          <w14:textFill>
            <w14:solidFill>
              <w14:schemeClr w14:val="tx1"/>
            </w14:solidFill>
          </w14:textFill>
        </w:rPr>
      </w:pPr>
      <w:r>
        <w:rPr>
          <w:rFonts w:hint="eastAsia"/>
          <w:bCs/>
          <w:color w:val="000000" w:themeColor="text1"/>
          <w14:textFill>
            <w14:solidFill>
              <w14:schemeClr w14:val="tx1"/>
            </w14:solidFill>
          </w14:textFill>
        </w:rPr>
        <w:t>③</w:t>
      </w:r>
      <w:r>
        <w:rPr>
          <w:bCs/>
          <w:color w:val="000000" w:themeColor="text1"/>
          <w:lang w:val="zh-CN"/>
          <w14:textFill>
            <w14:solidFill>
              <w14:schemeClr w14:val="tx1"/>
            </w14:solidFill>
          </w14:textFill>
        </w:rPr>
        <w:t>跨越场地区</w:t>
      </w:r>
    </w:p>
    <w:p w14:paraId="03421D65">
      <w:pPr>
        <w:ind w:firstLine="480"/>
        <w:rPr>
          <w:color w:val="000000" w:themeColor="text1"/>
          <w14:textFill>
            <w14:solidFill>
              <w14:schemeClr w14:val="tx1"/>
            </w14:solidFill>
          </w14:textFill>
        </w:rPr>
      </w:pPr>
      <w:bookmarkStart w:id="1099" w:name="_Hlk196983943"/>
      <w:r>
        <w:rPr>
          <w:color w:val="000000" w:themeColor="text1"/>
          <w14:textFill>
            <w14:solidFill>
              <w14:schemeClr w14:val="tx1"/>
            </w14:solidFill>
          </w14:textFill>
        </w:rPr>
        <w:t>施工前设置彩条旗围栏限界，施工结束后对扰动的场地坑凹回填，进行平整。</w:t>
      </w:r>
      <w:bookmarkEnd w:id="1099"/>
    </w:p>
    <w:p w14:paraId="1A6E5282">
      <w:pPr>
        <w:snapToGrid w:val="0"/>
        <w:ind w:left="480" w:leftChars="200" w:firstLine="0" w:firstLineChars="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a.</w:t>
      </w:r>
      <w:r>
        <w:rPr>
          <w:bCs/>
          <w:color w:val="000000" w:themeColor="text1"/>
          <w:lang w:val="zh-CN"/>
          <w14:textFill>
            <w14:solidFill>
              <w14:schemeClr w14:val="tx1"/>
            </w14:solidFill>
          </w14:textFill>
        </w:rPr>
        <w:t>工程措施</w:t>
      </w:r>
    </w:p>
    <w:p w14:paraId="155FFC27">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土地平整</w:t>
      </w:r>
    </w:p>
    <w:p w14:paraId="1E59341E">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工程完工后，对扰动的场地坑凹回填，进行平整，用于自然恢复。</w:t>
      </w:r>
    </w:p>
    <w:p w14:paraId="5F313578">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经统计，跨越场地区土地平整面积共计</w:t>
      </w:r>
      <w:r>
        <w:rPr>
          <w:rFonts w:hint="eastAsia"/>
          <w:color w:val="000000" w:themeColor="text1"/>
          <w14:textFill>
            <w14:solidFill>
              <w14:schemeClr w14:val="tx1"/>
            </w14:solidFill>
          </w14:textFill>
        </w:rPr>
        <w:t>1.68</w:t>
      </w:r>
      <w:r>
        <w:rPr>
          <w:color w:val="000000" w:themeColor="text1"/>
          <w14:textFill>
            <w14:solidFill>
              <w14:schemeClr w14:val="tx1"/>
            </w14:solidFill>
          </w14:textFill>
        </w:rPr>
        <w:t>hm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7DDD1CE0">
      <w:pPr>
        <w:snapToGrid w:val="0"/>
        <w:ind w:left="480" w:leftChars="200" w:firstLine="0" w:firstLineChars="0"/>
        <w:rPr>
          <w:bCs/>
          <w:color w:val="000000" w:themeColor="text1"/>
          <w:lang w:val="zh-CN"/>
          <w14:textFill>
            <w14:solidFill>
              <w14:schemeClr w14:val="tx1"/>
            </w14:solidFill>
          </w14:textFill>
        </w:rPr>
      </w:pPr>
      <w:r>
        <w:rPr>
          <w:rFonts w:hint="eastAsia"/>
          <w:bCs/>
          <w:color w:val="000000" w:themeColor="text1"/>
          <w14:textFill>
            <w14:solidFill>
              <w14:schemeClr w14:val="tx1"/>
            </w14:solidFill>
          </w14:textFill>
        </w:rPr>
        <w:t>b.</w:t>
      </w:r>
      <w:r>
        <w:rPr>
          <w:bCs/>
          <w:color w:val="000000" w:themeColor="text1"/>
          <w:lang w:val="zh-CN"/>
          <w14:textFill>
            <w14:solidFill>
              <w14:schemeClr w14:val="tx1"/>
            </w14:solidFill>
          </w14:textFill>
        </w:rPr>
        <w:t>临时措施</w:t>
      </w:r>
    </w:p>
    <w:p w14:paraId="26A9A6E0">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彩条旗限界</w:t>
      </w:r>
    </w:p>
    <w:p w14:paraId="5573AF9F">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输电线路跨越场地区施工前在场地边界三面设置彩条旗限界限定施工场地，可控制机械及人员扰动施工场地以外的区域。单个跨越场平均设置彩条旗限界约60m。</w:t>
      </w:r>
    </w:p>
    <w:p w14:paraId="52255535">
      <w:pPr>
        <w:snapToGrid w:val="0"/>
        <w:ind w:left="480" w:leftChars="200" w:firstLine="0" w:firstLineChars="0"/>
        <w:rPr>
          <w:bCs/>
          <w:color w:val="000000" w:themeColor="text1"/>
          <w:lang w:val="zh-CN"/>
          <w14:textFill>
            <w14:solidFill>
              <w14:schemeClr w14:val="tx1"/>
            </w14:solidFill>
          </w14:textFill>
        </w:rPr>
      </w:pPr>
      <w:r>
        <w:rPr>
          <w:rFonts w:hint="eastAsia"/>
          <w:bCs/>
          <w:color w:val="000000" w:themeColor="text1"/>
          <w14:textFill>
            <w14:solidFill>
              <w14:schemeClr w14:val="tx1"/>
            </w14:solidFill>
          </w14:textFill>
        </w:rPr>
        <w:t>④</w:t>
      </w:r>
      <w:r>
        <w:rPr>
          <w:bCs/>
          <w:color w:val="000000" w:themeColor="text1"/>
          <w:lang w:val="zh-CN"/>
          <w14:textFill>
            <w14:solidFill>
              <w14:schemeClr w14:val="tx1"/>
            </w14:solidFill>
          </w14:textFill>
        </w:rPr>
        <w:t>施工道路区</w:t>
      </w:r>
    </w:p>
    <w:p w14:paraId="7D42A20D">
      <w:pPr>
        <w:ind w:firstLine="480"/>
        <w:rPr>
          <w:color w:val="000000" w:themeColor="text1"/>
          <w14:textFill>
            <w14:solidFill>
              <w14:schemeClr w14:val="tx1"/>
            </w14:solidFill>
          </w14:textFill>
        </w:rPr>
      </w:pPr>
      <w:r>
        <w:rPr>
          <w:color w:val="000000" w:themeColor="text1"/>
          <w14:textFill>
            <w14:solidFill>
              <w14:schemeClr w14:val="tx1"/>
            </w14:solidFill>
          </w14:textFill>
        </w:rPr>
        <w:t>输电线路施工道路施工期间需在两侧布设彩条旗限界措施，并定期洒水降尘。施工结束后全面实施土地平整措施恢复迹地。</w:t>
      </w:r>
    </w:p>
    <w:p w14:paraId="004FB7B9">
      <w:pPr>
        <w:snapToGrid w:val="0"/>
        <w:ind w:left="480" w:leftChars="200" w:firstLine="0" w:firstLineChars="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a.</w:t>
      </w:r>
      <w:r>
        <w:rPr>
          <w:bCs/>
          <w:color w:val="000000" w:themeColor="text1"/>
          <w:lang w:val="zh-CN"/>
          <w14:textFill>
            <w14:solidFill>
              <w14:schemeClr w14:val="tx1"/>
            </w14:solidFill>
          </w14:textFill>
        </w:rPr>
        <w:t>工程措施</w:t>
      </w:r>
    </w:p>
    <w:p w14:paraId="0D47F65F">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土地平整</w:t>
      </w:r>
    </w:p>
    <w:p w14:paraId="1CC35CE7">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工程完工后，对扰动的场地坑凹回填，进行平整，用于自然恢复。</w:t>
      </w:r>
    </w:p>
    <w:p w14:paraId="0DCFC93A">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经统计，施工道路区土地平整面积共计</w:t>
      </w:r>
      <w:r>
        <w:rPr>
          <w:rFonts w:hint="eastAsia"/>
          <w:color w:val="000000" w:themeColor="text1"/>
          <w:lang w:val="en-US" w:eastAsia="zh-CN"/>
          <w14:textFill>
            <w14:solidFill>
              <w14:schemeClr w14:val="tx1"/>
            </w14:solidFill>
          </w14:textFill>
        </w:rPr>
        <w:t>9.54</w:t>
      </w:r>
      <w:r>
        <w:rPr>
          <w:color w:val="000000" w:themeColor="text1"/>
          <w14:textFill>
            <w14:solidFill>
              <w14:schemeClr w14:val="tx1"/>
            </w14:solidFill>
          </w14:textFill>
        </w:rPr>
        <w:t>hm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w:t>
      </w:r>
    </w:p>
    <w:p w14:paraId="77676CF4">
      <w:pPr>
        <w:snapToGrid w:val="0"/>
        <w:ind w:left="480" w:leftChars="200" w:firstLine="0" w:firstLineChars="0"/>
        <w:rPr>
          <w:bCs/>
          <w:color w:val="000000" w:themeColor="text1"/>
          <w:lang w:val="zh-CN"/>
          <w14:textFill>
            <w14:solidFill>
              <w14:schemeClr w14:val="tx1"/>
            </w14:solidFill>
          </w14:textFill>
        </w:rPr>
      </w:pPr>
      <w:r>
        <w:rPr>
          <w:rFonts w:hint="eastAsia"/>
          <w:bCs/>
          <w:color w:val="000000" w:themeColor="text1"/>
          <w14:textFill>
            <w14:solidFill>
              <w14:schemeClr w14:val="tx1"/>
            </w14:solidFill>
          </w14:textFill>
        </w:rPr>
        <w:t>b.</w:t>
      </w:r>
      <w:r>
        <w:rPr>
          <w:bCs/>
          <w:color w:val="000000" w:themeColor="text1"/>
          <w:lang w:val="zh-CN"/>
          <w14:textFill>
            <w14:solidFill>
              <w14:schemeClr w14:val="tx1"/>
            </w14:solidFill>
          </w14:textFill>
        </w:rPr>
        <w:t>临时措施</w:t>
      </w:r>
    </w:p>
    <w:p w14:paraId="55CBBBA5">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彩条旗限界</w:t>
      </w:r>
    </w:p>
    <w:p w14:paraId="03EA99DD">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输电线路施工道路区施工前在道路两侧设置彩条旗限界限定车辆通行扰动范围。</w:t>
      </w:r>
    </w:p>
    <w:p w14:paraId="5A1D5C7F">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经统计，跨越场地区彩条旗限界总长度共计约34600m。</w:t>
      </w:r>
    </w:p>
    <w:p w14:paraId="33724A3B">
      <w:pPr>
        <w:snapToGrid w:val="0"/>
        <w:ind w:firstLine="480"/>
        <w:rPr>
          <w:color w:val="000000" w:themeColor="text1"/>
          <w:lang w:val="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洒水降尘</w:t>
      </w:r>
    </w:p>
    <w:p w14:paraId="429687F5">
      <w:pPr>
        <w:snapToGrid w:val="0"/>
        <w:ind w:firstLine="480"/>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为有效防尘降尘，施工期间需对</w:t>
      </w:r>
      <w:r>
        <w:rPr>
          <w:color w:val="000000" w:themeColor="text1"/>
          <w:lang w:bidi="ar"/>
          <w14:textFill>
            <w14:solidFill>
              <w14:schemeClr w14:val="tx1"/>
            </w14:solidFill>
          </w14:textFill>
        </w:rPr>
        <w:t>输电线路</w:t>
      </w:r>
      <w:r>
        <w:rPr>
          <w:color w:val="000000" w:themeColor="text1"/>
          <w14:textFill>
            <w14:solidFill>
              <w14:schemeClr w14:val="tx1"/>
            </w14:solidFill>
          </w14:textFill>
        </w:rPr>
        <w:t>施工道路</w:t>
      </w:r>
      <w:r>
        <w:rPr>
          <w:snapToGrid w:val="0"/>
          <w:color w:val="000000" w:themeColor="text1"/>
          <w14:textFill>
            <w14:solidFill>
              <w14:schemeClr w14:val="tx1"/>
            </w14:solidFill>
          </w14:textFill>
        </w:rPr>
        <w:t>扰动区域采取洒水降尘措施，施工洒水高峰期按120天计算，</w:t>
      </w:r>
      <w:r>
        <w:rPr>
          <w:color w:val="000000" w:themeColor="text1"/>
          <w14:textFill>
            <w14:solidFill>
              <w14:schemeClr w14:val="tx1"/>
            </w14:solidFill>
          </w14:textFill>
        </w:rPr>
        <w:t>经统计，塔基及施工场地区洒水降尘量共计约5030m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p>
    <w:p w14:paraId="23EAA9A2">
      <w:pPr>
        <w:snapToGrid w:val="0"/>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D.</w:t>
      </w:r>
      <w:r>
        <w:rPr>
          <w:snapToGrid w:val="0"/>
          <w:color w:val="000000" w:themeColor="text1"/>
          <w14:textFill>
            <w14:solidFill>
              <w14:schemeClr w14:val="tx1"/>
            </w14:solidFill>
          </w14:textFill>
        </w:rPr>
        <w:t>实施计划（2025-20</w:t>
      </w:r>
      <w:r>
        <w:rPr>
          <w:rFonts w:hint="eastAsia"/>
          <w:snapToGrid w:val="0"/>
          <w:color w:val="000000" w:themeColor="text1"/>
          <w14:textFill>
            <w14:solidFill>
              <w14:schemeClr w14:val="tx1"/>
            </w14:solidFill>
          </w14:textFill>
        </w:rPr>
        <w:t>26</w:t>
      </w:r>
      <w:r>
        <w:rPr>
          <w:snapToGrid w:val="0"/>
          <w:color w:val="000000" w:themeColor="text1"/>
          <w14:textFill>
            <w14:solidFill>
              <w14:schemeClr w14:val="tx1"/>
            </w14:solidFill>
          </w14:textFill>
        </w:rPr>
        <w:t>年）</w:t>
      </w:r>
    </w:p>
    <w:p w14:paraId="7C7A6757">
      <w:pPr>
        <w:snapToGrid w:val="0"/>
        <w:ind w:firstLine="480"/>
        <w:rPr>
          <w:color w:val="000000" w:themeColor="text1"/>
          <w:szCs w:val="20"/>
          <w14:textFill>
            <w14:solidFill>
              <w14:schemeClr w14:val="tx1"/>
            </w14:solidFill>
          </w14:textFill>
        </w:rPr>
      </w:pPr>
      <w:r>
        <w:rPr>
          <w:rFonts w:hint="eastAsia"/>
          <w:color w:val="000000" w:themeColor="text1"/>
          <w:szCs w:val="20"/>
          <w14:textFill>
            <w14:solidFill>
              <w14:schemeClr w14:val="tx1"/>
            </w14:solidFill>
          </w14:textFill>
        </w:rPr>
        <w:t>根据上述防沙治沙目标，以202</w:t>
      </w:r>
      <w:r>
        <w:rPr>
          <w:rFonts w:hint="eastAsia"/>
          <w:color w:val="000000" w:themeColor="text1"/>
          <w:szCs w:val="20"/>
          <w:lang w:val="en-US" w:eastAsia="zh-CN"/>
          <w14:textFill>
            <w14:solidFill>
              <w14:schemeClr w14:val="tx1"/>
            </w14:solidFill>
          </w14:textFill>
        </w:rPr>
        <w:t>6</w:t>
      </w:r>
      <w:r>
        <w:rPr>
          <w:rFonts w:hint="eastAsia"/>
          <w:color w:val="000000" w:themeColor="text1"/>
          <w:szCs w:val="20"/>
          <w14:textFill>
            <w14:solidFill>
              <w14:schemeClr w14:val="tx1"/>
            </w14:solidFill>
          </w14:textFill>
        </w:rPr>
        <w:t>-202</w:t>
      </w:r>
      <w:r>
        <w:rPr>
          <w:rFonts w:hint="eastAsia"/>
          <w:color w:val="000000" w:themeColor="text1"/>
          <w:szCs w:val="20"/>
          <w:lang w:val="en-US" w:eastAsia="zh-CN"/>
          <w14:textFill>
            <w14:solidFill>
              <w14:schemeClr w14:val="tx1"/>
            </w14:solidFill>
          </w14:textFill>
        </w:rPr>
        <w:t>8</w:t>
      </w:r>
      <w:r>
        <w:rPr>
          <w:rFonts w:hint="eastAsia"/>
          <w:color w:val="000000" w:themeColor="text1"/>
          <w:szCs w:val="20"/>
          <w14:textFill>
            <w14:solidFill>
              <w14:schemeClr w14:val="tx1"/>
            </w14:solidFill>
          </w14:textFill>
        </w:rPr>
        <w:t>年为期限提出防沙治沙分阶段治理措施及实施计划，具体见下表：</w:t>
      </w:r>
    </w:p>
    <w:p w14:paraId="14F920CA">
      <w:pPr>
        <w:ind w:firstLine="422"/>
        <w:jc w:val="center"/>
        <w:rPr>
          <w:b/>
          <w:bCs/>
          <w:color w:val="000000" w:themeColor="text1"/>
          <w:sz w:val="21"/>
          <w:szCs w:val="21"/>
          <w14:textFill>
            <w14:solidFill>
              <w14:schemeClr w14:val="tx1"/>
            </w14:solidFill>
          </w14:textFill>
        </w:rPr>
      </w:pPr>
      <w:bookmarkStart w:id="1100" w:name="_Ref482286536"/>
      <w:r>
        <w:rPr>
          <w:b/>
          <w:bCs/>
          <w:color w:val="000000" w:themeColor="text1"/>
          <w:sz w:val="21"/>
          <w:szCs w:val="21"/>
          <w14:textFill>
            <w14:solidFill>
              <w14:schemeClr w14:val="tx1"/>
            </w14:solidFill>
          </w14:textFill>
        </w:rPr>
        <w:t>表</w:t>
      </w:r>
      <w:r>
        <w:rPr>
          <w:rFonts w:hint="eastAsia"/>
          <w:b/>
          <w:bCs/>
          <w:color w:val="000000" w:themeColor="text1"/>
          <w:sz w:val="21"/>
          <w:szCs w:val="21"/>
          <w14:textFill>
            <w14:solidFill>
              <w14:schemeClr w14:val="tx1"/>
            </w14:solidFill>
          </w14:textFill>
        </w:rPr>
        <w:t>7-1</w:t>
      </w:r>
      <w:r>
        <w:rPr>
          <w:b/>
          <w:bCs/>
          <w:color w:val="000000" w:themeColor="text1"/>
          <w:sz w:val="21"/>
          <w:szCs w:val="21"/>
          <w14:textFill>
            <w14:solidFill>
              <w14:schemeClr w14:val="tx1"/>
            </w14:solidFill>
          </w14:textFill>
        </w:rPr>
        <w:t xml:space="preserve"> </w:t>
      </w:r>
      <w:bookmarkEnd w:id="1100"/>
      <w:r>
        <w:rPr>
          <w:rFonts w:hint="eastAsia"/>
          <w:b/>
          <w:bCs/>
          <w:color w:val="000000" w:themeColor="text1"/>
          <w:sz w:val="21"/>
          <w:szCs w:val="21"/>
          <w14:textFill>
            <w14:solidFill>
              <w14:schemeClr w14:val="tx1"/>
            </w14:solidFill>
          </w14:textFill>
        </w:rPr>
        <w:t xml:space="preserve"> </w:t>
      </w:r>
      <w:r>
        <w:rPr>
          <w:rFonts w:hint="eastAsia"/>
          <w:b/>
          <w:bCs/>
          <w:color w:val="000000" w:themeColor="text1"/>
          <w:sz w:val="21"/>
          <w:szCs w:val="21"/>
          <w:lang w:val="en-US" w:eastAsia="zh-CN"/>
          <w14:textFill>
            <w14:solidFill>
              <w14:schemeClr w14:val="tx1"/>
            </w14:solidFill>
          </w14:textFill>
        </w:rPr>
        <w:t>生态保护</w:t>
      </w:r>
      <w:r>
        <w:rPr>
          <w:b/>
          <w:bCs/>
          <w:color w:val="000000" w:themeColor="text1"/>
          <w:sz w:val="21"/>
          <w:szCs w:val="21"/>
          <w14:textFill>
            <w14:solidFill>
              <w14:schemeClr w14:val="tx1"/>
            </w14:solidFill>
          </w14:textFill>
        </w:rPr>
        <w:t>措施进度安排表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1289"/>
        <w:gridCol w:w="516"/>
        <w:gridCol w:w="477"/>
        <w:gridCol w:w="470"/>
        <w:gridCol w:w="481"/>
        <w:gridCol w:w="419"/>
        <w:gridCol w:w="419"/>
        <w:gridCol w:w="419"/>
        <w:gridCol w:w="419"/>
        <w:gridCol w:w="419"/>
        <w:gridCol w:w="419"/>
        <w:gridCol w:w="419"/>
        <w:gridCol w:w="419"/>
        <w:gridCol w:w="420"/>
        <w:gridCol w:w="478"/>
        <w:gridCol w:w="482"/>
      </w:tblGrid>
      <w:tr w14:paraId="6553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restart"/>
            <w:shd w:val="clear" w:color="auto" w:fill="auto"/>
            <w:noWrap/>
            <w:vAlign w:val="center"/>
          </w:tcPr>
          <w:p w14:paraId="06302529">
            <w:pPr>
              <w:pStyle w:val="40"/>
              <w:rPr>
                <w:color w:val="000000" w:themeColor="text1"/>
                <w14:textFill>
                  <w14:solidFill>
                    <w14:schemeClr w14:val="tx1"/>
                  </w14:solidFill>
                </w14:textFill>
              </w:rPr>
            </w:pPr>
            <w:r>
              <w:rPr>
                <w:color w:val="000000" w:themeColor="text1"/>
                <w14:textFill>
                  <w14:solidFill>
                    <w14:schemeClr w14:val="tx1"/>
                  </w14:solidFill>
                </w14:textFill>
              </w:rPr>
              <w:t>防治区</w:t>
            </w:r>
          </w:p>
        </w:tc>
        <w:tc>
          <w:tcPr>
            <w:tcW w:w="756" w:type="pct"/>
            <w:vMerge w:val="restart"/>
            <w:shd w:val="clear" w:color="auto" w:fill="auto"/>
            <w:noWrap/>
            <w:vAlign w:val="center"/>
          </w:tcPr>
          <w:p w14:paraId="4D4AA22C">
            <w:pPr>
              <w:pStyle w:val="40"/>
              <w:rPr>
                <w:color w:val="000000" w:themeColor="text1"/>
                <w14:textFill>
                  <w14:solidFill>
                    <w14:schemeClr w14:val="tx1"/>
                  </w14:solidFill>
                </w14:textFill>
              </w:rPr>
            </w:pPr>
            <w:r>
              <w:rPr>
                <w:color w:val="000000" w:themeColor="text1"/>
                <w14:textFill>
                  <w14:solidFill>
                    <w14:schemeClr w14:val="tx1"/>
                  </w14:solidFill>
                </w14:textFill>
              </w:rPr>
              <w:t>措施类型</w:t>
            </w:r>
          </w:p>
        </w:tc>
        <w:tc>
          <w:tcPr>
            <w:tcW w:w="302" w:type="pct"/>
            <w:shd w:val="clear" w:color="auto" w:fill="auto"/>
            <w:noWrap/>
            <w:vAlign w:val="center"/>
          </w:tcPr>
          <w:p w14:paraId="33DCBB7A">
            <w:pPr>
              <w:pStyle w:val="40"/>
              <w:rPr>
                <w:color w:val="000000" w:themeColor="text1"/>
                <w14:textFill>
                  <w14:solidFill>
                    <w14:schemeClr w14:val="tx1"/>
                  </w14:solidFill>
                </w14:textFill>
              </w:rPr>
            </w:pPr>
            <w:r>
              <w:rPr>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年</w:t>
            </w:r>
          </w:p>
        </w:tc>
        <w:tc>
          <w:tcPr>
            <w:tcW w:w="3331" w:type="pct"/>
            <w:gridSpan w:val="13"/>
            <w:shd w:val="clear" w:color="auto" w:fill="auto"/>
            <w:noWrap/>
            <w:vAlign w:val="center"/>
          </w:tcPr>
          <w:p w14:paraId="0E5FF965">
            <w:pPr>
              <w:pStyle w:val="40"/>
              <w:rPr>
                <w:color w:val="000000" w:themeColor="text1"/>
                <w14:textFill>
                  <w14:solidFill>
                    <w14:schemeClr w14:val="tx1"/>
                  </w14:solidFill>
                </w14:textFill>
              </w:rPr>
            </w:pPr>
            <w:r>
              <w:rPr>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年</w:t>
            </w:r>
          </w:p>
        </w:tc>
        <w:tc>
          <w:tcPr>
            <w:tcW w:w="282" w:type="pct"/>
            <w:shd w:val="clear" w:color="auto" w:fill="auto"/>
            <w:noWrap/>
            <w:vAlign w:val="center"/>
          </w:tcPr>
          <w:p w14:paraId="6E36AD66">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2028年</w:t>
            </w:r>
          </w:p>
        </w:tc>
      </w:tr>
      <w:tr w14:paraId="2594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continue"/>
            <w:vAlign w:val="center"/>
          </w:tcPr>
          <w:p w14:paraId="7B4727D2">
            <w:pPr>
              <w:pStyle w:val="40"/>
              <w:rPr>
                <w:color w:val="000000" w:themeColor="text1"/>
                <w14:textFill>
                  <w14:solidFill>
                    <w14:schemeClr w14:val="tx1"/>
                  </w14:solidFill>
                </w14:textFill>
              </w:rPr>
            </w:pPr>
          </w:p>
        </w:tc>
        <w:tc>
          <w:tcPr>
            <w:tcW w:w="756" w:type="pct"/>
            <w:vMerge w:val="continue"/>
            <w:vAlign w:val="center"/>
          </w:tcPr>
          <w:p w14:paraId="68723A89">
            <w:pPr>
              <w:pStyle w:val="40"/>
              <w:rPr>
                <w:color w:val="000000" w:themeColor="text1"/>
                <w14:textFill>
                  <w14:solidFill>
                    <w14:schemeClr w14:val="tx1"/>
                  </w14:solidFill>
                </w14:textFill>
              </w:rPr>
            </w:pPr>
          </w:p>
        </w:tc>
        <w:tc>
          <w:tcPr>
            <w:tcW w:w="302" w:type="pct"/>
            <w:shd w:val="clear" w:color="auto" w:fill="auto"/>
            <w:noWrap/>
            <w:vAlign w:val="center"/>
          </w:tcPr>
          <w:p w14:paraId="726308B7">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11月</w:t>
            </w:r>
          </w:p>
        </w:tc>
        <w:tc>
          <w:tcPr>
            <w:tcW w:w="279" w:type="pct"/>
            <w:shd w:val="clear" w:color="auto" w:fill="auto"/>
            <w:noWrap/>
            <w:vAlign w:val="center"/>
          </w:tcPr>
          <w:p w14:paraId="7A6374F7">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12月</w:t>
            </w:r>
          </w:p>
        </w:tc>
        <w:tc>
          <w:tcPr>
            <w:tcW w:w="275" w:type="pct"/>
            <w:shd w:val="clear" w:color="auto" w:fill="auto"/>
            <w:noWrap/>
            <w:vAlign w:val="center"/>
          </w:tcPr>
          <w:p w14:paraId="2E58576C">
            <w:pPr>
              <w:pStyle w:val="4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1月</w:t>
            </w:r>
          </w:p>
        </w:tc>
        <w:tc>
          <w:tcPr>
            <w:tcW w:w="282" w:type="pct"/>
            <w:shd w:val="clear" w:color="auto" w:fill="auto"/>
            <w:noWrap/>
            <w:vAlign w:val="center"/>
          </w:tcPr>
          <w:p w14:paraId="170B494E">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月</w:t>
            </w:r>
          </w:p>
        </w:tc>
        <w:tc>
          <w:tcPr>
            <w:tcW w:w="245" w:type="pct"/>
            <w:shd w:val="clear" w:color="auto" w:fill="auto"/>
            <w:noWrap/>
            <w:vAlign w:val="center"/>
          </w:tcPr>
          <w:p w14:paraId="39881B4D">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月</w:t>
            </w:r>
          </w:p>
        </w:tc>
        <w:tc>
          <w:tcPr>
            <w:tcW w:w="245" w:type="pct"/>
            <w:shd w:val="clear" w:color="auto" w:fill="auto"/>
            <w:noWrap/>
            <w:vAlign w:val="center"/>
          </w:tcPr>
          <w:p w14:paraId="2C4DA2ED">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月</w:t>
            </w:r>
          </w:p>
        </w:tc>
        <w:tc>
          <w:tcPr>
            <w:tcW w:w="245" w:type="pct"/>
            <w:shd w:val="clear" w:color="auto" w:fill="auto"/>
            <w:noWrap/>
            <w:vAlign w:val="center"/>
          </w:tcPr>
          <w:p w14:paraId="2625731E">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月</w:t>
            </w:r>
          </w:p>
        </w:tc>
        <w:tc>
          <w:tcPr>
            <w:tcW w:w="245" w:type="pct"/>
            <w:shd w:val="clear" w:color="auto" w:fill="auto"/>
            <w:noWrap/>
            <w:vAlign w:val="center"/>
          </w:tcPr>
          <w:p w14:paraId="7988F50D">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6</w:t>
            </w:r>
            <w:r>
              <w:rPr>
                <w:color w:val="000000" w:themeColor="text1"/>
                <w14:textFill>
                  <w14:solidFill>
                    <w14:schemeClr w14:val="tx1"/>
                  </w14:solidFill>
                </w14:textFill>
              </w:rPr>
              <w:t>月</w:t>
            </w:r>
          </w:p>
        </w:tc>
        <w:tc>
          <w:tcPr>
            <w:tcW w:w="245" w:type="pct"/>
            <w:shd w:val="clear" w:color="auto" w:fill="auto"/>
            <w:noWrap/>
            <w:vAlign w:val="center"/>
          </w:tcPr>
          <w:p w14:paraId="728E30F1">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月</w:t>
            </w:r>
          </w:p>
        </w:tc>
        <w:tc>
          <w:tcPr>
            <w:tcW w:w="245" w:type="pct"/>
            <w:shd w:val="clear" w:color="auto" w:fill="auto"/>
            <w:noWrap/>
            <w:vAlign w:val="center"/>
          </w:tcPr>
          <w:p w14:paraId="0C554577">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8</w:t>
            </w:r>
            <w:r>
              <w:rPr>
                <w:color w:val="000000" w:themeColor="text1"/>
                <w14:textFill>
                  <w14:solidFill>
                    <w14:schemeClr w14:val="tx1"/>
                  </w14:solidFill>
                </w14:textFill>
              </w:rPr>
              <w:t>月</w:t>
            </w:r>
          </w:p>
        </w:tc>
        <w:tc>
          <w:tcPr>
            <w:tcW w:w="245" w:type="pct"/>
            <w:shd w:val="clear" w:color="auto" w:fill="auto"/>
            <w:noWrap/>
            <w:vAlign w:val="center"/>
          </w:tcPr>
          <w:p w14:paraId="5EE409AE">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月</w:t>
            </w:r>
          </w:p>
        </w:tc>
        <w:tc>
          <w:tcPr>
            <w:tcW w:w="245" w:type="pct"/>
            <w:shd w:val="clear" w:color="auto" w:fill="auto"/>
            <w:noWrap/>
            <w:vAlign w:val="center"/>
          </w:tcPr>
          <w:p w14:paraId="53F4C653">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月</w:t>
            </w:r>
          </w:p>
        </w:tc>
        <w:tc>
          <w:tcPr>
            <w:tcW w:w="246" w:type="pct"/>
            <w:shd w:val="clear" w:color="auto" w:fill="auto"/>
            <w:noWrap/>
            <w:vAlign w:val="center"/>
          </w:tcPr>
          <w:p w14:paraId="514FD292">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月</w:t>
            </w:r>
          </w:p>
        </w:tc>
        <w:tc>
          <w:tcPr>
            <w:tcW w:w="280" w:type="pct"/>
            <w:shd w:val="clear" w:color="auto" w:fill="auto"/>
            <w:noWrap/>
            <w:vAlign w:val="center"/>
          </w:tcPr>
          <w:p w14:paraId="77988153">
            <w:pPr>
              <w:pStyle w:val="4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月</w:t>
            </w:r>
          </w:p>
        </w:tc>
        <w:tc>
          <w:tcPr>
            <w:tcW w:w="282" w:type="pct"/>
            <w:shd w:val="clear" w:color="auto" w:fill="auto"/>
            <w:noWrap/>
            <w:vAlign w:val="center"/>
          </w:tcPr>
          <w:p w14:paraId="6BA242F1">
            <w:pPr>
              <w:pStyle w:val="4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月</w:t>
            </w:r>
          </w:p>
        </w:tc>
      </w:tr>
      <w:tr w14:paraId="0540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2" w:type="pct"/>
            <w:gridSpan w:val="2"/>
            <w:shd w:val="clear" w:color="auto" w:fill="auto"/>
            <w:noWrap/>
            <w:vAlign w:val="center"/>
          </w:tcPr>
          <w:p w14:paraId="4A502726">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主体工程进度</w:t>
            </w:r>
          </w:p>
        </w:tc>
        <w:tc>
          <w:tcPr>
            <w:tcW w:w="302" w:type="pct"/>
            <w:shd w:val="clear" w:color="auto" w:fill="auto"/>
            <w:noWrap/>
            <w:vAlign w:val="center"/>
          </w:tcPr>
          <w:p w14:paraId="3F782107">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83185</wp:posOffset>
                      </wp:positionH>
                      <wp:positionV relativeFrom="paragraph">
                        <wp:posOffset>81915</wp:posOffset>
                      </wp:positionV>
                      <wp:extent cx="3905885" cy="5080"/>
                      <wp:effectExtent l="33655" t="29845" r="41910" b="79375"/>
                      <wp:wrapNone/>
                      <wp:docPr id="255" name="直接连接符 255"/>
                      <wp:cNvGraphicFramePr/>
                      <a:graphic xmlns:a="http://schemas.openxmlformats.org/drawingml/2006/main">
                        <a:graphicData uri="http://schemas.microsoft.com/office/word/2010/wordprocessingShape">
                          <wps:wsp>
                            <wps:cNvCnPr/>
                            <wps:spPr>
                              <a:xfrm flipH="1" flipV="1">
                                <a:off x="0" y="0"/>
                                <a:ext cx="3905885" cy="5080"/>
                              </a:xfrm>
                              <a:prstGeom prst="line">
                                <a:avLst/>
                              </a:prstGeom>
                              <a:noFill/>
                              <a:ln w="38100" cap="flat" cmpd="sng" algn="ctr">
                                <a:solidFill>
                                  <a:srgbClr val="C0504D"/>
                                </a:solidFill>
                                <a:prstDash val="solid"/>
                              </a:ln>
                              <a:effectLst>
                                <a:outerShdw blurRad="40000" dist="23000" dir="5400000" rotWithShape="0">
                                  <a:srgbClr val="000000">
                                    <a:alpha val="35000"/>
                                  </a:srgbClr>
                                </a:outerShdw>
                              </a:effectLst>
                            </wps:spPr>
                            <wps:bodyPr/>
                          </wps:wsp>
                        </a:graphicData>
                      </a:graphic>
                    </wp:anchor>
                  </w:drawing>
                </mc:Choice>
                <mc:Fallback>
                  <w:pict>
                    <v:line id="_x0000_s1026" o:spid="_x0000_s1026" o:spt="20" style="position:absolute;left:0pt;flip:x y;margin-left:6.55pt;margin-top:6.45pt;height:0.4pt;width:307.55pt;z-index:251679744;mso-width-relative:page;mso-height-relative:page;" filled="f" stroked="t" coordsize="21600,21600" o:gfxdata="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6gMDX1gAAAAgBAAAPAAAAAAAAAAEAIAAAACIAAABkcnMvZG93bnJl&#10;di54bWxQSwECFAAUAAAACACHTuJAi5IuSDgCAABiBAAADgAAAAAAAAABACAAAAAlAQAAZHJzL2Uy&#10;b0RvYy54bWxQSwUGAAAAAAYABgBZAQAAzwUAAAAA&#10;">
                      <v:fill on="f" focussize="0,0"/>
                      <v:stroke weight="3pt" color="#C0504D" joinstyle="round"/>
                      <v:imagedata o:title=""/>
                      <o:lock v:ext="edit" aspectratio="f"/>
                      <v:shadow on="t" color="#000000" opacity="22937f" offset="0pt,1.81102362204724pt" origin="0f,32768f" matrix="65536f,0f,0f,65536f"/>
                    </v:line>
                  </w:pict>
                </mc:Fallback>
              </mc:AlternateContent>
            </w:r>
          </w:p>
        </w:tc>
        <w:tc>
          <w:tcPr>
            <w:tcW w:w="279" w:type="pct"/>
            <w:shd w:val="clear" w:color="auto" w:fill="auto"/>
            <w:noWrap/>
            <w:vAlign w:val="center"/>
          </w:tcPr>
          <w:p w14:paraId="7DB795BB">
            <w:pPr>
              <w:pStyle w:val="40"/>
              <w:rPr>
                <w:b w:val="0"/>
                <w:bCs/>
                <w:color w:val="000000" w:themeColor="text1"/>
                <w14:textFill>
                  <w14:solidFill>
                    <w14:schemeClr w14:val="tx1"/>
                  </w14:solidFill>
                </w14:textFill>
              </w:rPr>
            </w:pPr>
          </w:p>
        </w:tc>
        <w:tc>
          <w:tcPr>
            <w:tcW w:w="275" w:type="pct"/>
            <w:shd w:val="clear" w:color="auto" w:fill="auto"/>
            <w:noWrap/>
            <w:vAlign w:val="center"/>
          </w:tcPr>
          <w:p w14:paraId="04234036">
            <w:pPr>
              <w:pStyle w:val="40"/>
              <w:rPr>
                <w:b w:val="0"/>
                <w:bCs/>
                <w:color w:val="000000" w:themeColor="text1"/>
                <w14:textFill>
                  <w14:solidFill>
                    <w14:schemeClr w14:val="tx1"/>
                  </w14:solidFill>
                </w14:textFill>
              </w:rPr>
            </w:pPr>
          </w:p>
        </w:tc>
        <w:tc>
          <w:tcPr>
            <w:tcW w:w="282" w:type="pct"/>
            <w:shd w:val="clear" w:color="auto" w:fill="auto"/>
            <w:noWrap/>
            <w:vAlign w:val="center"/>
          </w:tcPr>
          <w:p w14:paraId="5124377A">
            <w:pPr>
              <w:pStyle w:val="40"/>
              <w:rPr>
                <w:b w:val="0"/>
                <w:bCs/>
                <w:color w:val="000000" w:themeColor="text1"/>
                <w14:textFill>
                  <w14:solidFill>
                    <w14:schemeClr w14:val="tx1"/>
                  </w14:solidFill>
                </w14:textFill>
              </w:rPr>
            </w:pPr>
          </w:p>
        </w:tc>
        <w:tc>
          <w:tcPr>
            <w:tcW w:w="245" w:type="pct"/>
            <w:shd w:val="clear" w:color="auto" w:fill="auto"/>
            <w:noWrap/>
            <w:vAlign w:val="center"/>
          </w:tcPr>
          <w:p w14:paraId="057209C8">
            <w:pPr>
              <w:pStyle w:val="40"/>
              <w:rPr>
                <w:b w:val="0"/>
                <w:bCs/>
                <w:color w:val="000000" w:themeColor="text1"/>
                <w14:textFill>
                  <w14:solidFill>
                    <w14:schemeClr w14:val="tx1"/>
                  </w14:solidFill>
                </w14:textFill>
              </w:rPr>
            </w:pPr>
          </w:p>
        </w:tc>
        <w:tc>
          <w:tcPr>
            <w:tcW w:w="245" w:type="pct"/>
            <w:shd w:val="clear" w:color="auto" w:fill="auto"/>
            <w:noWrap/>
            <w:vAlign w:val="center"/>
          </w:tcPr>
          <w:p w14:paraId="732C33AA">
            <w:pPr>
              <w:pStyle w:val="40"/>
              <w:rPr>
                <w:b w:val="0"/>
                <w:bCs/>
                <w:color w:val="000000" w:themeColor="text1"/>
                <w14:textFill>
                  <w14:solidFill>
                    <w14:schemeClr w14:val="tx1"/>
                  </w14:solidFill>
                </w14:textFill>
              </w:rPr>
            </w:pPr>
          </w:p>
        </w:tc>
        <w:tc>
          <w:tcPr>
            <w:tcW w:w="245" w:type="pct"/>
            <w:shd w:val="clear" w:color="auto" w:fill="auto"/>
            <w:noWrap/>
            <w:vAlign w:val="center"/>
          </w:tcPr>
          <w:p w14:paraId="6F778DA7">
            <w:pPr>
              <w:pStyle w:val="40"/>
              <w:rPr>
                <w:b w:val="0"/>
                <w:bCs/>
                <w:color w:val="000000" w:themeColor="text1"/>
                <w14:textFill>
                  <w14:solidFill>
                    <w14:schemeClr w14:val="tx1"/>
                  </w14:solidFill>
                </w14:textFill>
              </w:rPr>
            </w:pPr>
          </w:p>
        </w:tc>
        <w:tc>
          <w:tcPr>
            <w:tcW w:w="245" w:type="pct"/>
            <w:shd w:val="clear" w:color="auto" w:fill="auto"/>
            <w:noWrap/>
            <w:vAlign w:val="center"/>
          </w:tcPr>
          <w:p w14:paraId="5FD933A9">
            <w:pPr>
              <w:pStyle w:val="40"/>
              <w:rPr>
                <w:b w:val="0"/>
                <w:bCs/>
                <w:color w:val="000000" w:themeColor="text1"/>
                <w14:textFill>
                  <w14:solidFill>
                    <w14:schemeClr w14:val="tx1"/>
                  </w14:solidFill>
                </w14:textFill>
              </w:rPr>
            </w:pPr>
          </w:p>
        </w:tc>
        <w:tc>
          <w:tcPr>
            <w:tcW w:w="245" w:type="pct"/>
            <w:shd w:val="clear" w:color="auto" w:fill="auto"/>
            <w:noWrap/>
            <w:vAlign w:val="center"/>
          </w:tcPr>
          <w:p w14:paraId="412D8A32">
            <w:pPr>
              <w:pStyle w:val="40"/>
              <w:rPr>
                <w:b w:val="0"/>
                <w:bCs/>
                <w:color w:val="000000" w:themeColor="text1"/>
                <w14:textFill>
                  <w14:solidFill>
                    <w14:schemeClr w14:val="tx1"/>
                  </w14:solidFill>
                </w14:textFill>
              </w:rPr>
            </w:pPr>
          </w:p>
        </w:tc>
        <w:tc>
          <w:tcPr>
            <w:tcW w:w="245" w:type="pct"/>
            <w:shd w:val="clear" w:color="auto" w:fill="auto"/>
            <w:noWrap/>
            <w:vAlign w:val="center"/>
          </w:tcPr>
          <w:p w14:paraId="1522D624">
            <w:pPr>
              <w:pStyle w:val="40"/>
              <w:rPr>
                <w:b w:val="0"/>
                <w:bCs/>
                <w:color w:val="000000" w:themeColor="text1"/>
                <w14:textFill>
                  <w14:solidFill>
                    <w14:schemeClr w14:val="tx1"/>
                  </w14:solidFill>
                </w14:textFill>
              </w:rPr>
            </w:pPr>
          </w:p>
        </w:tc>
        <w:tc>
          <w:tcPr>
            <w:tcW w:w="245" w:type="pct"/>
            <w:shd w:val="clear" w:color="auto" w:fill="auto"/>
            <w:noWrap/>
            <w:vAlign w:val="center"/>
          </w:tcPr>
          <w:p w14:paraId="1801F227">
            <w:pPr>
              <w:pStyle w:val="40"/>
              <w:rPr>
                <w:b w:val="0"/>
                <w:bCs/>
                <w:color w:val="000000" w:themeColor="text1"/>
                <w14:textFill>
                  <w14:solidFill>
                    <w14:schemeClr w14:val="tx1"/>
                  </w14:solidFill>
                </w14:textFill>
              </w:rPr>
            </w:pPr>
          </w:p>
        </w:tc>
        <w:tc>
          <w:tcPr>
            <w:tcW w:w="245" w:type="pct"/>
            <w:shd w:val="clear" w:color="auto" w:fill="auto"/>
            <w:noWrap/>
            <w:vAlign w:val="center"/>
          </w:tcPr>
          <w:p w14:paraId="4ED95F7C">
            <w:pPr>
              <w:pStyle w:val="40"/>
              <w:rPr>
                <w:b w:val="0"/>
                <w:bCs/>
                <w:color w:val="000000" w:themeColor="text1"/>
                <w14:textFill>
                  <w14:solidFill>
                    <w14:schemeClr w14:val="tx1"/>
                  </w14:solidFill>
                </w14:textFill>
              </w:rPr>
            </w:pPr>
          </w:p>
        </w:tc>
        <w:tc>
          <w:tcPr>
            <w:tcW w:w="246" w:type="pct"/>
            <w:shd w:val="clear" w:color="auto" w:fill="auto"/>
            <w:noWrap/>
            <w:vAlign w:val="center"/>
          </w:tcPr>
          <w:p w14:paraId="5F889A51">
            <w:pPr>
              <w:pStyle w:val="40"/>
              <w:rPr>
                <w:b w:val="0"/>
                <w:bCs/>
                <w:color w:val="000000" w:themeColor="text1"/>
                <w14:textFill>
                  <w14:solidFill>
                    <w14:schemeClr w14:val="tx1"/>
                  </w14:solidFill>
                </w14:textFill>
              </w:rPr>
            </w:pPr>
          </w:p>
        </w:tc>
        <w:tc>
          <w:tcPr>
            <w:tcW w:w="280" w:type="pct"/>
            <w:shd w:val="clear" w:color="auto" w:fill="auto"/>
            <w:noWrap/>
            <w:vAlign w:val="center"/>
          </w:tcPr>
          <w:p w14:paraId="16C49A38">
            <w:pPr>
              <w:pStyle w:val="40"/>
              <w:rPr>
                <w:b w:val="0"/>
                <w:bCs/>
                <w:color w:val="000000" w:themeColor="text1"/>
                <w14:textFill>
                  <w14:solidFill>
                    <w14:schemeClr w14:val="tx1"/>
                  </w14:solidFill>
                </w14:textFill>
              </w:rPr>
            </w:pPr>
          </w:p>
        </w:tc>
        <w:tc>
          <w:tcPr>
            <w:tcW w:w="282" w:type="pct"/>
            <w:shd w:val="clear" w:color="auto" w:fill="auto"/>
            <w:noWrap/>
            <w:vAlign w:val="center"/>
          </w:tcPr>
          <w:p w14:paraId="3676745D">
            <w:pPr>
              <w:pStyle w:val="40"/>
              <w:rPr>
                <w:b w:val="0"/>
                <w:bCs/>
                <w:color w:val="000000" w:themeColor="text1"/>
                <w14:textFill>
                  <w14:solidFill>
                    <w14:schemeClr w14:val="tx1"/>
                  </w14:solidFill>
                </w14:textFill>
              </w:rPr>
            </w:pPr>
          </w:p>
        </w:tc>
      </w:tr>
      <w:tr w14:paraId="4067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restart"/>
            <w:shd w:val="clear" w:color="auto" w:fill="auto"/>
            <w:noWrap/>
            <w:vAlign w:val="center"/>
          </w:tcPr>
          <w:p w14:paraId="2029B007">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塔基及施工场地区</w:t>
            </w:r>
          </w:p>
        </w:tc>
        <w:tc>
          <w:tcPr>
            <w:tcW w:w="756" w:type="pct"/>
            <w:shd w:val="clear" w:color="auto" w:fill="auto"/>
            <w:noWrap/>
            <w:vAlign w:val="center"/>
          </w:tcPr>
          <w:p w14:paraId="33A790BD">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草方格沙障</w:t>
            </w:r>
          </w:p>
        </w:tc>
        <w:tc>
          <w:tcPr>
            <w:tcW w:w="302" w:type="pct"/>
            <w:shd w:val="clear" w:color="auto" w:fill="auto"/>
            <w:noWrap/>
            <w:vAlign w:val="center"/>
          </w:tcPr>
          <w:p w14:paraId="20445DEE">
            <w:pPr>
              <w:pStyle w:val="40"/>
              <w:rPr>
                <w:b w:val="0"/>
                <w:bCs/>
                <w:color w:val="000000" w:themeColor="text1"/>
                <w14:textFill>
                  <w14:solidFill>
                    <w14:schemeClr w14:val="tx1"/>
                  </w14:solidFill>
                </w14:textFill>
              </w:rPr>
            </w:pPr>
          </w:p>
        </w:tc>
        <w:tc>
          <w:tcPr>
            <w:tcW w:w="279" w:type="pct"/>
            <w:shd w:val="clear" w:color="auto" w:fill="auto"/>
            <w:noWrap/>
            <w:vAlign w:val="center"/>
          </w:tcPr>
          <w:p w14:paraId="5FABEB57">
            <w:pPr>
              <w:pStyle w:val="40"/>
              <w:rPr>
                <w:b w:val="0"/>
                <w:bCs/>
                <w:color w:val="000000" w:themeColor="text1"/>
                <w14:textFill>
                  <w14:solidFill>
                    <w14:schemeClr w14:val="tx1"/>
                  </w14:solidFill>
                </w14:textFill>
              </w:rPr>
            </w:pPr>
          </w:p>
        </w:tc>
        <w:tc>
          <w:tcPr>
            <w:tcW w:w="275" w:type="pct"/>
            <w:shd w:val="clear" w:color="auto" w:fill="auto"/>
            <w:noWrap/>
            <w:vAlign w:val="center"/>
          </w:tcPr>
          <w:p w14:paraId="1873F534">
            <w:pPr>
              <w:pStyle w:val="40"/>
              <w:rPr>
                <w:b w:val="0"/>
                <w:bCs/>
                <w:color w:val="000000" w:themeColor="text1"/>
                <w14:textFill>
                  <w14:solidFill>
                    <w14:schemeClr w14:val="tx1"/>
                  </w14:solidFill>
                </w14:textFill>
              </w:rPr>
            </w:pPr>
          </w:p>
        </w:tc>
        <w:tc>
          <w:tcPr>
            <w:tcW w:w="282" w:type="pct"/>
            <w:shd w:val="clear" w:color="auto" w:fill="auto"/>
            <w:noWrap/>
            <w:vAlign w:val="center"/>
          </w:tcPr>
          <w:p w14:paraId="6FFC93C0">
            <w:pPr>
              <w:pStyle w:val="40"/>
              <w:rPr>
                <w:b w:val="0"/>
                <w:bCs/>
                <w:color w:val="000000" w:themeColor="text1"/>
                <w14:textFill>
                  <w14:solidFill>
                    <w14:schemeClr w14:val="tx1"/>
                  </w14:solidFill>
                </w14:textFill>
              </w:rPr>
            </w:pPr>
          </w:p>
        </w:tc>
        <w:tc>
          <w:tcPr>
            <w:tcW w:w="245" w:type="pct"/>
            <w:shd w:val="clear" w:color="auto" w:fill="auto"/>
            <w:noWrap/>
            <w:vAlign w:val="center"/>
          </w:tcPr>
          <w:p w14:paraId="71F6E5BA">
            <w:pPr>
              <w:pStyle w:val="40"/>
              <w:rPr>
                <w:b w:val="0"/>
                <w:bCs/>
                <w:color w:val="000000" w:themeColor="text1"/>
                <w14:textFill>
                  <w14:solidFill>
                    <w14:schemeClr w14:val="tx1"/>
                  </w14:solidFill>
                </w14:textFill>
              </w:rPr>
            </w:pPr>
          </w:p>
        </w:tc>
        <w:tc>
          <w:tcPr>
            <w:tcW w:w="245" w:type="pct"/>
            <w:shd w:val="clear" w:color="auto" w:fill="auto"/>
            <w:noWrap/>
            <w:vAlign w:val="center"/>
          </w:tcPr>
          <w:p w14:paraId="5A7CA863">
            <w:pPr>
              <w:pStyle w:val="40"/>
              <w:rPr>
                <w:b w:val="0"/>
                <w:bCs/>
                <w:color w:val="000000" w:themeColor="text1"/>
                <w14:textFill>
                  <w14:solidFill>
                    <w14:schemeClr w14:val="tx1"/>
                  </w14:solidFill>
                </w14:textFill>
              </w:rPr>
            </w:pPr>
          </w:p>
        </w:tc>
        <w:tc>
          <w:tcPr>
            <w:tcW w:w="245" w:type="pct"/>
            <w:shd w:val="clear" w:color="auto" w:fill="auto"/>
            <w:noWrap/>
            <w:vAlign w:val="center"/>
          </w:tcPr>
          <w:p w14:paraId="6802EFD9">
            <w:pPr>
              <w:pStyle w:val="40"/>
              <w:rPr>
                <w:b w:val="0"/>
                <w:bCs/>
                <w:color w:val="000000" w:themeColor="text1"/>
                <w14:textFill>
                  <w14:solidFill>
                    <w14:schemeClr w14:val="tx1"/>
                  </w14:solidFill>
                </w14:textFill>
              </w:rPr>
            </w:pPr>
          </w:p>
        </w:tc>
        <w:tc>
          <w:tcPr>
            <w:tcW w:w="245" w:type="pct"/>
            <w:shd w:val="clear" w:color="auto" w:fill="auto"/>
            <w:noWrap/>
            <w:vAlign w:val="center"/>
          </w:tcPr>
          <w:p w14:paraId="02312015">
            <w:pPr>
              <w:pStyle w:val="40"/>
              <w:rPr>
                <w:b w:val="0"/>
                <w:bCs/>
                <w:color w:val="000000" w:themeColor="text1"/>
                <w14:textFill>
                  <w14:solidFill>
                    <w14:schemeClr w14:val="tx1"/>
                  </w14:solidFill>
                </w14:textFill>
              </w:rPr>
            </w:pPr>
          </w:p>
        </w:tc>
        <w:tc>
          <w:tcPr>
            <w:tcW w:w="245" w:type="pct"/>
            <w:shd w:val="clear" w:color="auto" w:fill="auto"/>
            <w:noWrap/>
            <w:vAlign w:val="center"/>
          </w:tcPr>
          <w:p w14:paraId="0C2D5FEF">
            <w:pPr>
              <w:pStyle w:val="40"/>
              <w:rPr>
                <w:b w:val="0"/>
                <w:bCs/>
                <w:color w:val="000000" w:themeColor="text1"/>
                <w14:textFill>
                  <w14:solidFill>
                    <w14:schemeClr w14:val="tx1"/>
                  </w14:solidFill>
                </w14:textFill>
              </w:rPr>
            </w:pPr>
          </w:p>
        </w:tc>
        <w:tc>
          <w:tcPr>
            <w:tcW w:w="245" w:type="pct"/>
            <w:shd w:val="clear" w:color="auto" w:fill="auto"/>
            <w:noWrap/>
            <w:vAlign w:val="center"/>
          </w:tcPr>
          <w:p w14:paraId="33AFFDF6">
            <w:pPr>
              <w:pStyle w:val="40"/>
              <w:rPr>
                <w:b w:val="0"/>
                <w:bCs/>
                <w:color w:val="000000" w:themeColor="text1"/>
                <w14:textFill>
                  <w14:solidFill>
                    <w14:schemeClr w14:val="tx1"/>
                  </w14:solidFill>
                </w14:textFill>
              </w:rPr>
            </w:pPr>
          </w:p>
        </w:tc>
        <w:tc>
          <w:tcPr>
            <w:tcW w:w="245" w:type="pct"/>
            <w:shd w:val="clear" w:color="auto" w:fill="auto"/>
            <w:noWrap/>
            <w:vAlign w:val="center"/>
          </w:tcPr>
          <w:p w14:paraId="5D3B530B">
            <w:pPr>
              <w:pStyle w:val="40"/>
              <w:rPr>
                <w:b w:val="0"/>
                <w:bCs/>
                <w:color w:val="000000" w:themeColor="text1"/>
                <w14:textFill>
                  <w14:solidFill>
                    <w14:schemeClr w14:val="tx1"/>
                  </w14:solidFill>
                </w14:textFill>
              </w:rPr>
            </w:pPr>
          </w:p>
        </w:tc>
        <w:tc>
          <w:tcPr>
            <w:tcW w:w="245" w:type="pct"/>
            <w:shd w:val="clear" w:color="auto" w:fill="auto"/>
            <w:noWrap/>
            <w:vAlign w:val="center"/>
          </w:tcPr>
          <w:p w14:paraId="2B6E5C25">
            <w:pPr>
              <w:pStyle w:val="40"/>
              <w:rPr>
                <w:b w:val="0"/>
                <w:bCs/>
                <w:color w:val="000000" w:themeColor="text1"/>
                <w14:textFill>
                  <w14:solidFill>
                    <w14:schemeClr w14:val="tx1"/>
                  </w14:solidFill>
                </w14:textFill>
              </w:rPr>
            </w:pPr>
          </w:p>
        </w:tc>
        <w:tc>
          <w:tcPr>
            <w:tcW w:w="246" w:type="pct"/>
            <w:shd w:val="clear" w:color="auto" w:fill="auto"/>
            <w:noWrap/>
            <w:vAlign w:val="center"/>
          </w:tcPr>
          <w:p w14:paraId="26779BDA">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-62230</wp:posOffset>
                      </wp:positionH>
                      <wp:positionV relativeFrom="paragraph">
                        <wp:posOffset>83185</wp:posOffset>
                      </wp:positionV>
                      <wp:extent cx="550545" cy="3810"/>
                      <wp:effectExtent l="0" t="13970" r="1905" b="77470"/>
                      <wp:wrapNone/>
                      <wp:docPr id="8" name="直接连接符 350"/>
                      <wp:cNvGraphicFramePr/>
                      <a:graphic xmlns:a="http://schemas.openxmlformats.org/drawingml/2006/main">
                        <a:graphicData uri="http://schemas.microsoft.com/office/word/2010/wordprocessingShape">
                          <wps:wsp>
                            <wps:cNvCnPr/>
                            <wps:spPr>
                              <a:xfrm>
                                <a:off x="0" y="0"/>
                                <a:ext cx="550545" cy="381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4.9pt;margin-top:6.55pt;height:0.3pt;width:43.35pt;z-index:251681792;mso-width-relative:page;mso-height-relative:page;" filled="f" stroked="t" coordsize="21600,21600" o:gfxdata="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Oww6vTAAAABwEAAA8AAAAAAAAAAQAgAAAAIgAAAGRycy9kb3ducmV2LnhtbFBLAQIUABQA&#10;AAAIAIdO4kBRcT1/LgIAAEkEAAAOAAAAAAAAAAEAIAAAACIBAABkcnMvZTJvRG9jLnhtbFBLBQYA&#10;AAAABgAGAFkBAADCBQAAAAA=&#10;">
                      <v:fill on="f" focussize="0,0"/>
                      <v:stroke weight="2.25pt" color="#000000 [3213]" miterlimit="8" joinstyle="miter"/>
                      <v:imagedata o:title=""/>
                      <o:lock v:ext="edit" aspectratio="f"/>
                    </v:line>
                  </w:pict>
                </mc:Fallback>
              </mc:AlternateContent>
            </w:r>
          </w:p>
        </w:tc>
        <w:tc>
          <w:tcPr>
            <w:tcW w:w="280" w:type="pct"/>
            <w:shd w:val="clear" w:color="auto" w:fill="auto"/>
            <w:noWrap/>
            <w:vAlign w:val="center"/>
          </w:tcPr>
          <w:p w14:paraId="19C6C6F3">
            <w:pPr>
              <w:pStyle w:val="40"/>
              <w:rPr>
                <w:b w:val="0"/>
                <w:bCs/>
                <w:color w:val="000000" w:themeColor="text1"/>
                <w14:textFill>
                  <w14:solidFill>
                    <w14:schemeClr w14:val="tx1"/>
                  </w14:solidFill>
                </w14:textFill>
              </w:rPr>
            </w:pPr>
          </w:p>
        </w:tc>
        <w:tc>
          <w:tcPr>
            <w:tcW w:w="282" w:type="pct"/>
            <w:shd w:val="clear" w:color="auto" w:fill="auto"/>
            <w:noWrap/>
            <w:vAlign w:val="center"/>
          </w:tcPr>
          <w:p w14:paraId="343D4175">
            <w:pPr>
              <w:pStyle w:val="40"/>
              <w:rPr>
                <w:b w:val="0"/>
                <w:bCs/>
                <w:color w:val="000000" w:themeColor="text1"/>
                <w14:textFill>
                  <w14:solidFill>
                    <w14:schemeClr w14:val="tx1"/>
                  </w14:solidFill>
                </w14:textFill>
              </w:rPr>
            </w:pPr>
          </w:p>
        </w:tc>
      </w:tr>
      <w:tr w14:paraId="31D7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continue"/>
            <w:vAlign w:val="center"/>
          </w:tcPr>
          <w:p w14:paraId="0A4A2E9B">
            <w:pPr>
              <w:pStyle w:val="40"/>
              <w:rPr>
                <w:b w:val="0"/>
                <w:bCs/>
                <w:color w:val="000000" w:themeColor="text1"/>
                <w14:textFill>
                  <w14:solidFill>
                    <w14:schemeClr w14:val="tx1"/>
                  </w14:solidFill>
                </w14:textFill>
              </w:rPr>
            </w:pPr>
          </w:p>
        </w:tc>
        <w:tc>
          <w:tcPr>
            <w:tcW w:w="756" w:type="pct"/>
            <w:shd w:val="clear" w:color="auto" w:fill="auto"/>
            <w:noWrap/>
            <w:vAlign w:val="center"/>
          </w:tcPr>
          <w:p w14:paraId="73F02677">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土地平整</w:t>
            </w:r>
          </w:p>
        </w:tc>
        <w:tc>
          <w:tcPr>
            <w:tcW w:w="302" w:type="pct"/>
            <w:shd w:val="clear" w:color="auto" w:fill="auto"/>
            <w:noWrap/>
            <w:vAlign w:val="center"/>
          </w:tcPr>
          <w:p w14:paraId="654D9A3D">
            <w:pPr>
              <w:pStyle w:val="40"/>
              <w:rPr>
                <w:b w:val="0"/>
                <w:bCs/>
                <w:color w:val="000000" w:themeColor="text1"/>
                <w14:textFill>
                  <w14:solidFill>
                    <w14:schemeClr w14:val="tx1"/>
                  </w14:solidFill>
                </w14:textFill>
              </w:rPr>
            </w:pPr>
          </w:p>
        </w:tc>
        <w:tc>
          <w:tcPr>
            <w:tcW w:w="279" w:type="pct"/>
            <w:shd w:val="clear" w:color="auto" w:fill="auto"/>
            <w:noWrap/>
            <w:vAlign w:val="center"/>
          </w:tcPr>
          <w:p w14:paraId="2F653BBB">
            <w:pPr>
              <w:pStyle w:val="40"/>
              <w:rPr>
                <w:b w:val="0"/>
                <w:bCs/>
                <w:color w:val="000000" w:themeColor="text1"/>
                <w14:textFill>
                  <w14:solidFill>
                    <w14:schemeClr w14:val="tx1"/>
                  </w14:solidFill>
                </w14:textFill>
              </w:rPr>
            </w:pPr>
          </w:p>
        </w:tc>
        <w:tc>
          <w:tcPr>
            <w:tcW w:w="275" w:type="pct"/>
            <w:shd w:val="clear" w:color="auto" w:fill="auto"/>
            <w:noWrap/>
            <w:vAlign w:val="center"/>
          </w:tcPr>
          <w:p w14:paraId="117E6C2B">
            <w:pPr>
              <w:pStyle w:val="40"/>
              <w:rPr>
                <w:b w:val="0"/>
                <w:bCs/>
                <w:color w:val="000000" w:themeColor="text1"/>
                <w14:textFill>
                  <w14:solidFill>
                    <w14:schemeClr w14:val="tx1"/>
                  </w14:solidFill>
                </w14:textFill>
              </w:rPr>
            </w:pPr>
          </w:p>
        </w:tc>
        <w:tc>
          <w:tcPr>
            <w:tcW w:w="282" w:type="pct"/>
            <w:shd w:val="clear" w:color="auto" w:fill="auto"/>
            <w:noWrap/>
            <w:vAlign w:val="center"/>
          </w:tcPr>
          <w:p w14:paraId="4790034B">
            <w:pPr>
              <w:pStyle w:val="40"/>
              <w:rPr>
                <w:b w:val="0"/>
                <w:bCs/>
                <w:color w:val="000000" w:themeColor="text1"/>
                <w14:textFill>
                  <w14:solidFill>
                    <w14:schemeClr w14:val="tx1"/>
                  </w14:solidFill>
                </w14:textFill>
              </w:rPr>
            </w:pPr>
          </w:p>
        </w:tc>
        <w:tc>
          <w:tcPr>
            <w:tcW w:w="245" w:type="pct"/>
            <w:shd w:val="clear" w:color="auto" w:fill="auto"/>
            <w:noWrap/>
            <w:vAlign w:val="center"/>
          </w:tcPr>
          <w:p w14:paraId="3B3FEA15">
            <w:pPr>
              <w:pStyle w:val="40"/>
              <w:rPr>
                <w:b w:val="0"/>
                <w:bCs/>
                <w:color w:val="000000" w:themeColor="text1"/>
                <w14:textFill>
                  <w14:solidFill>
                    <w14:schemeClr w14:val="tx1"/>
                  </w14:solidFill>
                </w14:textFill>
              </w:rPr>
            </w:pPr>
          </w:p>
        </w:tc>
        <w:tc>
          <w:tcPr>
            <w:tcW w:w="245" w:type="pct"/>
            <w:shd w:val="clear" w:color="auto" w:fill="auto"/>
            <w:noWrap/>
            <w:vAlign w:val="center"/>
          </w:tcPr>
          <w:p w14:paraId="71E7B144">
            <w:pPr>
              <w:pStyle w:val="40"/>
              <w:rPr>
                <w:b w:val="0"/>
                <w:bCs/>
                <w:color w:val="000000" w:themeColor="text1"/>
                <w14:textFill>
                  <w14:solidFill>
                    <w14:schemeClr w14:val="tx1"/>
                  </w14:solidFill>
                </w14:textFill>
              </w:rPr>
            </w:pPr>
          </w:p>
        </w:tc>
        <w:tc>
          <w:tcPr>
            <w:tcW w:w="245" w:type="pct"/>
            <w:shd w:val="clear" w:color="auto" w:fill="auto"/>
            <w:noWrap/>
            <w:vAlign w:val="center"/>
          </w:tcPr>
          <w:p w14:paraId="1FFF477A">
            <w:pPr>
              <w:pStyle w:val="40"/>
              <w:rPr>
                <w:b w:val="0"/>
                <w:bCs/>
                <w:color w:val="000000" w:themeColor="text1"/>
                <w14:textFill>
                  <w14:solidFill>
                    <w14:schemeClr w14:val="tx1"/>
                  </w14:solidFill>
                </w14:textFill>
              </w:rPr>
            </w:pPr>
          </w:p>
        </w:tc>
        <w:tc>
          <w:tcPr>
            <w:tcW w:w="245" w:type="pct"/>
            <w:shd w:val="clear" w:color="auto" w:fill="auto"/>
            <w:noWrap/>
            <w:vAlign w:val="center"/>
          </w:tcPr>
          <w:p w14:paraId="5DB18CF6">
            <w:pPr>
              <w:pStyle w:val="40"/>
              <w:rPr>
                <w:b w:val="0"/>
                <w:bCs/>
                <w:color w:val="000000" w:themeColor="text1"/>
                <w14:textFill>
                  <w14:solidFill>
                    <w14:schemeClr w14:val="tx1"/>
                  </w14:solidFill>
                </w14:textFill>
              </w:rPr>
            </w:pPr>
          </w:p>
        </w:tc>
        <w:tc>
          <w:tcPr>
            <w:tcW w:w="245" w:type="pct"/>
            <w:shd w:val="clear" w:color="auto" w:fill="auto"/>
            <w:noWrap/>
            <w:vAlign w:val="center"/>
          </w:tcPr>
          <w:p w14:paraId="1867AB5B">
            <w:pPr>
              <w:pStyle w:val="40"/>
              <w:rPr>
                <w:b w:val="0"/>
                <w:bCs/>
                <w:color w:val="000000" w:themeColor="text1"/>
                <w14:textFill>
                  <w14:solidFill>
                    <w14:schemeClr w14:val="tx1"/>
                  </w14:solidFill>
                </w14:textFill>
              </w:rPr>
            </w:pPr>
          </w:p>
        </w:tc>
        <w:tc>
          <w:tcPr>
            <w:tcW w:w="245" w:type="pct"/>
            <w:shd w:val="clear" w:color="auto" w:fill="auto"/>
            <w:noWrap/>
            <w:vAlign w:val="center"/>
          </w:tcPr>
          <w:p w14:paraId="2B4FCDFC">
            <w:pPr>
              <w:pStyle w:val="40"/>
              <w:rPr>
                <w:b w:val="0"/>
                <w:bCs/>
                <w:color w:val="000000" w:themeColor="text1"/>
                <w14:textFill>
                  <w14:solidFill>
                    <w14:schemeClr w14:val="tx1"/>
                  </w14:solidFill>
                </w14:textFill>
              </w:rPr>
            </w:pPr>
          </w:p>
        </w:tc>
        <w:tc>
          <w:tcPr>
            <w:tcW w:w="245" w:type="pct"/>
            <w:shd w:val="clear" w:color="auto" w:fill="auto"/>
            <w:noWrap/>
            <w:vAlign w:val="center"/>
          </w:tcPr>
          <w:p w14:paraId="52220189">
            <w:pPr>
              <w:pStyle w:val="40"/>
              <w:rPr>
                <w:b w:val="0"/>
                <w:bCs/>
                <w:color w:val="000000" w:themeColor="text1"/>
                <w14:textFill>
                  <w14:solidFill>
                    <w14:schemeClr w14:val="tx1"/>
                  </w14:solidFill>
                </w14:textFill>
              </w:rPr>
            </w:pPr>
          </w:p>
        </w:tc>
        <w:tc>
          <w:tcPr>
            <w:tcW w:w="245" w:type="pct"/>
            <w:shd w:val="clear" w:color="auto" w:fill="auto"/>
            <w:noWrap/>
            <w:vAlign w:val="center"/>
          </w:tcPr>
          <w:p w14:paraId="2B708BB0">
            <w:pPr>
              <w:pStyle w:val="40"/>
              <w:rPr>
                <w:b w:val="0"/>
                <w:bCs/>
                <w:color w:val="000000" w:themeColor="text1"/>
                <w14:textFill>
                  <w14:solidFill>
                    <w14:schemeClr w14:val="tx1"/>
                  </w14:solidFill>
                </w14:textFill>
              </w:rPr>
            </w:pPr>
          </w:p>
        </w:tc>
        <w:tc>
          <w:tcPr>
            <w:tcW w:w="246" w:type="pct"/>
            <w:shd w:val="clear" w:color="auto" w:fill="auto"/>
            <w:noWrap/>
            <w:vAlign w:val="center"/>
          </w:tcPr>
          <w:p w14:paraId="1AC232C1">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-60960</wp:posOffset>
                      </wp:positionH>
                      <wp:positionV relativeFrom="paragraph">
                        <wp:posOffset>92075</wp:posOffset>
                      </wp:positionV>
                      <wp:extent cx="550545" cy="3810"/>
                      <wp:effectExtent l="0" t="13970" r="1905" b="77470"/>
                      <wp:wrapNone/>
                      <wp:docPr id="7" name="直接连接符 350"/>
                      <wp:cNvGraphicFramePr/>
                      <a:graphic xmlns:a="http://schemas.openxmlformats.org/drawingml/2006/main">
                        <a:graphicData uri="http://schemas.microsoft.com/office/word/2010/wordprocessingShape">
                          <wps:wsp>
                            <wps:cNvCnPr/>
                            <wps:spPr>
                              <a:xfrm>
                                <a:off x="0" y="0"/>
                                <a:ext cx="550545" cy="381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4.8pt;margin-top:7.25pt;height:0.3pt;width:43.35pt;z-index:251680768;mso-width-relative:page;mso-height-relative:page;" filled="f" stroked="t" coordsize="21600,21600" o:gfxdata="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J8DS50wAAAAcBAAAPAAAAAAAAAAEAIAAAACIAAABkcnMvZG93bnJldi54bWxQSwECFAAU&#10;AAAACACHTuJAKZnDnS8CAABJBAAADgAAAAAAAAABACAAAAAiAQAAZHJzL2Uyb0RvYy54bWxQSwUG&#10;AAAAAAYABgBZAQAAwwUAAAAA&#10;">
                      <v:fill on="f" focussize="0,0"/>
                      <v:stroke weight="2.25pt" color="#000000 [3213]" miterlimit="8" joinstyle="miter"/>
                      <v:imagedata o:title=""/>
                      <o:lock v:ext="edit" aspectratio="f"/>
                    </v:line>
                  </w:pict>
                </mc:Fallback>
              </mc:AlternateContent>
            </w:r>
          </w:p>
        </w:tc>
        <w:tc>
          <w:tcPr>
            <w:tcW w:w="280" w:type="pct"/>
            <w:shd w:val="clear" w:color="auto" w:fill="auto"/>
            <w:noWrap/>
            <w:vAlign w:val="center"/>
          </w:tcPr>
          <w:p w14:paraId="4F0FA239">
            <w:pPr>
              <w:pStyle w:val="40"/>
              <w:rPr>
                <w:b w:val="0"/>
                <w:bCs/>
                <w:color w:val="000000" w:themeColor="text1"/>
                <w14:textFill>
                  <w14:solidFill>
                    <w14:schemeClr w14:val="tx1"/>
                  </w14:solidFill>
                </w14:textFill>
              </w:rPr>
            </w:pPr>
          </w:p>
        </w:tc>
        <w:tc>
          <w:tcPr>
            <w:tcW w:w="282" w:type="pct"/>
            <w:shd w:val="clear" w:color="auto" w:fill="auto"/>
            <w:noWrap/>
            <w:vAlign w:val="center"/>
          </w:tcPr>
          <w:p w14:paraId="4383F8D0">
            <w:pPr>
              <w:pStyle w:val="40"/>
              <w:rPr>
                <w:b w:val="0"/>
                <w:bCs/>
                <w:color w:val="000000" w:themeColor="text1"/>
                <w14:textFill>
                  <w14:solidFill>
                    <w14:schemeClr w14:val="tx1"/>
                  </w14:solidFill>
                </w14:textFill>
              </w:rPr>
            </w:pPr>
          </w:p>
        </w:tc>
      </w:tr>
      <w:tr w14:paraId="3C45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continue"/>
            <w:vAlign w:val="center"/>
          </w:tcPr>
          <w:p w14:paraId="41E0489E">
            <w:pPr>
              <w:pStyle w:val="40"/>
              <w:rPr>
                <w:b w:val="0"/>
                <w:bCs/>
                <w:color w:val="000000" w:themeColor="text1"/>
                <w14:textFill>
                  <w14:solidFill>
                    <w14:schemeClr w14:val="tx1"/>
                  </w14:solidFill>
                </w14:textFill>
              </w:rPr>
            </w:pPr>
          </w:p>
        </w:tc>
        <w:tc>
          <w:tcPr>
            <w:tcW w:w="756" w:type="pct"/>
            <w:shd w:val="clear" w:color="auto" w:fill="auto"/>
            <w:noWrap/>
            <w:vAlign w:val="center"/>
          </w:tcPr>
          <w:p w14:paraId="744E6552">
            <w:pPr>
              <w:pStyle w:val="40"/>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泥浆沉淀池</w:t>
            </w:r>
          </w:p>
        </w:tc>
        <w:tc>
          <w:tcPr>
            <w:tcW w:w="302" w:type="pct"/>
            <w:shd w:val="clear" w:color="auto" w:fill="auto"/>
            <w:noWrap/>
            <w:vAlign w:val="center"/>
          </w:tcPr>
          <w:p w14:paraId="14CEFF9C">
            <w:pPr>
              <w:pStyle w:val="40"/>
              <w:rPr>
                <w:b w:val="0"/>
                <w:bCs/>
                <w:color w:val="000000" w:themeColor="text1"/>
                <w14:textFill>
                  <w14:solidFill>
                    <w14:schemeClr w14:val="tx1"/>
                  </w14:solidFill>
                </w14:textFill>
              </w:rPr>
            </w:pPr>
          </w:p>
        </w:tc>
        <w:tc>
          <w:tcPr>
            <w:tcW w:w="279" w:type="pct"/>
            <w:shd w:val="clear" w:color="auto" w:fill="auto"/>
            <w:noWrap/>
            <w:vAlign w:val="center"/>
          </w:tcPr>
          <w:p w14:paraId="2551D1BB">
            <w:pPr>
              <w:pStyle w:val="40"/>
              <w:rPr>
                <w:b w:val="0"/>
                <w:bCs/>
                <w:color w:val="000000" w:themeColor="text1"/>
                <w14:textFill>
                  <w14:solidFill>
                    <w14:schemeClr w14:val="tx1"/>
                  </w14:solidFill>
                </w14:textFill>
              </w:rPr>
            </w:pPr>
          </w:p>
        </w:tc>
        <w:tc>
          <w:tcPr>
            <w:tcW w:w="275" w:type="pct"/>
            <w:shd w:val="clear" w:color="auto" w:fill="auto"/>
            <w:noWrap/>
            <w:vAlign w:val="center"/>
          </w:tcPr>
          <w:p w14:paraId="0AEE92C2">
            <w:pPr>
              <w:pStyle w:val="40"/>
              <w:rPr>
                <w:b w:val="0"/>
                <w:bCs/>
                <w:color w:val="000000" w:themeColor="text1"/>
                <w14:textFill>
                  <w14:solidFill>
                    <w14:schemeClr w14:val="tx1"/>
                  </w14:solidFill>
                </w14:textFill>
              </w:rPr>
            </w:pPr>
          </w:p>
        </w:tc>
        <w:tc>
          <w:tcPr>
            <w:tcW w:w="282" w:type="pct"/>
            <w:shd w:val="clear" w:color="auto" w:fill="auto"/>
            <w:noWrap/>
            <w:vAlign w:val="center"/>
          </w:tcPr>
          <w:p w14:paraId="242CBB21">
            <w:pPr>
              <w:pStyle w:val="40"/>
              <w:rPr>
                <w:b w:val="0"/>
                <w:bCs/>
                <w:color w:val="000000" w:themeColor="text1"/>
                <w14:textFill>
                  <w14:solidFill>
                    <w14:schemeClr w14:val="tx1"/>
                  </w14:solidFill>
                </w14:textFill>
              </w:rPr>
            </w:pPr>
          </w:p>
        </w:tc>
        <w:tc>
          <w:tcPr>
            <w:tcW w:w="245" w:type="pct"/>
            <w:shd w:val="clear" w:color="auto" w:fill="auto"/>
            <w:noWrap/>
            <w:vAlign w:val="center"/>
          </w:tcPr>
          <w:p w14:paraId="73E07655">
            <w:pPr>
              <w:pStyle w:val="40"/>
              <w:rPr>
                <w:b w:val="0"/>
                <w:bCs/>
                <w:color w:val="000000" w:themeColor="text1"/>
                <w14:textFill>
                  <w14:solidFill>
                    <w14:schemeClr w14:val="tx1"/>
                  </w14:solidFill>
                </w14:textFill>
              </w:rPr>
            </w:pPr>
          </w:p>
        </w:tc>
        <w:tc>
          <w:tcPr>
            <w:tcW w:w="245" w:type="pct"/>
            <w:shd w:val="clear" w:color="auto" w:fill="auto"/>
            <w:noWrap/>
            <w:vAlign w:val="center"/>
          </w:tcPr>
          <w:p w14:paraId="3ACB5D8B">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55245</wp:posOffset>
                      </wp:positionH>
                      <wp:positionV relativeFrom="paragraph">
                        <wp:posOffset>83820</wp:posOffset>
                      </wp:positionV>
                      <wp:extent cx="892175" cy="4445"/>
                      <wp:effectExtent l="0" t="13970" r="3175" b="76835"/>
                      <wp:wrapNone/>
                      <wp:docPr id="72" name="直接连接符 350"/>
                      <wp:cNvGraphicFramePr/>
                      <a:graphic xmlns:a="http://schemas.openxmlformats.org/drawingml/2006/main">
                        <a:graphicData uri="http://schemas.microsoft.com/office/word/2010/wordprocessingShape">
                          <wps:wsp>
                            <wps:cNvCnPr/>
                            <wps:spPr>
                              <a:xfrm>
                                <a:off x="0" y="0"/>
                                <a:ext cx="892175" cy="4445"/>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4.35pt;margin-top:6.6pt;height:0.35pt;width:70.25pt;z-index:251692032;mso-width-relative:page;mso-height-relative:page;" filled="f" stroked="t" coordsize="21600,21600" o:gfxdata="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8SXKXSAAAABwEAAA8AAAAAAAAAAQAgAAAAIgAAAGRycy9kb3ducmV2LnhtbFBLAQIUABQA&#10;AAAIAIdO4kCE/Se4LwIAAEoEAAAOAAAAAAAAAAEAIAAAACEBAABkcnMvZTJvRG9jLnhtbFBLBQYA&#10;AAAABgAGAFkBAADCBQ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0C08AC74">
            <w:pPr>
              <w:pStyle w:val="40"/>
              <w:rPr>
                <w:b w:val="0"/>
                <w:bCs/>
                <w:color w:val="000000" w:themeColor="text1"/>
                <w14:textFill>
                  <w14:solidFill>
                    <w14:schemeClr w14:val="tx1"/>
                  </w14:solidFill>
                </w14:textFill>
              </w:rPr>
            </w:pPr>
          </w:p>
        </w:tc>
        <w:tc>
          <w:tcPr>
            <w:tcW w:w="245" w:type="pct"/>
            <w:shd w:val="clear" w:color="auto" w:fill="auto"/>
            <w:noWrap/>
            <w:vAlign w:val="center"/>
          </w:tcPr>
          <w:p w14:paraId="4B51C5ED">
            <w:pPr>
              <w:pStyle w:val="40"/>
              <w:rPr>
                <w:b w:val="0"/>
                <w:bCs/>
                <w:color w:val="000000" w:themeColor="text1"/>
                <w14:textFill>
                  <w14:solidFill>
                    <w14:schemeClr w14:val="tx1"/>
                  </w14:solidFill>
                </w14:textFill>
              </w:rPr>
            </w:pPr>
          </w:p>
        </w:tc>
        <w:tc>
          <w:tcPr>
            <w:tcW w:w="245" w:type="pct"/>
            <w:shd w:val="clear" w:color="auto" w:fill="auto"/>
            <w:noWrap/>
            <w:vAlign w:val="center"/>
          </w:tcPr>
          <w:p w14:paraId="5C241A77">
            <w:pPr>
              <w:pStyle w:val="40"/>
              <w:rPr>
                <w:b w:val="0"/>
                <w:bCs/>
                <w:color w:val="000000" w:themeColor="text1"/>
                <w14:textFill>
                  <w14:solidFill>
                    <w14:schemeClr w14:val="tx1"/>
                  </w14:solidFill>
                </w14:textFill>
              </w:rPr>
            </w:pPr>
          </w:p>
        </w:tc>
        <w:tc>
          <w:tcPr>
            <w:tcW w:w="245" w:type="pct"/>
            <w:shd w:val="clear" w:color="auto" w:fill="auto"/>
            <w:noWrap/>
            <w:vAlign w:val="center"/>
          </w:tcPr>
          <w:p w14:paraId="22506330">
            <w:pPr>
              <w:pStyle w:val="40"/>
              <w:rPr>
                <w:b w:val="0"/>
                <w:bCs/>
                <w:color w:val="000000" w:themeColor="text1"/>
                <w14:textFill>
                  <w14:solidFill>
                    <w14:schemeClr w14:val="tx1"/>
                  </w14:solidFill>
                </w14:textFill>
              </w:rPr>
            </w:pPr>
          </w:p>
        </w:tc>
        <w:tc>
          <w:tcPr>
            <w:tcW w:w="245" w:type="pct"/>
            <w:shd w:val="clear" w:color="auto" w:fill="auto"/>
            <w:noWrap/>
            <w:vAlign w:val="center"/>
          </w:tcPr>
          <w:p w14:paraId="4FF7D59F">
            <w:pPr>
              <w:pStyle w:val="40"/>
              <w:rPr>
                <w:b w:val="0"/>
                <w:bCs/>
                <w:color w:val="000000" w:themeColor="text1"/>
                <w14:textFill>
                  <w14:solidFill>
                    <w14:schemeClr w14:val="tx1"/>
                  </w14:solidFill>
                </w14:textFill>
              </w:rPr>
            </w:pPr>
          </w:p>
        </w:tc>
        <w:tc>
          <w:tcPr>
            <w:tcW w:w="245" w:type="pct"/>
            <w:shd w:val="clear" w:color="auto" w:fill="auto"/>
            <w:noWrap/>
            <w:vAlign w:val="center"/>
          </w:tcPr>
          <w:p w14:paraId="58EAC60F">
            <w:pPr>
              <w:pStyle w:val="40"/>
              <w:rPr>
                <w:b w:val="0"/>
                <w:bCs/>
                <w:color w:val="000000" w:themeColor="text1"/>
                <w14:textFill>
                  <w14:solidFill>
                    <w14:schemeClr w14:val="tx1"/>
                  </w14:solidFill>
                </w14:textFill>
              </w:rPr>
            </w:pPr>
          </w:p>
        </w:tc>
        <w:tc>
          <w:tcPr>
            <w:tcW w:w="246" w:type="pct"/>
            <w:shd w:val="clear" w:color="auto" w:fill="auto"/>
            <w:noWrap/>
            <w:vAlign w:val="center"/>
          </w:tcPr>
          <w:p w14:paraId="58C7BE38">
            <w:pPr>
              <w:pStyle w:val="40"/>
              <w:rPr>
                <w:b w:val="0"/>
                <w:bCs/>
                <w:color w:val="000000" w:themeColor="text1"/>
                <w14:textFill>
                  <w14:solidFill>
                    <w14:schemeClr w14:val="tx1"/>
                  </w14:solidFill>
                </w14:textFill>
              </w:rPr>
            </w:pPr>
          </w:p>
        </w:tc>
        <w:tc>
          <w:tcPr>
            <w:tcW w:w="280" w:type="pct"/>
            <w:shd w:val="clear" w:color="auto" w:fill="auto"/>
            <w:noWrap/>
            <w:vAlign w:val="center"/>
          </w:tcPr>
          <w:p w14:paraId="2A059EDF">
            <w:pPr>
              <w:pStyle w:val="40"/>
              <w:rPr>
                <w:b w:val="0"/>
                <w:bCs/>
                <w:color w:val="000000" w:themeColor="text1"/>
                <w14:textFill>
                  <w14:solidFill>
                    <w14:schemeClr w14:val="tx1"/>
                  </w14:solidFill>
                </w14:textFill>
              </w:rPr>
            </w:pPr>
          </w:p>
        </w:tc>
        <w:tc>
          <w:tcPr>
            <w:tcW w:w="282" w:type="pct"/>
            <w:shd w:val="clear" w:color="auto" w:fill="auto"/>
            <w:noWrap/>
            <w:vAlign w:val="center"/>
          </w:tcPr>
          <w:p w14:paraId="5B5ABF8B">
            <w:pPr>
              <w:pStyle w:val="40"/>
              <w:rPr>
                <w:b w:val="0"/>
                <w:bCs/>
                <w:color w:val="000000" w:themeColor="text1"/>
                <w14:textFill>
                  <w14:solidFill>
                    <w14:schemeClr w14:val="tx1"/>
                  </w14:solidFill>
                </w14:textFill>
              </w:rPr>
            </w:pPr>
          </w:p>
        </w:tc>
      </w:tr>
      <w:tr w14:paraId="5335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continue"/>
            <w:vAlign w:val="center"/>
          </w:tcPr>
          <w:p w14:paraId="5BD8CADD">
            <w:pPr>
              <w:pStyle w:val="40"/>
              <w:rPr>
                <w:b w:val="0"/>
                <w:bCs/>
                <w:color w:val="000000" w:themeColor="text1"/>
                <w14:textFill>
                  <w14:solidFill>
                    <w14:schemeClr w14:val="tx1"/>
                  </w14:solidFill>
                </w14:textFill>
              </w:rPr>
            </w:pPr>
          </w:p>
        </w:tc>
        <w:tc>
          <w:tcPr>
            <w:tcW w:w="756" w:type="pct"/>
            <w:shd w:val="clear" w:color="auto" w:fill="auto"/>
            <w:noWrap/>
            <w:vAlign w:val="center"/>
          </w:tcPr>
          <w:p w14:paraId="1BB0088C">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彩条旗限界</w:t>
            </w:r>
          </w:p>
        </w:tc>
        <w:tc>
          <w:tcPr>
            <w:tcW w:w="302" w:type="pct"/>
            <w:shd w:val="clear" w:color="auto" w:fill="auto"/>
            <w:noWrap/>
            <w:vAlign w:val="center"/>
          </w:tcPr>
          <w:p w14:paraId="586888AF">
            <w:pPr>
              <w:pStyle w:val="40"/>
              <w:rPr>
                <w:b w:val="0"/>
                <w:bCs/>
                <w:color w:val="000000" w:themeColor="text1"/>
                <w14:textFill>
                  <w14:solidFill>
                    <w14:schemeClr w14:val="tx1"/>
                  </w14:solidFill>
                </w14:textFill>
              </w:rPr>
            </w:pPr>
          </w:p>
        </w:tc>
        <w:tc>
          <w:tcPr>
            <w:tcW w:w="279" w:type="pct"/>
            <w:shd w:val="clear" w:color="auto" w:fill="auto"/>
            <w:noWrap/>
            <w:vAlign w:val="center"/>
          </w:tcPr>
          <w:p w14:paraId="761934F1">
            <w:pPr>
              <w:pStyle w:val="40"/>
              <w:rPr>
                <w:b w:val="0"/>
                <w:bCs/>
                <w:color w:val="000000" w:themeColor="text1"/>
                <w14:textFill>
                  <w14:solidFill>
                    <w14:schemeClr w14:val="tx1"/>
                  </w14:solidFill>
                </w14:textFill>
              </w:rPr>
            </w:pPr>
          </w:p>
        </w:tc>
        <w:tc>
          <w:tcPr>
            <w:tcW w:w="275" w:type="pct"/>
            <w:shd w:val="clear" w:color="auto" w:fill="auto"/>
            <w:noWrap/>
            <w:vAlign w:val="center"/>
          </w:tcPr>
          <w:p w14:paraId="28DB6DBC">
            <w:pPr>
              <w:pStyle w:val="40"/>
              <w:rPr>
                <w:b w:val="0"/>
                <w:bCs/>
                <w:color w:val="000000" w:themeColor="text1"/>
                <w14:textFill>
                  <w14:solidFill>
                    <w14:schemeClr w14:val="tx1"/>
                  </w14:solidFill>
                </w14:textFill>
              </w:rPr>
            </w:pPr>
          </w:p>
        </w:tc>
        <w:tc>
          <w:tcPr>
            <w:tcW w:w="282" w:type="pct"/>
            <w:shd w:val="clear" w:color="auto" w:fill="auto"/>
            <w:noWrap/>
            <w:vAlign w:val="center"/>
          </w:tcPr>
          <w:p w14:paraId="7F5F7E32">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-777875</wp:posOffset>
                      </wp:positionH>
                      <wp:positionV relativeFrom="paragraph">
                        <wp:posOffset>114935</wp:posOffset>
                      </wp:positionV>
                      <wp:extent cx="3371215" cy="12065"/>
                      <wp:effectExtent l="0" t="13970" r="635" b="50165"/>
                      <wp:wrapNone/>
                      <wp:docPr id="9" name="直接连接符 350"/>
                      <wp:cNvGraphicFramePr/>
                      <a:graphic xmlns:a="http://schemas.openxmlformats.org/drawingml/2006/main">
                        <a:graphicData uri="http://schemas.microsoft.com/office/word/2010/wordprocessingShape">
                          <wps:wsp>
                            <wps:cNvCnPr/>
                            <wps:spPr>
                              <a:xfrm>
                                <a:off x="0" y="0"/>
                                <a:ext cx="3371215" cy="12065"/>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61.25pt;margin-top:9.05pt;height:0.95pt;width:265.45pt;z-index:251682816;mso-width-relative:page;mso-height-relative:page;" filled="f" stroked="t" coordsize="21600,21600" o:gfxdata="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TzlF3XAAAACgEAAA8AAAAAAAAAAQAgAAAAIgAAAGRycy9kb3ducmV2LnhtbFBL&#10;AQIUABQAAAAIAIdO4kDqd08LMAIAAEsEAAAOAAAAAAAAAAEAIAAAACYBAABkcnMvZTJvRG9jLnht&#10;bFBLBQYAAAAABgAGAFkBAADIBQ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212299D9">
            <w:pPr>
              <w:pStyle w:val="40"/>
              <w:rPr>
                <w:b w:val="0"/>
                <w:bCs/>
                <w:color w:val="000000" w:themeColor="text1"/>
                <w14:textFill>
                  <w14:solidFill>
                    <w14:schemeClr w14:val="tx1"/>
                  </w14:solidFill>
                </w14:textFill>
              </w:rPr>
            </w:pPr>
          </w:p>
        </w:tc>
        <w:tc>
          <w:tcPr>
            <w:tcW w:w="245" w:type="pct"/>
            <w:shd w:val="clear" w:color="auto" w:fill="auto"/>
            <w:noWrap/>
            <w:vAlign w:val="center"/>
          </w:tcPr>
          <w:p w14:paraId="38CCD578">
            <w:pPr>
              <w:pStyle w:val="40"/>
              <w:rPr>
                <w:b w:val="0"/>
                <w:bCs/>
                <w:color w:val="000000" w:themeColor="text1"/>
                <w14:textFill>
                  <w14:solidFill>
                    <w14:schemeClr w14:val="tx1"/>
                  </w14:solidFill>
                </w14:textFill>
              </w:rPr>
            </w:pPr>
          </w:p>
        </w:tc>
        <w:tc>
          <w:tcPr>
            <w:tcW w:w="245" w:type="pct"/>
            <w:shd w:val="clear" w:color="auto" w:fill="auto"/>
            <w:noWrap/>
            <w:vAlign w:val="center"/>
          </w:tcPr>
          <w:p w14:paraId="79BC11E8">
            <w:pPr>
              <w:pStyle w:val="40"/>
              <w:rPr>
                <w:b w:val="0"/>
                <w:bCs/>
                <w:color w:val="000000" w:themeColor="text1"/>
                <w14:textFill>
                  <w14:solidFill>
                    <w14:schemeClr w14:val="tx1"/>
                  </w14:solidFill>
                </w14:textFill>
              </w:rPr>
            </w:pPr>
          </w:p>
        </w:tc>
        <w:tc>
          <w:tcPr>
            <w:tcW w:w="245" w:type="pct"/>
            <w:shd w:val="clear" w:color="auto" w:fill="auto"/>
            <w:noWrap/>
            <w:vAlign w:val="center"/>
          </w:tcPr>
          <w:p w14:paraId="2FFEE6C2">
            <w:pPr>
              <w:pStyle w:val="40"/>
              <w:rPr>
                <w:b w:val="0"/>
                <w:bCs/>
                <w:color w:val="000000" w:themeColor="text1"/>
                <w14:textFill>
                  <w14:solidFill>
                    <w14:schemeClr w14:val="tx1"/>
                  </w14:solidFill>
                </w14:textFill>
              </w:rPr>
            </w:pPr>
          </w:p>
        </w:tc>
        <w:tc>
          <w:tcPr>
            <w:tcW w:w="245" w:type="pct"/>
            <w:shd w:val="clear" w:color="auto" w:fill="auto"/>
            <w:noWrap/>
            <w:vAlign w:val="center"/>
          </w:tcPr>
          <w:p w14:paraId="0B64E10A">
            <w:pPr>
              <w:pStyle w:val="40"/>
              <w:rPr>
                <w:b w:val="0"/>
                <w:bCs/>
                <w:color w:val="000000" w:themeColor="text1"/>
                <w14:textFill>
                  <w14:solidFill>
                    <w14:schemeClr w14:val="tx1"/>
                  </w14:solidFill>
                </w14:textFill>
              </w:rPr>
            </w:pPr>
          </w:p>
        </w:tc>
        <w:tc>
          <w:tcPr>
            <w:tcW w:w="245" w:type="pct"/>
            <w:shd w:val="clear" w:color="auto" w:fill="auto"/>
            <w:noWrap/>
            <w:vAlign w:val="center"/>
          </w:tcPr>
          <w:p w14:paraId="5F0CFA5B">
            <w:pPr>
              <w:pStyle w:val="40"/>
              <w:rPr>
                <w:b w:val="0"/>
                <w:bCs/>
                <w:color w:val="000000" w:themeColor="text1"/>
                <w14:textFill>
                  <w14:solidFill>
                    <w14:schemeClr w14:val="tx1"/>
                  </w14:solidFill>
                </w14:textFill>
              </w:rPr>
            </w:pPr>
          </w:p>
        </w:tc>
        <w:tc>
          <w:tcPr>
            <w:tcW w:w="245" w:type="pct"/>
            <w:shd w:val="clear" w:color="auto" w:fill="auto"/>
            <w:noWrap/>
            <w:vAlign w:val="center"/>
          </w:tcPr>
          <w:p w14:paraId="319C6F6B">
            <w:pPr>
              <w:pStyle w:val="40"/>
              <w:rPr>
                <w:b w:val="0"/>
                <w:bCs/>
                <w:color w:val="000000" w:themeColor="text1"/>
                <w14:textFill>
                  <w14:solidFill>
                    <w14:schemeClr w14:val="tx1"/>
                  </w14:solidFill>
                </w14:textFill>
              </w:rPr>
            </w:pPr>
          </w:p>
        </w:tc>
        <w:tc>
          <w:tcPr>
            <w:tcW w:w="245" w:type="pct"/>
            <w:shd w:val="clear" w:color="auto" w:fill="auto"/>
            <w:noWrap/>
            <w:vAlign w:val="center"/>
          </w:tcPr>
          <w:p w14:paraId="44A5AC6F">
            <w:pPr>
              <w:pStyle w:val="40"/>
              <w:rPr>
                <w:b w:val="0"/>
                <w:bCs/>
                <w:color w:val="000000" w:themeColor="text1"/>
                <w14:textFill>
                  <w14:solidFill>
                    <w14:schemeClr w14:val="tx1"/>
                  </w14:solidFill>
                </w14:textFill>
              </w:rPr>
            </w:pPr>
          </w:p>
        </w:tc>
        <w:tc>
          <w:tcPr>
            <w:tcW w:w="246" w:type="pct"/>
            <w:shd w:val="clear" w:color="auto" w:fill="auto"/>
            <w:noWrap/>
            <w:vAlign w:val="center"/>
          </w:tcPr>
          <w:p w14:paraId="70790B27">
            <w:pPr>
              <w:pStyle w:val="40"/>
              <w:rPr>
                <w:b w:val="0"/>
                <w:bCs/>
                <w:color w:val="000000" w:themeColor="text1"/>
                <w14:textFill>
                  <w14:solidFill>
                    <w14:schemeClr w14:val="tx1"/>
                  </w14:solidFill>
                </w14:textFill>
              </w:rPr>
            </w:pPr>
          </w:p>
        </w:tc>
        <w:tc>
          <w:tcPr>
            <w:tcW w:w="280" w:type="pct"/>
            <w:shd w:val="clear" w:color="auto" w:fill="auto"/>
            <w:noWrap/>
            <w:vAlign w:val="center"/>
          </w:tcPr>
          <w:p w14:paraId="52B00A91">
            <w:pPr>
              <w:pStyle w:val="40"/>
              <w:rPr>
                <w:b w:val="0"/>
                <w:bCs/>
                <w:color w:val="000000" w:themeColor="text1"/>
                <w14:textFill>
                  <w14:solidFill>
                    <w14:schemeClr w14:val="tx1"/>
                  </w14:solidFill>
                </w14:textFill>
              </w:rPr>
            </w:pPr>
          </w:p>
        </w:tc>
        <w:tc>
          <w:tcPr>
            <w:tcW w:w="282" w:type="pct"/>
            <w:shd w:val="clear" w:color="auto" w:fill="auto"/>
            <w:noWrap/>
            <w:vAlign w:val="center"/>
          </w:tcPr>
          <w:p w14:paraId="5CC17548">
            <w:pPr>
              <w:pStyle w:val="40"/>
              <w:rPr>
                <w:b w:val="0"/>
                <w:bCs/>
                <w:color w:val="000000" w:themeColor="text1"/>
                <w14:textFill>
                  <w14:solidFill>
                    <w14:schemeClr w14:val="tx1"/>
                  </w14:solidFill>
                </w14:textFill>
              </w:rPr>
            </w:pPr>
          </w:p>
        </w:tc>
      </w:tr>
      <w:tr w14:paraId="63F4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326" w:type="pct"/>
            <w:vMerge w:val="continue"/>
            <w:vAlign w:val="center"/>
          </w:tcPr>
          <w:p w14:paraId="544AB589">
            <w:pPr>
              <w:pStyle w:val="40"/>
              <w:rPr>
                <w:b w:val="0"/>
                <w:bCs/>
                <w:color w:val="000000" w:themeColor="text1"/>
                <w14:textFill>
                  <w14:solidFill>
                    <w14:schemeClr w14:val="tx1"/>
                  </w14:solidFill>
                </w14:textFill>
              </w:rPr>
            </w:pPr>
          </w:p>
        </w:tc>
        <w:tc>
          <w:tcPr>
            <w:tcW w:w="756" w:type="pct"/>
            <w:shd w:val="clear" w:color="auto" w:fill="auto"/>
            <w:noWrap/>
            <w:vAlign w:val="center"/>
          </w:tcPr>
          <w:p w14:paraId="55E4F544">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密目网苫盖</w:t>
            </w:r>
          </w:p>
        </w:tc>
        <w:tc>
          <w:tcPr>
            <w:tcW w:w="302" w:type="pct"/>
            <w:shd w:val="clear" w:color="auto" w:fill="auto"/>
            <w:noWrap/>
            <w:vAlign w:val="center"/>
          </w:tcPr>
          <w:p w14:paraId="744B6655">
            <w:pPr>
              <w:pStyle w:val="40"/>
              <w:rPr>
                <w:b w:val="0"/>
                <w:bCs/>
                <w:color w:val="000000" w:themeColor="text1"/>
                <w14:textFill>
                  <w14:solidFill>
                    <w14:schemeClr w14:val="tx1"/>
                  </w14:solidFill>
                </w14:textFill>
              </w:rPr>
            </w:pPr>
          </w:p>
        </w:tc>
        <w:tc>
          <w:tcPr>
            <w:tcW w:w="279" w:type="pct"/>
            <w:shd w:val="clear" w:color="auto" w:fill="auto"/>
            <w:noWrap/>
            <w:vAlign w:val="center"/>
          </w:tcPr>
          <w:p w14:paraId="433EEA97">
            <w:pPr>
              <w:pStyle w:val="40"/>
              <w:rPr>
                <w:b w:val="0"/>
                <w:bCs/>
                <w:color w:val="000000" w:themeColor="text1"/>
                <w14:textFill>
                  <w14:solidFill>
                    <w14:schemeClr w14:val="tx1"/>
                  </w14:solidFill>
                </w14:textFill>
              </w:rPr>
            </w:pPr>
          </w:p>
        </w:tc>
        <w:tc>
          <w:tcPr>
            <w:tcW w:w="275" w:type="pct"/>
            <w:shd w:val="clear" w:color="auto" w:fill="auto"/>
            <w:noWrap/>
            <w:vAlign w:val="center"/>
          </w:tcPr>
          <w:p w14:paraId="42AA7DE9">
            <w:pPr>
              <w:pStyle w:val="40"/>
              <w:rPr>
                <w:b w:val="0"/>
                <w:bCs/>
                <w:color w:val="000000" w:themeColor="text1"/>
                <w14:textFill>
                  <w14:solidFill>
                    <w14:schemeClr w14:val="tx1"/>
                  </w14:solidFill>
                </w14:textFill>
              </w:rPr>
            </w:pPr>
          </w:p>
        </w:tc>
        <w:tc>
          <w:tcPr>
            <w:tcW w:w="282" w:type="pct"/>
            <w:shd w:val="clear" w:color="auto" w:fill="auto"/>
            <w:noWrap/>
            <w:vAlign w:val="center"/>
          </w:tcPr>
          <w:p w14:paraId="17ED5FDC">
            <w:pPr>
              <w:pStyle w:val="40"/>
              <w:rPr>
                <w:b w:val="0"/>
                <w:bCs/>
                <w:color w:val="000000" w:themeColor="text1"/>
                <w14:textFill>
                  <w14:solidFill>
                    <w14:schemeClr w14:val="tx1"/>
                  </w14:solidFill>
                </w14:textFill>
              </w:rPr>
            </w:pPr>
          </w:p>
        </w:tc>
        <w:tc>
          <w:tcPr>
            <w:tcW w:w="245" w:type="pct"/>
            <w:shd w:val="clear" w:color="auto" w:fill="auto"/>
            <w:noWrap/>
            <w:vAlign w:val="center"/>
          </w:tcPr>
          <w:p w14:paraId="0528B32E">
            <w:pPr>
              <w:pStyle w:val="40"/>
              <w:rPr>
                <w:b w:val="0"/>
                <w:bCs/>
                <w:color w:val="000000" w:themeColor="text1"/>
                <w14:textFill>
                  <w14:solidFill>
                    <w14:schemeClr w14:val="tx1"/>
                  </w14:solidFill>
                </w14:textFill>
              </w:rPr>
            </w:pPr>
          </w:p>
        </w:tc>
        <w:tc>
          <w:tcPr>
            <w:tcW w:w="245" w:type="pct"/>
            <w:shd w:val="clear" w:color="auto" w:fill="auto"/>
            <w:noWrap/>
            <w:vAlign w:val="center"/>
          </w:tcPr>
          <w:p w14:paraId="2CC43E75">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88900</wp:posOffset>
                      </wp:positionH>
                      <wp:positionV relativeFrom="paragraph">
                        <wp:posOffset>103505</wp:posOffset>
                      </wp:positionV>
                      <wp:extent cx="1638300" cy="1270"/>
                      <wp:effectExtent l="0" t="0" r="0" b="0"/>
                      <wp:wrapNone/>
                      <wp:docPr id="36" name="直接连接符 350"/>
                      <wp:cNvGraphicFramePr/>
                      <a:graphic xmlns:a="http://schemas.openxmlformats.org/drawingml/2006/main">
                        <a:graphicData uri="http://schemas.microsoft.com/office/word/2010/wordprocessingShape">
                          <wps:wsp>
                            <wps:cNvCnPr/>
                            <wps:spPr>
                              <a:xfrm>
                                <a:off x="0" y="0"/>
                                <a:ext cx="1638300" cy="127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7pt;margin-top:8.15pt;height:0.1pt;width:129pt;z-index:251683840;mso-width-relative:page;mso-height-relative:page;" filled="f" stroked="t" coordsize="21600,21600" o:gfxdata="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t6Ngu9MAAAAIAQAADwAAAAAAAAABACAAAAAiAAAAZHJzL2Rvd25yZXYueG1sUEsB&#10;AhQAFAAAAAgAh07iQJOTvSczAgAASwQAAA4AAAAAAAAAAQAgAAAAIgEAAGRycy9lMm9Eb2MueG1s&#10;UEsFBgAAAAAGAAYAWQEAAMcFA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17F1E4C5">
            <w:pPr>
              <w:pStyle w:val="40"/>
              <w:rPr>
                <w:b w:val="0"/>
                <w:bCs/>
                <w:color w:val="000000" w:themeColor="text1"/>
                <w14:textFill>
                  <w14:solidFill>
                    <w14:schemeClr w14:val="tx1"/>
                  </w14:solidFill>
                </w14:textFill>
              </w:rPr>
            </w:pPr>
          </w:p>
        </w:tc>
        <w:tc>
          <w:tcPr>
            <w:tcW w:w="245" w:type="pct"/>
            <w:shd w:val="clear" w:color="auto" w:fill="auto"/>
            <w:noWrap/>
            <w:vAlign w:val="center"/>
          </w:tcPr>
          <w:p w14:paraId="023E2652">
            <w:pPr>
              <w:pStyle w:val="40"/>
              <w:rPr>
                <w:b w:val="0"/>
                <w:bCs/>
                <w:color w:val="000000" w:themeColor="text1"/>
                <w14:textFill>
                  <w14:solidFill>
                    <w14:schemeClr w14:val="tx1"/>
                  </w14:solidFill>
                </w14:textFill>
              </w:rPr>
            </w:pPr>
          </w:p>
        </w:tc>
        <w:tc>
          <w:tcPr>
            <w:tcW w:w="245" w:type="pct"/>
            <w:shd w:val="clear" w:color="auto" w:fill="auto"/>
            <w:noWrap/>
            <w:vAlign w:val="center"/>
          </w:tcPr>
          <w:p w14:paraId="52B89323">
            <w:pPr>
              <w:pStyle w:val="40"/>
              <w:rPr>
                <w:b w:val="0"/>
                <w:bCs/>
                <w:color w:val="000000" w:themeColor="text1"/>
                <w14:textFill>
                  <w14:solidFill>
                    <w14:schemeClr w14:val="tx1"/>
                  </w14:solidFill>
                </w14:textFill>
              </w:rPr>
            </w:pPr>
          </w:p>
        </w:tc>
        <w:tc>
          <w:tcPr>
            <w:tcW w:w="245" w:type="pct"/>
            <w:shd w:val="clear" w:color="auto" w:fill="auto"/>
            <w:noWrap/>
            <w:vAlign w:val="center"/>
          </w:tcPr>
          <w:p w14:paraId="779D6049">
            <w:pPr>
              <w:pStyle w:val="40"/>
              <w:rPr>
                <w:b w:val="0"/>
                <w:bCs/>
                <w:color w:val="000000" w:themeColor="text1"/>
                <w14:textFill>
                  <w14:solidFill>
                    <w14:schemeClr w14:val="tx1"/>
                  </w14:solidFill>
                </w14:textFill>
              </w:rPr>
            </w:pPr>
          </w:p>
        </w:tc>
        <w:tc>
          <w:tcPr>
            <w:tcW w:w="245" w:type="pct"/>
            <w:shd w:val="clear" w:color="auto" w:fill="auto"/>
            <w:noWrap/>
            <w:vAlign w:val="center"/>
          </w:tcPr>
          <w:p w14:paraId="7823D9DE">
            <w:pPr>
              <w:pStyle w:val="40"/>
              <w:rPr>
                <w:b w:val="0"/>
                <w:bCs/>
                <w:color w:val="000000" w:themeColor="text1"/>
                <w14:textFill>
                  <w14:solidFill>
                    <w14:schemeClr w14:val="tx1"/>
                  </w14:solidFill>
                </w14:textFill>
              </w:rPr>
            </w:pPr>
          </w:p>
        </w:tc>
        <w:tc>
          <w:tcPr>
            <w:tcW w:w="245" w:type="pct"/>
            <w:shd w:val="clear" w:color="auto" w:fill="auto"/>
            <w:noWrap/>
            <w:vAlign w:val="center"/>
          </w:tcPr>
          <w:p w14:paraId="7A9082F7">
            <w:pPr>
              <w:pStyle w:val="40"/>
              <w:rPr>
                <w:b w:val="0"/>
                <w:bCs/>
                <w:color w:val="000000" w:themeColor="text1"/>
                <w14:textFill>
                  <w14:solidFill>
                    <w14:schemeClr w14:val="tx1"/>
                  </w14:solidFill>
                </w14:textFill>
              </w:rPr>
            </w:pPr>
          </w:p>
        </w:tc>
        <w:tc>
          <w:tcPr>
            <w:tcW w:w="246" w:type="pct"/>
            <w:shd w:val="clear" w:color="auto" w:fill="auto"/>
            <w:noWrap/>
            <w:vAlign w:val="center"/>
          </w:tcPr>
          <w:p w14:paraId="6D8DA8D1">
            <w:pPr>
              <w:pStyle w:val="40"/>
              <w:rPr>
                <w:b w:val="0"/>
                <w:bCs/>
                <w:color w:val="000000" w:themeColor="text1"/>
                <w14:textFill>
                  <w14:solidFill>
                    <w14:schemeClr w14:val="tx1"/>
                  </w14:solidFill>
                </w14:textFill>
              </w:rPr>
            </w:pPr>
          </w:p>
        </w:tc>
        <w:tc>
          <w:tcPr>
            <w:tcW w:w="280" w:type="pct"/>
            <w:shd w:val="clear" w:color="auto" w:fill="auto"/>
            <w:noWrap/>
            <w:vAlign w:val="center"/>
          </w:tcPr>
          <w:p w14:paraId="37F35D03">
            <w:pPr>
              <w:pStyle w:val="40"/>
              <w:rPr>
                <w:b w:val="0"/>
                <w:bCs/>
                <w:color w:val="000000" w:themeColor="text1"/>
                <w14:textFill>
                  <w14:solidFill>
                    <w14:schemeClr w14:val="tx1"/>
                  </w14:solidFill>
                </w14:textFill>
              </w:rPr>
            </w:pPr>
          </w:p>
        </w:tc>
        <w:tc>
          <w:tcPr>
            <w:tcW w:w="282" w:type="pct"/>
            <w:shd w:val="clear" w:color="auto" w:fill="auto"/>
            <w:noWrap/>
            <w:vAlign w:val="center"/>
          </w:tcPr>
          <w:p w14:paraId="658F3820">
            <w:pPr>
              <w:pStyle w:val="40"/>
              <w:rPr>
                <w:b w:val="0"/>
                <w:bCs/>
                <w:color w:val="000000" w:themeColor="text1"/>
                <w14:textFill>
                  <w14:solidFill>
                    <w14:schemeClr w14:val="tx1"/>
                  </w14:solidFill>
                </w14:textFill>
              </w:rPr>
            </w:pPr>
          </w:p>
        </w:tc>
      </w:tr>
      <w:tr w14:paraId="1156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326" w:type="pct"/>
            <w:vMerge w:val="continue"/>
            <w:vAlign w:val="center"/>
          </w:tcPr>
          <w:p w14:paraId="73E4B504">
            <w:pPr>
              <w:pStyle w:val="40"/>
              <w:rPr>
                <w:b w:val="0"/>
                <w:bCs/>
                <w:color w:val="000000" w:themeColor="text1"/>
                <w14:textFill>
                  <w14:solidFill>
                    <w14:schemeClr w14:val="tx1"/>
                  </w14:solidFill>
                </w14:textFill>
              </w:rPr>
            </w:pPr>
          </w:p>
        </w:tc>
        <w:tc>
          <w:tcPr>
            <w:tcW w:w="756" w:type="pct"/>
            <w:shd w:val="clear" w:color="auto" w:fill="auto"/>
            <w:noWrap/>
            <w:vAlign w:val="center"/>
          </w:tcPr>
          <w:p w14:paraId="06B02AC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洒水降尘</w:t>
            </w:r>
          </w:p>
        </w:tc>
        <w:tc>
          <w:tcPr>
            <w:tcW w:w="302" w:type="pct"/>
            <w:shd w:val="clear" w:color="auto" w:fill="auto"/>
            <w:noWrap/>
            <w:vAlign w:val="center"/>
          </w:tcPr>
          <w:p w14:paraId="5C7F62D8">
            <w:pPr>
              <w:pStyle w:val="40"/>
              <w:rPr>
                <w:b w:val="0"/>
                <w:bCs/>
                <w:color w:val="000000" w:themeColor="text1"/>
                <w14:textFill>
                  <w14:solidFill>
                    <w14:schemeClr w14:val="tx1"/>
                  </w14:solidFill>
                </w14:textFill>
              </w:rPr>
            </w:pPr>
          </w:p>
        </w:tc>
        <w:tc>
          <w:tcPr>
            <w:tcW w:w="279" w:type="pct"/>
            <w:shd w:val="clear" w:color="auto" w:fill="auto"/>
            <w:noWrap/>
            <w:vAlign w:val="center"/>
          </w:tcPr>
          <w:p w14:paraId="73F6BA10">
            <w:pPr>
              <w:pStyle w:val="40"/>
              <w:rPr>
                <w:b w:val="0"/>
                <w:bCs/>
                <w:color w:val="000000" w:themeColor="text1"/>
                <w14:textFill>
                  <w14:solidFill>
                    <w14:schemeClr w14:val="tx1"/>
                  </w14:solidFill>
                </w14:textFill>
              </w:rPr>
            </w:pPr>
          </w:p>
        </w:tc>
        <w:tc>
          <w:tcPr>
            <w:tcW w:w="275" w:type="pct"/>
            <w:shd w:val="clear" w:color="auto" w:fill="auto"/>
            <w:noWrap/>
            <w:vAlign w:val="center"/>
          </w:tcPr>
          <w:p w14:paraId="02570781">
            <w:pPr>
              <w:pStyle w:val="40"/>
              <w:rPr>
                <w:b w:val="0"/>
                <w:bCs/>
                <w:color w:val="000000" w:themeColor="text1"/>
                <w14:textFill>
                  <w14:solidFill>
                    <w14:schemeClr w14:val="tx1"/>
                  </w14:solidFill>
                </w14:textFill>
              </w:rPr>
            </w:pPr>
          </w:p>
        </w:tc>
        <w:tc>
          <w:tcPr>
            <w:tcW w:w="282" w:type="pct"/>
            <w:shd w:val="clear" w:color="auto" w:fill="auto"/>
            <w:noWrap/>
            <w:vAlign w:val="center"/>
          </w:tcPr>
          <w:p w14:paraId="57EA3D6A">
            <w:pPr>
              <w:pStyle w:val="40"/>
              <w:rPr>
                <w:b w:val="0"/>
                <w:bCs/>
                <w:color w:val="000000" w:themeColor="text1"/>
                <w14:textFill>
                  <w14:solidFill>
                    <w14:schemeClr w14:val="tx1"/>
                  </w14:solidFill>
                </w14:textFill>
              </w:rPr>
            </w:pPr>
          </w:p>
        </w:tc>
        <w:tc>
          <w:tcPr>
            <w:tcW w:w="245" w:type="pct"/>
            <w:shd w:val="clear" w:color="auto" w:fill="auto"/>
            <w:noWrap/>
            <w:vAlign w:val="center"/>
          </w:tcPr>
          <w:p w14:paraId="4E94F0B5">
            <w:pPr>
              <w:pStyle w:val="40"/>
              <w:rPr>
                <w:b w:val="0"/>
                <w:bCs/>
                <w:color w:val="000000" w:themeColor="text1"/>
                <w14:textFill>
                  <w14:solidFill>
                    <w14:schemeClr w14:val="tx1"/>
                  </w14:solidFill>
                </w14:textFill>
              </w:rPr>
            </w:pPr>
          </w:p>
        </w:tc>
        <w:tc>
          <w:tcPr>
            <w:tcW w:w="245" w:type="pct"/>
            <w:shd w:val="clear" w:color="auto" w:fill="auto"/>
            <w:noWrap/>
            <w:vAlign w:val="center"/>
          </w:tcPr>
          <w:p w14:paraId="50516E94">
            <w:pPr>
              <w:pStyle w:val="40"/>
              <w:rPr>
                <w:b w:val="0"/>
                <w:bCs/>
                <w:color w:val="000000" w:themeColor="text1"/>
                <w14:textFill>
                  <w14:solidFill>
                    <w14:schemeClr w14:val="tx1"/>
                  </w14:solidFill>
                </w14:textFill>
              </w:rPr>
            </w:pPr>
          </w:p>
        </w:tc>
        <w:tc>
          <w:tcPr>
            <w:tcW w:w="245" w:type="pct"/>
            <w:shd w:val="clear" w:color="auto" w:fill="auto"/>
            <w:noWrap/>
            <w:vAlign w:val="center"/>
          </w:tcPr>
          <w:p w14:paraId="2DA41CC3">
            <w:pPr>
              <w:pStyle w:val="40"/>
              <w:rPr>
                <w:b w:val="0"/>
                <w:bCs/>
                <w:color w:val="000000" w:themeColor="text1"/>
                <w14:textFill>
                  <w14:solidFill>
                    <w14:schemeClr w14:val="tx1"/>
                  </w14:solidFill>
                </w14:textFill>
              </w:rPr>
            </w:pPr>
          </w:p>
        </w:tc>
        <w:tc>
          <w:tcPr>
            <w:tcW w:w="245" w:type="pct"/>
            <w:shd w:val="clear" w:color="auto" w:fill="auto"/>
            <w:noWrap/>
            <w:vAlign w:val="center"/>
          </w:tcPr>
          <w:p w14:paraId="4BCCD89C">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61595</wp:posOffset>
                      </wp:positionH>
                      <wp:positionV relativeFrom="paragraph">
                        <wp:posOffset>92710</wp:posOffset>
                      </wp:positionV>
                      <wp:extent cx="653415" cy="1270"/>
                      <wp:effectExtent l="0" t="0" r="0" b="0"/>
                      <wp:wrapNone/>
                      <wp:docPr id="37" name="直接连接符 350"/>
                      <wp:cNvGraphicFramePr/>
                      <a:graphic xmlns:a="http://schemas.openxmlformats.org/drawingml/2006/main">
                        <a:graphicData uri="http://schemas.microsoft.com/office/word/2010/wordprocessingShape">
                          <wps:wsp>
                            <wps:cNvCnPr/>
                            <wps:spPr>
                              <a:xfrm flipV="1">
                                <a:off x="0" y="0"/>
                                <a:ext cx="653415" cy="127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flip:y;margin-left:4.85pt;margin-top:7.3pt;height:0.1pt;width:51.45pt;z-index:251684864;mso-width-relative:page;mso-height-relative:page;" filled="f" stroked="t" coordsize="21600,21600" o:gfxdata="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ghVhtQAAAAHAQAADwAAAAAAAAABACAAAAAiAAAAZHJzL2Rvd25yZXYu&#10;eG1sUEsBAhQAFAAAAAgAh07iQE//5iQ4AgAAVAQAAA4AAAAAAAAAAQAgAAAAIwEAAGRycy9lMm9E&#10;b2MueG1sUEsFBgAAAAAGAAYAWQEAAM0FA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4F12B6A4">
            <w:pPr>
              <w:pStyle w:val="40"/>
              <w:rPr>
                <w:b w:val="0"/>
                <w:bCs/>
                <w:color w:val="000000" w:themeColor="text1"/>
                <w14:textFill>
                  <w14:solidFill>
                    <w14:schemeClr w14:val="tx1"/>
                  </w14:solidFill>
                </w14:textFill>
              </w:rPr>
            </w:pPr>
          </w:p>
        </w:tc>
        <w:tc>
          <w:tcPr>
            <w:tcW w:w="245" w:type="pct"/>
            <w:shd w:val="clear" w:color="auto" w:fill="auto"/>
            <w:noWrap/>
            <w:vAlign w:val="center"/>
          </w:tcPr>
          <w:p w14:paraId="71DD8B05">
            <w:pPr>
              <w:pStyle w:val="40"/>
              <w:rPr>
                <w:b w:val="0"/>
                <w:bCs/>
                <w:color w:val="000000" w:themeColor="text1"/>
                <w14:textFill>
                  <w14:solidFill>
                    <w14:schemeClr w14:val="tx1"/>
                  </w14:solidFill>
                </w14:textFill>
              </w:rPr>
            </w:pPr>
          </w:p>
        </w:tc>
        <w:tc>
          <w:tcPr>
            <w:tcW w:w="245" w:type="pct"/>
            <w:shd w:val="clear" w:color="auto" w:fill="auto"/>
            <w:noWrap/>
            <w:vAlign w:val="center"/>
          </w:tcPr>
          <w:p w14:paraId="359891CA">
            <w:pPr>
              <w:pStyle w:val="40"/>
              <w:rPr>
                <w:b w:val="0"/>
                <w:bCs/>
                <w:color w:val="000000" w:themeColor="text1"/>
                <w14:textFill>
                  <w14:solidFill>
                    <w14:schemeClr w14:val="tx1"/>
                  </w14:solidFill>
                </w14:textFill>
              </w:rPr>
            </w:pPr>
          </w:p>
        </w:tc>
        <w:tc>
          <w:tcPr>
            <w:tcW w:w="245" w:type="pct"/>
            <w:shd w:val="clear" w:color="auto" w:fill="auto"/>
            <w:noWrap/>
            <w:vAlign w:val="center"/>
          </w:tcPr>
          <w:p w14:paraId="786955C8">
            <w:pPr>
              <w:pStyle w:val="40"/>
              <w:rPr>
                <w:b w:val="0"/>
                <w:bCs/>
                <w:color w:val="000000" w:themeColor="text1"/>
                <w14:textFill>
                  <w14:solidFill>
                    <w14:schemeClr w14:val="tx1"/>
                  </w14:solidFill>
                </w14:textFill>
              </w:rPr>
            </w:pPr>
          </w:p>
        </w:tc>
        <w:tc>
          <w:tcPr>
            <w:tcW w:w="246" w:type="pct"/>
            <w:shd w:val="clear" w:color="auto" w:fill="auto"/>
            <w:noWrap/>
            <w:vAlign w:val="center"/>
          </w:tcPr>
          <w:p w14:paraId="74E01AEF">
            <w:pPr>
              <w:pStyle w:val="40"/>
              <w:rPr>
                <w:b w:val="0"/>
                <w:bCs/>
                <w:color w:val="000000" w:themeColor="text1"/>
                <w14:textFill>
                  <w14:solidFill>
                    <w14:schemeClr w14:val="tx1"/>
                  </w14:solidFill>
                </w14:textFill>
              </w:rPr>
            </w:pPr>
          </w:p>
        </w:tc>
        <w:tc>
          <w:tcPr>
            <w:tcW w:w="280" w:type="pct"/>
            <w:shd w:val="clear" w:color="auto" w:fill="auto"/>
            <w:noWrap/>
            <w:vAlign w:val="center"/>
          </w:tcPr>
          <w:p w14:paraId="51D427F1">
            <w:pPr>
              <w:pStyle w:val="40"/>
              <w:rPr>
                <w:b w:val="0"/>
                <w:bCs/>
                <w:color w:val="000000" w:themeColor="text1"/>
                <w14:textFill>
                  <w14:solidFill>
                    <w14:schemeClr w14:val="tx1"/>
                  </w14:solidFill>
                </w14:textFill>
              </w:rPr>
            </w:pPr>
          </w:p>
        </w:tc>
        <w:tc>
          <w:tcPr>
            <w:tcW w:w="282" w:type="pct"/>
            <w:shd w:val="clear" w:color="auto" w:fill="auto"/>
            <w:noWrap/>
            <w:vAlign w:val="center"/>
          </w:tcPr>
          <w:p w14:paraId="00FAC5AE">
            <w:pPr>
              <w:pStyle w:val="40"/>
              <w:rPr>
                <w:b w:val="0"/>
                <w:bCs/>
                <w:color w:val="000000" w:themeColor="text1"/>
                <w14:textFill>
                  <w14:solidFill>
                    <w14:schemeClr w14:val="tx1"/>
                  </w14:solidFill>
                </w14:textFill>
              </w:rPr>
            </w:pPr>
          </w:p>
        </w:tc>
      </w:tr>
      <w:tr w14:paraId="4DFA1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restart"/>
            <w:shd w:val="clear" w:color="auto" w:fill="auto"/>
            <w:noWrap/>
            <w:vAlign w:val="center"/>
          </w:tcPr>
          <w:p w14:paraId="45B3A8B5">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牵张场地区</w:t>
            </w:r>
          </w:p>
        </w:tc>
        <w:tc>
          <w:tcPr>
            <w:tcW w:w="756" w:type="pct"/>
            <w:shd w:val="clear" w:color="auto" w:fill="auto"/>
            <w:noWrap/>
            <w:vAlign w:val="center"/>
          </w:tcPr>
          <w:p w14:paraId="19369118">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土地平整</w:t>
            </w:r>
          </w:p>
        </w:tc>
        <w:tc>
          <w:tcPr>
            <w:tcW w:w="302" w:type="pct"/>
            <w:shd w:val="clear" w:color="auto" w:fill="auto"/>
            <w:noWrap/>
            <w:vAlign w:val="center"/>
          </w:tcPr>
          <w:p w14:paraId="43CD93AF">
            <w:pPr>
              <w:pStyle w:val="40"/>
              <w:rPr>
                <w:b w:val="0"/>
                <w:bCs/>
                <w:color w:val="000000" w:themeColor="text1"/>
                <w14:textFill>
                  <w14:solidFill>
                    <w14:schemeClr w14:val="tx1"/>
                  </w14:solidFill>
                </w14:textFill>
              </w:rPr>
            </w:pPr>
          </w:p>
        </w:tc>
        <w:tc>
          <w:tcPr>
            <w:tcW w:w="279" w:type="pct"/>
            <w:shd w:val="clear" w:color="auto" w:fill="auto"/>
            <w:noWrap/>
            <w:vAlign w:val="center"/>
          </w:tcPr>
          <w:p w14:paraId="5F96DBF8">
            <w:pPr>
              <w:pStyle w:val="40"/>
              <w:rPr>
                <w:b w:val="0"/>
                <w:bCs/>
                <w:color w:val="000000" w:themeColor="text1"/>
                <w14:textFill>
                  <w14:solidFill>
                    <w14:schemeClr w14:val="tx1"/>
                  </w14:solidFill>
                </w14:textFill>
              </w:rPr>
            </w:pPr>
          </w:p>
        </w:tc>
        <w:tc>
          <w:tcPr>
            <w:tcW w:w="275" w:type="pct"/>
            <w:shd w:val="clear" w:color="auto" w:fill="auto"/>
            <w:noWrap/>
            <w:vAlign w:val="center"/>
          </w:tcPr>
          <w:p w14:paraId="121494EB">
            <w:pPr>
              <w:pStyle w:val="40"/>
              <w:rPr>
                <w:b w:val="0"/>
                <w:bCs/>
                <w:color w:val="000000" w:themeColor="text1"/>
                <w14:textFill>
                  <w14:solidFill>
                    <w14:schemeClr w14:val="tx1"/>
                  </w14:solidFill>
                </w14:textFill>
              </w:rPr>
            </w:pPr>
          </w:p>
        </w:tc>
        <w:tc>
          <w:tcPr>
            <w:tcW w:w="282" w:type="pct"/>
            <w:shd w:val="clear" w:color="auto" w:fill="auto"/>
            <w:noWrap/>
            <w:vAlign w:val="center"/>
          </w:tcPr>
          <w:p w14:paraId="59068670">
            <w:pPr>
              <w:pStyle w:val="40"/>
              <w:rPr>
                <w:b w:val="0"/>
                <w:bCs/>
                <w:color w:val="000000" w:themeColor="text1"/>
                <w14:textFill>
                  <w14:solidFill>
                    <w14:schemeClr w14:val="tx1"/>
                  </w14:solidFill>
                </w14:textFill>
              </w:rPr>
            </w:pPr>
          </w:p>
        </w:tc>
        <w:tc>
          <w:tcPr>
            <w:tcW w:w="245" w:type="pct"/>
            <w:shd w:val="clear" w:color="auto" w:fill="auto"/>
            <w:noWrap/>
            <w:vAlign w:val="center"/>
          </w:tcPr>
          <w:p w14:paraId="7D9FEA1B">
            <w:pPr>
              <w:pStyle w:val="40"/>
              <w:rPr>
                <w:b w:val="0"/>
                <w:bCs/>
                <w:color w:val="000000" w:themeColor="text1"/>
                <w14:textFill>
                  <w14:solidFill>
                    <w14:schemeClr w14:val="tx1"/>
                  </w14:solidFill>
                </w14:textFill>
              </w:rPr>
            </w:pPr>
          </w:p>
        </w:tc>
        <w:tc>
          <w:tcPr>
            <w:tcW w:w="245" w:type="pct"/>
            <w:shd w:val="clear" w:color="auto" w:fill="auto"/>
            <w:noWrap/>
            <w:vAlign w:val="center"/>
          </w:tcPr>
          <w:p w14:paraId="113CF563">
            <w:pPr>
              <w:pStyle w:val="40"/>
              <w:rPr>
                <w:b w:val="0"/>
                <w:bCs/>
                <w:color w:val="000000" w:themeColor="text1"/>
                <w14:textFill>
                  <w14:solidFill>
                    <w14:schemeClr w14:val="tx1"/>
                  </w14:solidFill>
                </w14:textFill>
              </w:rPr>
            </w:pPr>
          </w:p>
        </w:tc>
        <w:tc>
          <w:tcPr>
            <w:tcW w:w="245" w:type="pct"/>
            <w:shd w:val="clear" w:color="auto" w:fill="auto"/>
            <w:noWrap/>
            <w:vAlign w:val="center"/>
          </w:tcPr>
          <w:p w14:paraId="51C7863C">
            <w:pPr>
              <w:pStyle w:val="40"/>
              <w:rPr>
                <w:b w:val="0"/>
                <w:bCs/>
                <w:color w:val="000000" w:themeColor="text1"/>
                <w14:textFill>
                  <w14:solidFill>
                    <w14:schemeClr w14:val="tx1"/>
                  </w14:solidFill>
                </w14:textFill>
              </w:rPr>
            </w:pPr>
          </w:p>
        </w:tc>
        <w:tc>
          <w:tcPr>
            <w:tcW w:w="245" w:type="pct"/>
            <w:shd w:val="clear" w:color="auto" w:fill="auto"/>
            <w:noWrap/>
            <w:vAlign w:val="center"/>
          </w:tcPr>
          <w:p w14:paraId="43DB3213">
            <w:pPr>
              <w:pStyle w:val="40"/>
              <w:rPr>
                <w:b w:val="0"/>
                <w:bCs/>
                <w:color w:val="000000" w:themeColor="text1"/>
                <w14:textFill>
                  <w14:solidFill>
                    <w14:schemeClr w14:val="tx1"/>
                  </w14:solidFill>
                </w14:textFill>
              </w:rPr>
            </w:pPr>
          </w:p>
        </w:tc>
        <w:tc>
          <w:tcPr>
            <w:tcW w:w="245" w:type="pct"/>
            <w:shd w:val="clear" w:color="auto" w:fill="auto"/>
            <w:noWrap/>
            <w:vAlign w:val="center"/>
          </w:tcPr>
          <w:p w14:paraId="66D38600">
            <w:pPr>
              <w:pStyle w:val="40"/>
              <w:rPr>
                <w:b w:val="0"/>
                <w:bCs/>
                <w:color w:val="000000" w:themeColor="text1"/>
                <w14:textFill>
                  <w14:solidFill>
                    <w14:schemeClr w14:val="tx1"/>
                  </w14:solidFill>
                </w14:textFill>
              </w:rPr>
            </w:pPr>
          </w:p>
        </w:tc>
        <w:tc>
          <w:tcPr>
            <w:tcW w:w="245" w:type="pct"/>
            <w:shd w:val="clear" w:color="auto" w:fill="auto"/>
            <w:noWrap/>
            <w:vAlign w:val="center"/>
          </w:tcPr>
          <w:p w14:paraId="111D52B6">
            <w:pPr>
              <w:pStyle w:val="40"/>
              <w:rPr>
                <w:b w:val="0"/>
                <w:bCs/>
                <w:color w:val="000000" w:themeColor="text1"/>
                <w14:textFill>
                  <w14:solidFill>
                    <w14:schemeClr w14:val="tx1"/>
                  </w14:solidFill>
                </w14:textFill>
              </w:rPr>
            </w:pPr>
          </w:p>
        </w:tc>
        <w:tc>
          <w:tcPr>
            <w:tcW w:w="245" w:type="pct"/>
            <w:shd w:val="clear" w:color="auto" w:fill="auto"/>
            <w:noWrap/>
            <w:vAlign w:val="center"/>
          </w:tcPr>
          <w:p w14:paraId="2A3D14C6">
            <w:pPr>
              <w:pStyle w:val="40"/>
              <w:rPr>
                <w:b w:val="0"/>
                <w:bCs/>
                <w:color w:val="000000" w:themeColor="text1"/>
                <w14:textFill>
                  <w14:solidFill>
                    <w14:schemeClr w14:val="tx1"/>
                  </w14:solidFill>
                </w14:textFill>
              </w:rPr>
            </w:pPr>
          </w:p>
        </w:tc>
        <w:tc>
          <w:tcPr>
            <w:tcW w:w="245" w:type="pct"/>
            <w:shd w:val="clear" w:color="auto" w:fill="auto"/>
            <w:noWrap/>
            <w:vAlign w:val="center"/>
          </w:tcPr>
          <w:p w14:paraId="4834219F">
            <w:pPr>
              <w:pStyle w:val="40"/>
              <w:rPr>
                <w:b w:val="0"/>
                <w:bCs/>
                <w:color w:val="000000" w:themeColor="text1"/>
                <w14:textFill>
                  <w14:solidFill>
                    <w14:schemeClr w14:val="tx1"/>
                  </w14:solidFill>
                </w14:textFill>
              </w:rPr>
            </w:pPr>
          </w:p>
        </w:tc>
        <w:tc>
          <w:tcPr>
            <w:tcW w:w="246" w:type="pct"/>
            <w:shd w:val="clear" w:color="auto" w:fill="auto"/>
            <w:noWrap/>
            <w:vAlign w:val="center"/>
          </w:tcPr>
          <w:p w14:paraId="5727E859">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-60960</wp:posOffset>
                      </wp:positionH>
                      <wp:positionV relativeFrom="paragraph">
                        <wp:posOffset>80010</wp:posOffset>
                      </wp:positionV>
                      <wp:extent cx="550545" cy="3810"/>
                      <wp:effectExtent l="0" t="13970" r="1905" b="77470"/>
                      <wp:wrapNone/>
                      <wp:docPr id="41" name="直接连接符 350"/>
                      <wp:cNvGraphicFramePr/>
                      <a:graphic xmlns:a="http://schemas.openxmlformats.org/drawingml/2006/main">
                        <a:graphicData uri="http://schemas.microsoft.com/office/word/2010/wordprocessingShape">
                          <wps:wsp>
                            <wps:cNvCnPr/>
                            <wps:spPr>
                              <a:xfrm>
                                <a:off x="0" y="0"/>
                                <a:ext cx="550545" cy="381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4.8pt;margin-top:6.3pt;height:0.3pt;width:43.35pt;z-index:251686912;mso-width-relative:page;mso-height-relative:page;" filled="f" stroked="t" coordsize="21600,21600" o:gfxdata="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0CJS3NQAAAAHAQAADwAAAAAAAAABACAAAAAiAAAAZHJzL2Rvd25yZXYueG1sUEsBAhQA&#10;FAAAAAgAh07iQK4A2mwvAgAASgQAAA4AAAAAAAAAAQAgAAAAIwEAAGRycy9lMm9Eb2MueG1sUEsF&#10;BgAAAAAGAAYAWQEAAMQFAAAAAA==&#10;">
                      <v:fill on="f" focussize="0,0"/>
                      <v:stroke weight="2.25pt" color="#000000 [3213]" miterlimit="8" joinstyle="miter"/>
                      <v:imagedata o:title=""/>
                      <o:lock v:ext="edit" aspectratio="f"/>
                    </v:line>
                  </w:pict>
                </mc:Fallback>
              </mc:AlternateContent>
            </w:r>
          </w:p>
        </w:tc>
        <w:tc>
          <w:tcPr>
            <w:tcW w:w="280" w:type="pct"/>
            <w:shd w:val="clear" w:color="auto" w:fill="auto"/>
            <w:noWrap/>
            <w:vAlign w:val="center"/>
          </w:tcPr>
          <w:p w14:paraId="50D91634">
            <w:pPr>
              <w:pStyle w:val="40"/>
              <w:rPr>
                <w:b w:val="0"/>
                <w:bCs/>
                <w:color w:val="000000" w:themeColor="text1"/>
                <w14:textFill>
                  <w14:solidFill>
                    <w14:schemeClr w14:val="tx1"/>
                  </w14:solidFill>
                </w14:textFill>
              </w:rPr>
            </w:pPr>
          </w:p>
        </w:tc>
        <w:tc>
          <w:tcPr>
            <w:tcW w:w="282" w:type="pct"/>
            <w:shd w:val="clear" w:color="auto" w:fill="auto"/>
            <w:noWrap/>
            <w:vAlign w:val="center"/>
          </w:tcPr>
          <w:p w14:paraId="6AC8EE8B">
            <w:pPr>
              <w:pStyle w:val="40"/>
              <w:rPr>
                <w:b w:val="0"/>
                <w:bCs/>
                <w:color w:val="000000" w:themeColor="text1"/>
                <w14:textFill>
                  <w14:solidFill>
                    <w14:schemeClr w14:val="tx1"/>
                  </w14:solidFill>
                </w14:textFill>
              </w:rPr>
            </w:pPr>
          </w:p>
        </w:tc>
      </w:tr>
      <w:tr w14:paraId="5547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continue"/>
            <w:vAlign w:val="center"/>
          </w:tcPr>
          <w:p w14:paraId="329C8919">
            <w:pPr>
              <w:pStyle w:val="40"/>
              <w:rPr>
                <w:b w:val="0"/>
                <w:bCs/>
                <w:color w:val="000000" w:themeColor="text1"/>
                <w14:textFill>
                  <w14:solidFill>
                    <w14:schemeClr w14:val="tx1"/>
                  </w14:solidFill>
                </w14:textFill>
              </w:rPr>
            </w:pPr>
          </w:p>
        </w:tc>
        <w:tc>
          <w:tcPr>
            <w:tcW w:w="756" w:type="pct"/>
            <w:shd w:val="clear" w:color="auto" w:fill="auto"/>
            <w:noWrap/>
            <w:vAlign w:val="center"/>
          </w:tcPr>
          <w:p w14:paraId="2F27F61D">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彩条旗限界</w:t>
            </w:r>
          </w:p>
        </w:tc>
        <w:tc>
          <w:tcPr>
            <w:tcW w:w="302" w:type="pct"/>
            <w:shd w:val="clear" w:color="auto" w:fill="auto"/>
            <w:noWrap/>
            <w:vAlign w:val="center"/>
          </w:tcPr>
          <w:p w14:paraId="6187A2C3">
            <w:pPr>
              <w:pStyle w:val="40"/>
              <w:rPr>
                <w:b w:val="0"/>
                <w:bCs/>
                <w:color w:val="000000" w:themeColor="text1"/>
                <w14:textFill>
                  <w14:solidFill>
                    <w14:schemeClr w14:val="tx1"/>
                  </w14:solidFill>
                </w14:textFill>
              </w:rPr>
            </w:pPr>
          </w:p>
        </w:tc>
        <w:tc>
          <w:tcPr>
            <w:tcW w:w="279" w:type="pct"/>
            <w:shd w:val="clear" w:color="auto" w:fill="auto"/>
            <w:noWrap/>
            <w:vAlign w:val="center"/>
          </w:tcPr>
          <w:p w14:paraId="7CF4485B">
            <w:pPr>
              <w:pStyle w:val="40"/>
              <w:rPr>
                <w:b w:val="0"/>
                <w:bCs/>
                <w:color w:val="000000" w:themeColor="text1"/>
                <w14:textFill>
                  <w14:solidFill>
                    <w14:schemeClr w14:val="tx1"/>
                  </w14:solidFill>
                </w14:textFill>
              </w:rPr>
            </w:pPr>
          </w:p>
        </w:tc>
        <w:tc>
          <w:tcPr>
            <w:tcW w:w="275" w:type="pct"/>
            <w:shd w:val="clear" w:color="auto" w:fill="auto"/>
            <w:noWrap/>
            <w:vAlign w:val="center"/>
          </w:tcPr>
          <w:p w14:paraId="1BC6E8DA">
            <w:pPr>
              <w:pStyle w:val="40"/>
              <w:rPr>
                <w:b w:val="0"/>
                <w:bCs/>
                <w:color w:val="000000" w:themeColor="text1"/>
                <w14:textFill>
                  <w14:solidFill>
                    <w14:schemeClr w14:val="tx1"/>
                  </w14:solidFill>
                </w14:textFill>
              </w:rPr>
            </w:pPr>
          </w:p>
        </w:tc>
        <w:tc>
          <w:tcPr>
            <w:tcW w:w="282" w:type="pct"/>
            <w:shd w:val="clear" w:color="auto" w:fill="auto"/>
            <w:noWrap/>
            <w:vAlign w:val="center"/>
          </w:tcPr>
          <w:p w14:paraId="0D0935FC">
            <w:pPr>
              <w:pStyle w:val="40"/>
              <w:rPr>
                <w:b w:val="0"/>
                <w:bCs/>
                <w:color w:val="000000" w:themeColor="text1"/>
                <w14:textFill>
                  <w14:solidFill>
                    <w14:schemeClr w14:val="tx1"/>
                  </w14:solidFill>
                </w14:textFill>
              </w:rPr>
            </w:pPr>
          </w:p>
        </w:tc>
        <w:tc>
          <w:tcPr>
            <w:tcW w:w="245" w:type="pct"/>
            <w:shd w:val="clear" w:color="auto" w:fill="auto"/>
            <w:noWrap/>
            <w:vAlign w:val="center"/>
          </w:tcPr>
          <w:p w14:paraId="55FF706E">
            <w:pPr>
              <w:pStyle w:val="40"/>
              <w:rPr>
                <w:b w:val="0"/>
                <w:bCs/>
                <w:color w:val="000000" w:themeColor="text1"/>
                <w14:textFill>
                  <w14:solidFill>
                    <w14:schemeClr w14:val="tx1"/>
                  </w14:solidFill>
                </w14:textFill>
              </w:rPr>
            </w:pPr>
          </w:p>
        </w:tc>
        <w:tc>
          <w:tcPr>
            <w:tcW w:w="245" w:type="pct"/>
            <w:shd w:val="clear" w:color="auto" w:fill="auto"/>
            <w:noWrap/>
            <w:vAlign w:val="center"/>
          </w:tcPr>
          <w:p w14:paraId="6DA9C1B5">
            <w:pPr>
              <w:pStyle w:val="40"/>
              <w:rPr>
                <w:b w:val="0"/>
                <w:bCs/>
                <w:color w:val="000000" w:themeColor="text1"/>
                <w14:textFill>
                  <w14:solidFill>
                    <w14:schemeClr w14:val="tx1"/>
                  </w14:solidFill>
                </w14:textFill>
              </w:rPr>
            </w:pPr>
          </w:p>
        </w:tc>
        <w:tc>
          <w:tcPr>
            <w:tcW w:w="245" w:type="pct"/>
            <w:shd w:val="clear" w:color="auto" w:fill="auto"/>
            <w:noWrap/>
            <w:vAlign w:val="center"/>
          </w:tcPr>
          <w:p w14:paraId="185D8701">
            <w:pPr>
              <w:pStyle w:val="40"/>
              <w:rPr>
                <w:b w:val="0"/>
                <w:bCs/>
                <w:color w:val="000000" w:themeColor="text1"/>
                <w14:textFill>
                  <w14:solidFill>
                    <w14:schemeClr w14:val="tx1"/>
                  </w14:solidFill>
                </w14:textFill>
              </w:rPr>
            </w:pPr>
          </w:p>
        </w:tc>
        <w:tc>
          <w:tcPr>
            <w:tcW w:w="245" w:type="pct"/>
            <w:shd w:val="clear" w:color="auto" w:fill="auto"/>
            <w:noWrap/>
            <w:vAlign w:val="center"/>
          </w:tcPr>
          <w:p w14:paraId="4F69A6E4">
            <w:pPr>
              <w:pStyle w:val="40"/>
              <w:rPr>
                <w:b w:val="0"/>
                <w:bCs/>
                <w:color w:val="000000" w:themeColor="text1"/>
                <w14:textFill>
                  <w14:solidFill>
                    <w14:schemeClr w14:val="tx1"/>
                  </w14:solidFill>
                </w14:textFill>
              </w:rPr>
            </w:pPr>
          </w:p>
        </w:tc>
        <w:tc>
          <w:tcPr>
            <w:tcW w:w="245" w:type="pct"/>
            <w:shd w:val="clear" w:color="auto" w:fill="auto"/>
            <w:noWrap/>
            <w:vAlign w:val="center"/>
          </w:tcPr>
          <w:p w14:paraId="36B1FB8F">
            <w:pPr>
              <w:pStyle w:val="40"/>
              <w:rPr>
                <w:b w:val="0"/>
                <w:bCs/>
                <w:color w:val="000000" w:themeColor="text1"/>
                <w14:textFill>
                  <w14:solidFill>
                    <w14:schemeClr w14:val="tx1"/>
                  </w14:solidFill>
                </w14:textFill>
              </w:rPr>
            </w:pPr>
          </w:p>
        </w:tc>
        <w:tc>
          <w:tcPr>
            <w:tcW w:w="245" w:type="pct"/>
            <w:shd w:val="clear" w:color="auto" w:fill="auto"/>
            <w:noWrap/>
            <w:vAlign w:val="center"/>
          </w:tcPr>
          <w:p w14:paraId="51A76B10">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98425</wp:posOffset>
                      </wp:positionH>
                      <wp:positionV relativeFrom="paragraph">
                        <wp:posOffset>64770</wp:posOffset>
                      </wp:positionV>
                      <wp:extent cx="802005" cy="8255"/>
                      <wp:effectExtent l="0" t="0" r="17145" b="92710"/>
                      <wp:wrapNone/>
                      <wp:docPr id="40" name="直接连接符 350"/>
                      <wp:cNvGraphicFramePr/>
                      <a:graphic xmlns:a="http://schemas.openxmlformats.org/drawingml/2006/main">
                        <a:graphicData uri="http://schemas.microsoft.com/office/word/2010/wordprocessingShape">
                          <wps:wsp>
                            <wps:cNvCnPr/>
                            <wps:spPr>
                              <a:xfrm flipV="1">
                                <a:off x="0" y="0"/>
                                <a:ext cx="802005" cy="8255"/>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flip:y;margin-left:7.75pt;margin-top:5.1pt;height:0.65pt;width:63.15pt;z-index:251685888;mso-width-relative:page;mso-height-relative:page;" filled="f" stroked="t" coordsize="21600,21600" o:gfxdata="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M2vmxjVAAAACAEAAA8AAAAAAAAAAQAgAAAAIgAAAGRycy9kb3ducmV2&#10;LnhtbFBLAQIUABQAAAAIAIdO4kDYoSK2OAIAAFQEAAAOAAAAAAAAAAEAIAAAACQBAABkcnMvZTJv&#10;RG9jLnhtbFBLBQYAAAAABgAGAFkBAADOBQ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06EBF9F0">
            <w:pPr>
              <w:pStyle w:val="40"/>
              <w:rPr>
                <w:b w:val="0"/>
                <w:bCs/>
                <w:color w:val="000000" w:themeColor="text1"/>
                <w14:textFill>
                  <w14:solidFill>
                    <w14:schemeClr w14:val="tx1"/>
                  </w14:solidFill>
                </w14:textFill>
              </w:rPr>
            </w:pPr>
          </w:p>
        </w:tc>
        <w:tc>
          <w:tcPr>
            <w:tcW w:w="245" w:type="pct"/>
            <w:shd w:val="clear" w:color="auto" w:fill="auto"/>
            <w:noWrap/>
            <w:vAlign w:val="center"/>
          </w:tcPr>
          <w:p w14:paraId="6F79E430">
            <w:pPr>
              <w:pStyle w:val="40"/>
              <w:rPr>
                <w:b w:val="0"/>
                <w:bCs/>
                <w:color w:val="000000" w:themeColor="text1"/>
                <w14:textFill>
                  <w14:solidFill>
                    <w14:schemeClr w14:val="tx1"/>
                  </w14:solidFill>
                </w14:textFill>
              </w:rPr>
            </w:pPr>
          </w:p>
        </w:tc>
        <w:tc>
          <w:tcPr>
            <w:tcW w:w="246" w:type="pct"/>
            <w:shd w:val="clear" w:color="auto" w:fill="auto"/>
            <w:noWrap/>
            <w:vAlign w:val="center"/>
          </w:tcPr>
          <w:p w14:paraId="6C913C04">
            <w:pPr>
              <w:pStyle w:val="40"/>
              <w:rPr>
                <w:b w:val="0"/>
                <w:bCs/>
                <w:color w:val="000000" w:themeColor="text1"/>
                <w14:textFill>
                  <w14:solidFill>
                    <w14:schemeClr w14:val="tx1"/>
                  </w14:solidFill>
                </w14:textFill>
              </w:rPr>
            </w:pPr>
          </w:p>
        </w:tc>
        <w:tc>
          <w:tcPr>
            <w:tcW w:w="280" w:type="pct"/>
            <w:shd w:val="clear" w:color="auto" w:fill="auto"/>
            <w:noWrap/>
            <w:vAlign w:val="center"/>
          </w:tcPr>
          <w:p w14:paraId="63B2BEDF">
            <w:pPr>
              <w:pStyle w:val="40"/>
              <w:rPr>
                <w:b w:val="0"/>
                <w:bCs/>
                <w:color w:val="000000" w:themeColor="text1"/>
                <w14:textFill>
                  <w14:solidFill>
                    <w14:schemeClr w14:val="tx1"/>
                  </w14:solidFill>
                </w14:textFill>
              </w:rPr>
            </w:pPr>
          </w:p>
        </w:tc>
        <w:tc>
          <w:tcPr>
            <w:tcW w:w="282" w:type="pct"/>
            <w:shd w:val="clear" w:color="auto" w:fill="auto"/>
            <w:noWrap/>
            <w:vAlign w:val="center"/>
          </w:tcPr>
          <w:p w14:paraId="4B62AE79">
            <w:pPr>
              <w:pStyle w:val="40"/>
              <w:rPr>
                <w:b w:val="0"/>
                <w:bCs/>
                <w:color w:val="000000" w:themeColor="text1"/>
                <w14:textFill>
                  <w14:solidFill>
                    <w14:schemeClr w14:val="tx1"/>
                  </w14:solidFill>
                </w14:textFill>
              </w:rPr>
            </w:pPr>
          </w:p>
        </w:tc>
      </w:tr>
      <w:tr w14:paraId="377F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326" w:type="pct"/>
            <w:vMerge w:val="continue"/>
            <w:vAlign w:val="center"/>
          </w:tcPr>
          <w:p w14:paraId="2C5F390C">
            <w:pPr>
              <w:pStyle w:val="40"/>
              <w:rPr>
                <w:b w:val="0"/>
                <w:bCs/>
                <w:color w:val="000000" w:themeColor="text1"/>
                <w14:textFill>
                  <w14:solidFill>
                    <w14:schemeClr w14:val="tx1"/>
                  </w14:solidFill>
                </w14:textFill>
              </w:rPr>
            </w:pPr>
          </w:p>
        </w:tc>
        <w:tc>
          <w:tcPr>
            <w:tcW w:w="756" w:type="pct"/>
            <w:shd w:val="clear" w:color="auto" w:fill="auto"/>
            <w:noWrap/>
            <w:vAlign w:val="center"/>
          </w:tcPr>
          <w:p w14:paraId="01657E6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洒水降尘</w:t>
            </w:r>
          </w:p>
        </w:tc>
        <w:tc>
          <w:tcPr>
            <w:tcW w:w="302" w:type="pct"/>
            <w:shd w:val="clear" w:color="auto" w:fill="auto"/>
            <w:noWrap/>
            <w:vAlign w:val="center"/>
          </w:tcPr>
          <w:p w14:paraId="1ADDFE34">
            <w:pPr>
              <w:pStyle w:val="40"/>
              <w:rPr>
                <w:b w:val="0"/>
                <w:bCs/>
                <w:color w:val="000000" w:themeColor="text1"/>
                <w14:textFill>
                  <w14:solidFill>
                    <w14:schemeClr w14:val="tx1"/>
                  </w14:solidFill>
                </w14:textFill>
              </w:rPr>
            </w:pPr>
          </w:p>
        </w:tc>
        <w:tc>
          <w:tcPr>
            <w:tcW w:w="279" w:type="pct"/>
            <w:shd w:val="clear" w:color="auto" w:fill="auto"/>
            <w:noWrap/>
            <w:vAlign w:val="center"/>
          </w:tcPr>
          <w:p w14:paraId="64BF787C">
            <w:pPr>
              <w:pStyle w:val="40"/>
              <w:rPr>
                <w:b w:val="0"/>
                <w:bCs/>
                <w:color w:val="000000" w:themeColor="text1"/>
                <w14:textFill>
                  <w14:solidFill>
                    <w14:schemeClr w14:val="tx1"/>
                  </w14:solidFill>
                </w14:textFill>
              </w:rPr>
            </w:pPr>
          </w:p>
        </w:tc>
        <w:tc>
          <w:tcPr>
            <w:tcW w:w="275" w:type="pct"/>
            <w:shd w:val="clear" w:color="auto" w:fill="auto"/>
            <w:noWrap/>
            <w:vAlign w:val="center"/>
          </w:tcPr>
          <w:p w14:paraId="6AA9F708">
            <w:pPr>
              <w:pStyle w:val="40"/>
              <w:rPr>
                <w:b w:val="0"/>
                <w:bCs/>
                <w:color w:val="000000" w:themeColor="text1"/>
                <w14:textFill>
                  <w14:solidFill>
                    <w14:schemeClr w14:val="tx1"/>
                  </w14:solidFill>
                </w14:textFill>
              </w:rPr>
            </w:pPr>
          </w:p>
        </w:tc>
        <w:tc>
          <w:tcPr>
            <w:tcW w:w="282" w:type="pct"/>
            <w:shd w:val="clear" w:color="auto" w:fill="auto"/>
            <w:noWrap/>
            <w:vAlign w:val="center"/>
          </w:tcPr>
          <w:p w14:paraId="650E11E7">
            <w:pPr>
              <w:pStyle w:val="40"/>
              <w:rPr>
                <w:b w:val="0"/>
                <w:bCs/>
                <w:color w:val="000000" w:themeColor="text1"/>
                <w14:textFill>
                  <w14:solidFill>
                    <w14:schemeClr w14:val="tx1"/>
                  </w14:solidFill>
                </w14:textFill>
              </w:rPr>
            </w:pPr>
          </w:p>
        </w:tc>
        <w:tc>
          <w:tcPr>
            <w:tcW w:w="245" w:type="pct"/>
            <w:shd w:val="clear" w:color="auto" w:fill="auto"/>
            <w:noWrap/>
            <w:vAlign w:val="center"/>
          </w:tcPr>
          <w:p w14:paraId="12AC9849">
            <w:pPr>
              <w:pStyle w:val="40"/>
              <w:rPr>
                <w:b w:val="0"/>
                <w:bCs/>
                <w:color w:val="000000" w:themeColor="text1"/>
                <w14:textFill>
                  <w14:solidFill>
                    <w14:schemeClr w14:val="tx1"/>
                  </w14:solidFill>
                </w14:textFill>
              </w:rPr>
            </w:pPr>
          </w:p>
        </w:tc>
        <w:tc>
          <w:tcPr>
            <w:tcW w:w="245" w:type="pct"/>
            <w:shd w:val="clear" w:color="auto" w:fill="auto"/>
            <w:noWrap/>
            <w:vAlign w:val="center"/>
          </w:tcPr>
          <w:p w14:paraId="26627C29">
            <w:pPr>
              <w:pStyle w:val="40"/>
              <w:rPr>
                <w:b w:val="0"/>
                <w:bCs/>
                <w:color w:val="000000" w:themeColor="text1"/>
                <w14:textFill>
                  <w14:solidFill>
                    <w14:schemeClr w14:val="tx1"/>
                  </w14:solidFill>
                </w14:textFill>
              </w:rPr>
            </w:pPr>
          </w:p>
        </w:tc>
        <w:tc>
          <w:tcPr>
            <w:tcW w:w="245" w:type="pct"/>
            <w:shd w:val="clear" w:color="auto" w:fill="auto"/>
            <w:noWrap/>
            <w:vAlign w:val="center"/>
          </w:tcPr>
          <w:p w14:paraId="2D9D79F1">
            <w:pPr>
              <w:pStyle w:val="40"/>
              <w:rPr>
                <w:b w:val="0"/>
                <w:bCs/>
                <w:color w:val="000000" w:themeColor="text1"/>
                <w14:textFill>
                  <w14:solidFill>
                    <w14:schemeClr w14:val="tx1"/>
                  </w14:solidFill>
                </w14:textFill>
              </w:rPr>
            </w:pPr>
          </w:p>
        </w:tc>
        <w:tc>
          <w:tcPr>
            <w:tcW w:w="245" w:type="pct"/>
            <w:shd w:val="clear" w:color="auto" w:fill="auto"/>
            <w:noWrap/>
            <w:vAlign w:val="center"/>
          </w:tcPr>
          <w:p w14:paraId="40B1AF83">
            <w:pPr>
              <w:pStyle w:val="40"/>
              <w:rPr>
                <w:b w:val="0"/>
                <w:bCs/>
                <w:color w:val="000000" w:themeColor="text1"/>
                <w14:textFill>
                  <w14:solidFill>
                    <w14:schemeClr w14:val="tx1"/>
                  </w14:solidFill>
                </w14:textFill>
              </w:rPr>
            </w:pPr>
          </w:p>
        </w:tc>
        <w:tc>
          <w:tcPr>
            <w:tcW w:w="245" w:type="pct"/>
            <w:shd w:val="clear" w:color="auto" w:fill="auto"/>
            <w:noWrap/>
            <w:vAlign w:val="center"/>
          </w:tcPr>
          <w:p w14:paraId="7B282039">
            <w:pPr>
              <w:pStyle w:val="40"/>
              <w:rPr>
                <w:b w:val="0"/>
                <w:bCs/>
                <w:color w:val="000000" w:themeColor="text1"/>
                <w14:textFill>
                  <w14:solidFill>
                    <w14:schemeClr w14:val="tx1"/>
                  </w14:solidFill>
                </w14:textFill>
              </w:rPr>
            </w:pPr>
          </w:p>
        </w:tc>
        <w:tc>
          <w:tcPr>
            <w:tcW w:w="245" w:type="pct"/>
            <w:shd w:val="clear" w:color="auto" w:fill="auto"/>
            <w:noWrap/>
            <w:vAlign w:val="center"/>
          </w:tcPr>
          <w:p w14:paraId="02D7376B">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194310</wp:posOffset>
                      </wp:positionH>
                      <wp:positionV relativeFrom="paragraph">
                        <wp:posOffset>96520</wp:posOffset>
                      </wp:positionV>
                      <wp:extent cx="288290" cy="5715"/>
                      <wp:effectExtent l="0" t="0" r="0" b="0"/>
                      <wp:wrapNone/>
                      <wp:docPr id="42" name="直接连接符 350"/>
                      <wp:cNvGraphicFramePr/>
                      <a:graphic xmlns:a="http://schemas.openxmlformats.org/drawingml/2006/main">
                        <a:graphicData uri="http://schemas.microsoft.com/office/word/2010/wordprocessingShape">
                          <wps:wsp>
                            <wps:cNvCnPr/>
                            <wps:spPr>
                              <a:xfrm>
                                <a:off x="0" y="0"/>
                                <a:ext cx="288290" cy="5715"/>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15.3pt;margin-top:7.6pt;height:0.45pt;width:22.7pt;z-index:251687936;mso-width-relative:page;mso-height-relative:page;" filled="f" stroked="t" coordsize="21600,21600" o:gfxdata="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EQORXUAAAABwEAAA8AAAAAAAAAAQAgAAAAIgAAAGRycy9kb3ducmV2LnhtbFBLAQIUABQA&#10;AAAIAIdO4kDsQ/lhLQIAAEoEAAAOAAAAAAAAAAEAIAAAACMBAABkcnMvZTJvRG9jLnhtbFBLBQYA&#10;AAAABgAGAFkBAADCBQ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43576C86">
            <w:pPr>
              <w:pStyle w:val="40"/>
              <w:rPr>
                <w:b w:val="0"/>
                <w:bCs/>
                <w:color w:val="000000" w:themeColor="text1"/>
                <w14:textFill>
                  <w14:solidFill>
                    <w14:schemeClr w14:val="tx1"/>
                  </w14:solidFill>
                </w14:textFill>
              </w:rPr>
            </w:pPr>
          </w:p>
        </w:tc>
        <w:tc>
          <w:tcPr>
            <w:tcW w:w="245" w:type="pct"/>
            <w:shd w:val="clear" w:color="auto" w:fill="auto"/>
            <w:noWrap/>
            <w:vAlign w:val="center"/>
          </w:tcPr>
          <w:p w14:paraId="28C1BD8C">
            <w:pPr>
              <w:pStyle w:val="40"/>
              <w:rPr>
                <w:b w:val="0"/>
                <w:bCs/>
                <w:color w:val="000000" w:themeColor="text1"/>
                <w14:textFill>
                  <w14:solidFill>
                    <w14:schemeClr w14:val="tx1"/>
                  </w14:solidFill>
                </w14:textFill>
              </w:rPr>
            </w:pPr>
          </w:p>
        </w:tc>
        <w:tc>
          <w:tcPr>
            <w:tcW w:w="246" w:type="pct"/>
            <w:shd w:val="clear" w:color="auto" w:fill="auto"/>
            <w:noWrap/>
            <w:vAlign w:val="center"/>
          </w:tcPr>
          <w:p w14:paraId="18A0C694">
            <w:pPr>
              <w:pStyle w:val="40"/>
              <w:rPr>
                <w:b w:val="0"/>
                <w:bCs/>
                <w:color w:val="000000" w:themeColor="text1"/>
                <w14:textFill>
                  <w14:solidFill>
                    <w14:schemeClr w14:val="tx1"/>
                  </w14:solidFill>
                </w14:textFill>
              </w:rPr>
            </w:pPr>
          </w:p>
        </w:tc>
        <w:tc>
          <w:tcPr>
            <w:tcW w:w="280" w:type="pct"/>
            <w:shd w:val="clear" w:color="auto" w:fill="auto"/>
            <w:noWrap/>
            <w:vAlign w:val="center"/>
          </w:tcPr>
          <w:p w14:paraId="73380A76">
            <w:pPr>
              <w:pStyle w:val="40"/>
              <w:rPr>
                <w:b w:val="0"/>
                <w:bCs/>
                <w:color w:val="000000" w:themeColor="text1"/>
                <w14:textFill>
                  <w14:solidFill>
                    <w14:schemeClr w14:val="tx1"/>
                  </w14:solidFill>
                </w14:textFill>
              </w:rPr>
            </w:pPr>
          </w:p>
        </w:tc>
        <w:tc>
          <w:tcPr>
            <w:tcW w:w="282" w:type="pct"/>
            <w:shd w:val="clear" w:color="auto" w:fill="auto"/>
            <w:noWrap/>
            <w:vAlign w:val="center"/>
          </w:tcPr>
          <w:p w14:paraId="68B5DB54">
            <w:pPr>
              <w:pStyle w:val="40"/>
              <w:rPr>
                <w:b w:val="0"/>
                <w:bCs/>
                <w:color w:val="000000" w:themeColor="text1"/>
                <w14:textFill>
                  <w14:solidFill>
                    <w14:schemeClr w14:val="tx1"/>
                  </w14:solidFill>
                </w14:textFill>
              </w:rPr>
            </w:pPr>
          </w:p>
        </w:tc>
      </w:tr>
      <w:tr w14:paraId="6F86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restart"/>
            <w:shd w:val="clear" w:color="auto" w:fill="auto"/>
            <w:noWrap/>
            <w:vAlign w:val="center"/>
          </w:tcPr>
          <w:p w14:paraId="64B9B45B">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跨越场地区</w:t>
            </w:r>
          </w:p>
        </w:tc>
        <w:tc>
          <w:tcPr>
            <w:tcW w:w="756" w:type="pct"/>
            <w:shd w:val="clear" w:color="auto" w:fill="auto"/>
            <w:noWrap/>
            <w:vAlign w:val="center"/>
          </w:tcPr>
          <w:p w14:paraId="4248EA8B">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土地平整</w:t>
            </w:r>
          </w:p>
        </w:tc>
        <w:tc>
          <w:tcPr>
            <w:tcW w:w="302" w:type="pct"/>
            <w:shd w:val="clear" w:color="auto" w:fill="auto"/>
            <w:noWrap/>
            <w:vAlign w:val="center"/>
          </w:tcPr>
          <w:p w14:paraId="3D13F8D1">
            <w:pPr>
              <w:pStyle w:val="40"/>
              <w:rPr>
                <w:b w:val="0"/>
                <w:bCs/>
                <w:color w:val="000000" w:themeColor="text1"/>
                <w14:textFill>
                  <w14:solidFill>
                    <w14:schemeClr w14:val="tx1"/>
                  </w14:solidFill>
                </w14:textFill>
              </w:rPr>
            </w:pPr>
          </w:p>
        </w:tc>
        <w:tc>
          <w:tcPr>
            <w:tcW w:w="279" w:type="pct"/>
            <w:shd w:val="clear" w:color="auto" w:fill="auto"/>
            <w:noWrap/>
            <w:vAlign w:val="center"/>
          </w:tcPr>
          <w:p w14:paraId="30B01A4C">
            <w:pPr>
              <w:pStyle w:val="40"/>
              <w:rPr>
                <w:b w:val="0"/>
                <w:bCs/>
                <w:color w:val="000000" w:themeColor="text1"/>
                <w14:textFill>
                  <w14:solidFill>
                    <w14:schemeClr w14:val="tx1"/>
                  </w14:solidFill>
                </w14:textFill>
              </w:rPr>
            </w:pPr>
          </w:p>
        </w:tc>
        <w:tc>
          <w:tcPr>
            <w:tcW w:w="275" w:type="pct"/>
            <w:shd w:val="clear" w:color="auto" w:fill="auto"/>
            <w:noWrap/>
            <w:vAlign w:val="center"/>
          </w:tcPr>
          <w:p w14:paraId="33314C92">
            <w:pPr>
              <w:pStyle w:val="40"/>
              <w:rPr>
                <w:b w:val="0"/>
                <w:bCs/>
                <w:color w:val="000000" w:themeColor="text1"/>
                <w14:textFill>
                  <w14:solidFill>
                    <w14:schemeClr w14:val="tx1"/>
                  </w14:solidFill>
                </w14:textFill>
              </w:rPr>
            </w:pPr>
          </w:p>
        </w:tc>
        <w:tc>
          <w:tcPr>
            <w:tcW w:w="282" w:type="pct"/>
            <w:shd w:val="clear" w:color="auto" w:fill="auto"/>
            <w:noWrap/>
            <w:vAlign w:val="center"/>
          </w:tcPr>
          <w:p w14:paraId="5D0237F2">
            <w:pPr>
              <w:pStyle w:val="40"/>
              <w:rPr>
                <w:b w:val="0"/>
                <w:bCs/>
                <w:color w:val="000000" w:themeColor="text1"/>
                <w14:textFill>
                  <w14:solidFill>
                    <w14:schemeClr w14:val="tx1"/>
                  </w14:solidFill>
                </w14:textFill>
              </w:rPr>
            </w:pPr>
          </w:p>
        </w:tc>
        <w:tc>
          <w:tcPr>
            <w:tcW w:w="245" w:type="pct"/>
            <w:shd w:val="clear" w:color="auto" w:fill="auto"/>
            <w:noWrap/>
            <w:vAlign w:val="center"/>
          </w:tcPr>
          <w:p w14:paraId="070FD488">
            <w:pPr>
              <w:pStyle w:val="40"/>
              <w:rPr>
                <w:b w:val="0"/>
                <w:bCs/>
                <w:color w:val="000000" w:themeColor="text1"/>
                <w14:textFill>
                  <w14:solidFill>
                    <w14:schemeClr w14:val="tx1"/>
                  </w14:solidFill>
                </w14:textFill>
              </w:rPr>
            </w:pPr>
          </w:p>
        </w:tc>
        <w:tc>
          <w:tcPr>
            <w:tcW w:w="245" w:type="pct"/>
            <w:shd w:val="clear" w:color="auto" w:fill="auto"/>
            <w:noWrap/>
            <w:vAlign w:val="center"/>
          </w:tcPr>
          <w:p w14:paraId="0DDD9178">
            <w:pPr>
              <w:pStyle w:val="40"/>
              <w:rPr>
                <w:b w:val="0"/>
                <w:bCs/>
                <w:color w:val="000000" w:themeColor="text1"/>
                <w14:textFill>
                  <w14:solidFill>
                    <w14:schemeClr w14:val="tx1"/>
                  </w14:solidFill>
                </w14:textFill>
              </w:rPr>
            </w:pPr>
          </w:p>
        </w:tc>
        <w:tc>
          <w:tcPr>
            <w:tcW w:w="245" w:type="pct"/>
            <w:shd w:val="clear" w:color="auto" w:fill="auto"/>
            <w:noWrap/>
            <w:vAlign w:val="center"/>
          </w:tcPr>
          <w:p w14:paraId="197383E1">
            <w:pPr>
              <w:pStyle w:val="40"/>
              <w:rPr>
                <w:b w:val="0"/>
                <w:bCs/>
                <w:color w:val="000000" w:themeColor="text1"/>
                <w14:textFill>
                  <w14:solidFill>
                    <w14:schemeClr w14:val="tx1"/>
                  </w14:solidFill>
                </w14:textFill>
              </w:rPr>
            </w:pPr>
          </w:p>
        </w:tc>
        <w:tc>
          <w:tcPr>
            <w:tcW w:w="245" w:type="pct"/>
            <w:shd w:val="clear" w:color="auto" w:fill="auto"/>
            <w:noWrap/>
            <w:vAlign w:val="center"/>
          </w:tcPr>
          <w:p w14:paraId="13B56DC2">
            <w:pPr>
              <w:pStyle w:val="40"/>
              <w:rPr>
                <w:b w:val="0"/>
                <w:bCs/>
                <w:color w:val="000000" w:themeColor="text1"/>
                <w14:textFill>
                  <w14:solidFill>
                    <w14:schemeClr w14:val="tx1"/>
                  </w14:solidFill>
                </w14:textFill>
              </w:rPr>
            </w:pPr>
          </w:p>
        </w:tc>
        <w:tc>
          <w:tcPr>
            <w:tcW w:w="245" w:type="pct"/>
            <w:shd w:val="clear" w:color="auto" w:fill="auto"/>
            <w:noWrap/>
            <w:vAlign w:val="center"/>
          </w:tcPr>
          <w:p w14:paraId="4968D9B5">
            <w:pPr>
              <w:pStyle w:val="40"/>
              <w:rPr>
                <w:b w:val="0"/>
                <w:bCs/>
                <w:color w:val="000000" w:themeColor="text1"/>
                <w14:textFill>
                  <w14:solidFill>
                    <w14:schemeClr w14:val="tx1"/>
                  </w14:solidFill>
                </w14:textFill>
              </w:rPr>
            </w:pPr>
          </w:p>
        </w:tc>
        <w:tc>
          <w:tcPr>
            <w:tcW w:w="245" w:type="pct"/>
            <w:shd w:val="clear" w:color="auto" w:fill="auto"/>
            <w:noWrap/>
            <w:vAlign w:val="center"/>
          </w:tcPr>
          <w:p w14:paraId="5E18547A">
            <w:pPr>
              <w:pStyle w:val="40"/>
              <w:rPr>
                <w:b w:val="0"/>
                <w:bCs/>
                <w:color w:val="000000" w:themeColor="text1"/>
                <w14:textFill>
                  <w14:solidFill>
                    <w14:schemeClr w14:val="tx1"/>
                  </w14:solidFill>
                </w14:textFill>
              </w:rPr>
            </w:pPr>
          </w:p>
        </w:tc>
        <w:tc>
          <w:tcPr>
            <w:tcW w:w="245" w:type="pct"/>
            <w:shd w:val="clear" w:color="auto" w:fill="auto"/>
            <w:noWrap/>
            <w:vAlign w:val="center"/>
          </w:tcPr>
          <w:p w14:paraId="307327ED">
            <w:pPr>
              <w:pStyle w:val="40"/>
              <w:rPr>
                <w:b w:val="0"/>
                <w:bCs/>
                <w:color w:val="000000" w:themeColor="text1"/>
                <w14:textFill>
                  <w14:solidFill>
                    <w14:schemeClr w14:val="tx1"/>
                  </w14:solidFill>
                </w14:textFill>
              </w:rPr>
            </w:pPr>
          </w:p>
        </w:tc>
        <w:tc>
          <w:tcPr>
            <w:tcW w:w="245" w:type="pct"/>
            <w:shd w:val="clear" w:color="auto" w:fill="auto"/>
            <w:noWrap/>
            <w:vAlign w:val="center"/>
          </w:tcPr>
          <w:p w14:paraId="33012A17">
            <w:pPr>
              <w:pStyle w:val="40"/>
              <w:rPr>
                <w:b w:val="0"/>
                <w:bCs/>
                <w:color w:val="000000" w:themeColor="text1"/>
                <w14:textFill>
                  <w14:solidFill>
                    <w14:schemeClr w14:val="tx1"/>
                  </w14:solidFill>
                </w14:textFill>
              </w:rPr>
            </w:pPr>
          </w:p>
        </w:tc>
        <w:tc>
          <w:tcPr>
            <w:tcW w:w="246" w:type="pct"/>
            <w:shd w:val="clear" w:color="auto" w:fill="auto"/>
            <w:noWrap/>
            <w:vAlign w:val="center"/>
          </w:tcPr>
          <w:p w14:paraId="021C6CFE">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-46990</wp:posOffset>
                      </wp:positionH>
                      <wp:positionV relativeFrom="paragraph">
                        <wp:posOffset>73660</wp:posOffset>
                      </wp:positionV>
                      <wp:extent cx="550545" cy="3810"/>
                      <wp:effectExtent l="0" t="13970" r="1905" b="77470"/>
                      <wp:wrapNone/>
                      <wp:docPr id="43" name="直接连接符 350"/>
                      <wp:cNvGraphicFramePr/>
                      <a:graphic xmlns:a="http://schemas.openxmlformats.org/drawingml/2006/main">
                        <a:graphicData uri="http://schemas.microsoft.com/office/word/2010/wordprocessingShape">
                          <wps:wsp>
                            <wps:cNvCnPr/>
                            <wps:spPr>
                              <a:xfrm>
                                <a:off x="0" y="0"/>
                                <a:ext cx="550545" cy="381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3.7pt;margin-top:5.8pt;height:0.3pt;width:43.35pt;z-index:251688960;mso-width-relative:page;mso-height-relative:page;" filled="f" stroked="t" coordsize="21600,21600" o:gfxdata="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nCznw0wAAAAcBAAAPAAAAAAAAAAEAIAAAACIAAABkcnMvZG93bnJldi54bWxQSwECFAAU&#10;AAAACACHTuJAcicS2C8CAABKBAAADgAAAAAAAAABACAAAAAiAQAAZHJzL2Uyb0RvYy54bWxQSwUG&#10;AAAAAAYABgBZAQAAwwUAAAAA&#10;">
                      <v:fill on="f" focussize="0,0"/>
                      <v:stroke weight="2.25pt" color="#000000 [3213]" miterlimit="8" joinstyle="miter"/>
                      <v:imagedata o:title=""/>
                      <o:lock v:ext="edit" aspectratio="f"/>
                    </v:line>
                  </w:pict>
                </mc:Fallback>
              </mc:AlternateContent>
            </w:r>
          </w:p>
        </w:tc>
        <w:tc>
          <w:tcPr>
            <w:tcW w:w="280" w:type="pct"/>
            <w:shd w:val="clear" w:color="auto" w:fill="auto"/>
            <w:noWrap/>
            <w:vAlign w:val="center"/>
          </w:tcPr>
          <w:p w14:paraId="1FAA2682">
            <w:pPr>
              <w:pStyle w:val="40"/>
              <w:rPr>
                <w:b w:val="0"/>
                <w:bCs/>
                <w:color w:val="000000" w:themeColor="text1"/>
                <w14:textFill>
                  <w14:solidFill>
                    <w14:schemeClr w14:val="tx1"/>
                  </w14:solidFill>
                </w14:textFill>
              </w:rPr>
            </w:pPr>
          </w:p>
        </w:tc>
        <w:tc>
          <w:tcPr>
            <w:tcW w:w="282" w:type="pct"/>
            <w:shd w:val="clear" w:color="auto" w:fill="auto"/>
            <w:noWrap/>
            <w:vAlign w:val="center"/>
          </w:tcPr>
          <w:p w14:paraId="55B3CDDF">
            <w:pPr>
              <w:pStyle w:val="40"/>
              <w:rPr>
                <w:b w:val="0"/>
                <w:bCs/>
                <w:color w:val="000000" w:themeColor="text1"/>
                <w14:textFill>
                  <w14:solidFill>
                    <w14:schemeClr w14:val="tx1"/>
                  </w14:solidFill>
                </w14:textFill>
              </w:rPr>
            </w:pPr>
          </w:p>
        </w:tc>
      </w:tr>
      <w:tr w14:paraId="4387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continue"/>
            <w:vAlign w:val="center"/>
          </w:tcPr>
          <w:p w14:paraId="444BA3B6">
            <w:pPr>
              <w:pStyle w:val="40"/>
              <w:rPr>
                <w:b w:val="0"/>
                <w:bCs/>
                <w:color w:val="000000" w:themeColor="text1"/>
                <w14:textFill>
                  <w14:solidFill>
                    <w14:schemeClr w14:val="tx1"/>
                  </w14:solidFill>
                </w14:textFill>
              </w:rPr>
            </w:pPr>
          </w:p>
        </w:tc>
        <w:tc>
          <w:tcPr>
            <w:tcW w:w="756" w:type="pct"/>
            <w:shd w:val="clear" w:color="auto" w:fill="auto"/>
            <w:noWrap/>
            <w:vAlign w:val="center"/>
          </w:tcPr>
          <w:p w14:paraId="5C2FA7D4">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限行桩限界</w:t>
            </w:r>
          </w:p>
        </w:tc>
        <w:tc>
          <w:tcPr>
            <w:tcW w:w="302" w:type="pct"/>
            <w:shd w:val="clear" w:color="auto" w:fill="auto"/>
            <w:noWrap/>
            <w:vAlign w:val="center"/>
          </w:tcPr>
          <w:p w14:paraId="7A3C4184">
            <w:pPr>
              <w:pStyle w:val="40"/>
              <w:rPr>
                <w:b w:val="0"/>
                <w:bCs/>
                <w:color w:val="000000" w:themeColor="text1"/>
                <w14:textFill>
                  <w14:solidFill>
                    <w14:schemeClr w14:val="tx1"/>
                  </w14:solidFill>
                </w14:textFill>
              </w:rPr>
            </w:pPr>
          </w:p>
        </w:tc>
        <w:tc>
          <w:tcPr>
            <w:tcW w:w="279" w:type="pct"/>
            <w:shd w:val="clear" w:color="auto" w:fill="auto"/>
            <w:noWrap/>
            <w:vAlign w:val="center"/>
          </w:tcPr>
          <w:p w14:paraId="57909797">
            <w:pPr>
              <w:pStyle w:val="40"/>
              <w:rPr>
                <w:b w:val="0"/>
                <w:bCs/>
                <w:color w:val="000000" w:themeColor="text1"/>
                <w14:textFill>
                  <w14:solidFill>
                    <w14:schemeClr w14:val="tx1"/>
                  </w14:solidFill>
                </w14:textFill>
              </w:rPr>
            </w:pPr>
          </w:p>
        </w:tc>
        <w:tc>
          <w:tcPr>
            <w:tcW w:w="275" w:type="pct"/>
            <w:shd w:val="clear" w:color="auto" w:fill="auto"/>
            <w:noWrap/>
            <w:vAlign w:val="center"/>
          </w:tcPr>
          <w:p w14:paraId="6E0C37B9">
            <w:pPr>
              <w:pStyle w:val="40"/>
              <w:rPr>
                <w:b w:val="0"/>
                <w:bCs/>
                <w:color w:val="000000" w:themeColor="text1"/>
                <w14:textFill>
                  <w14:solidFill>
                    <w14:schemeClr w14:val="tx1"/>
                  </w14:solidFill>
                </w14:textFill>
              </w:rPr>
            </w:pPr>
          </w:p>
        </w:tc>
        <w:tc>
          <w:tcPr>
            <w:tcW w:w="282" w:type="pct"/>
            <w:shd w:val="clear" w:color="auto" w:fill="auto"/>
            <w:noWrap/>
            <w:vAlign w:val="center"/>
          </w:tcPr>
          <w:p w14:paraId="60E7C147">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2174240</wp:posOffset>
                      </wp:positionH>
                      <wp:positionV relativeFrom="paragraph">
                        <wp:posOffset>76200</wp:posOffset>
                      </wp:positionV>
                      <wp:extent cx="676275" cy="6985"/>
                      <wp:effectExtent l="0" t="13970" r="9525" b="93345"/>
                      <wp:wrapNone/>
                      <wp:docPr id="44" name="直接连接符 350"/>
                      <wp:cNvGraphicFramePr/>
                      <a:graphic xmlns:a="http://schemas.openxmlformats.org/drawingml/2006/main">
                        <a:graphicData uri="http://schemas.microsoft.com/office/word/2010/wordprocessingShape">
                          <wps:wsp>
                            <wps:cNvCnPr/>
                            <wps:spPr>
                              <a:xfrm flipV="1">
                                <a:off x="0" y="0"/>
                                <a:ext cx="676275" cy="6985"/>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flip:y;margin-left:171.2pt;margin-top:6pt;height:0.55pt;width:53.25pt;z-index:251689984;mso-width-relative:page;mso-height-relative:page;" filled="f" stroked="t" coordsize="21600,21600" o:gfxdata="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sf846NgAAAAJAQAADwAAAAAAAAABACAAAAAiAAAAZHJzL2Rvd25y&#10;ZXYueG1sUEsBAhQAFAAAAAgAh07iQKveyGg3AgAAVAQAAA4AAAAAAAAAAQAgAAAAJwEAAGRycy9l&#10;Mm9Eb2MueG1sUEsFBgAAAAAGAAYAWQEAANAFA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78C20C90">
            <w:pPr>
              <w:pStyle w:val="40"/>
              <w:rPr>
                <w:b w:val="0"/>
                <w:bCs/>
                <w:color w:val="000000" w:themeColor="text1"/>
                <w14:textFill>
                  <w14:solidFill>
                    <w14:schemeClr w14:val="tx1"/>
                  </w14:solidFill>
                </w14:textFill>
              </w:rPr>
            </w:pPr>
          </w:p>
        </w:tc>
        <w:tc>
          <w:tcPr>
            <w:tcW w:w="245" w:type="pct"/>
            <w:shd w:val="clear" w:color="auto" w:fill="auto"/>
            <w:noWrap/>
            <w:vAlign w:val="center"/>
          </w:tcPr>
          <w:p w14:paraId="5EC68E31">
            <w:pPr>
              <w:pStyle w:val="40"/>
              <w:rPr>
                <w:b w:val="0"/>
                <w:bCs/>
                <w:color w:val="000000" w:themeColor="text1"/>
                <w14:textFill>
                  <w14:solidFill>
                    <w14:schemeClr w14:val="tx1"/>
                  </w14:solidFill>
                </w14:textFill>
              </w:rPr>
            </w:pPr>
          </w:p>
        </w:tc>
        <w:tc>
          <w:tcPr>
            <w:tcW w:w="245" w:type="pct"/>
            <w:shd w:val="clear" w:color="auto" w:fill="auto"/>
            <w:noWrap/>
            <w:vAlign w:val="center"/>
          </w:tcPr>
          <w:p w14:paraId="4E99C530">
            <w:pPr>
              <w:pStyle w:val="40"/>
              <w:rPr>
                <w:b w:val="0"/>
                <w:bCs/>
                <w:color w:val="000000" w:themeColor="text1"/>
                <w14:textFill>
                  <w14:solidFill>
                    <w14:schemeClr w14:val="tx1"/>
                  </w14:solidFill>
                </w14:textFill>
              </w:rPr>
            </w:pPr>
          </w:p>
        </w:tc>
        <w:tc>
          <w:tcPr>
            <w:tcW w:w="245" w:type="pct"/>
            <w:shd w:val="clear" w:color="auto" w:fill="auto"/>
            <w:noWrap/>
            <w:vAlign w:val="center"/>
          </w:tcPr>
          <w:p w14:paraId="5B61394E">
            <w:pPr>
              <w:pStyle w:val="40"/>
              <w:rPr>
                <w:b w:val="0"/>
                <w:bCs/>
                <w:color w:val="000000" w:themeColor="text1"/>
                <w14:textFill>
                  <w14:solidFill>
                    <w14:schemeClr w14:val="tx1"/>
                  </w14:solidFill>
                </w14:textFill>
              </w:rPr>
            </w:pPr>
          </w:p>
        </w:tc>
        <w:tc>
          <w:tcPr>
            <w:tcW w:w="245" w:type="pct"/>
            <w:shd w:val="clear" w:color="auto" w:fill="auto"/>
            <w:noWrap/>
            <w:vAlign w:val="center"/>
          </w:tcPr>
          <w:p w14:paraId="37DB212D">
            <w:pPr>
              <w:pStyle w:val="40"/>
              <w:rPr>
                <w:b w:val="0"/>
                <w:bCs/>
                <w:color w:val="000000" w:themeColor="text1"/>
                <w14:textFill>
                  <w14:solidFill>
                    <w14:schemeClr w14:val="tx1"/>
                  </w14:solidFill>
                </w14:textFill>
              </w:rPr>
            </w:pPr>
          </w:p>
        </w:tc>
        <w:tc>
          <w:tcPr>
            <w:tcW w:w="245" w:type="pct"/>
            <w:shd w:val="clear" w:color="auto" w:fill="auto"/>
            <w:noWrap/>
            <w:vAlign w:val="center"/>
          </w:tcPr>
          <w:p w14:paraId="4ACB6260">
            <w:pPr>
              <w:pStyle w:val="40"/>
              <w:rPr>
                <w:b w:val="0"/>
                <w:bCs/>
                <w:color w:val="000000" w:themeColor="text1"/>
                <w14:textFill>
                  <w14:solidFill>
                    <w14:schemeClr w14:val="tx1"/>
                  </w14:solidFill>
                </w14:textFill>
              </w:rPr>
            </w:pPr>
          </w:p>
        </w:tc>
        <w:tc>
          <w:tcPr>
            <w:tcW w:w="245" w:type="pct"/>
            <w:shd w:val="clear" w:color="auto" w:fill="auto"/>
            <w:noWrap/>
            <w:vAlign w:val="center"/>
          </w:tcPr>
          <w:p w14:paraId="415D418A">
            <w:pPr>
              <w:pStyle w:val="40"/>
              <w:rPr>
                <w:b w:val="0"/>
                <w:bCs/>
                <w:color w:val="000000" w:themeColor="text1"/>
                <w14:textFill>
                  <w14:solidFill>
                    <w14:schemeClr w14:val="tx1"/>
                  </w14:solidFill>
                </w14:textFill>
              </w:rPr>
            </w:pPr>
          </w:p>
        </w:tc>
        <w:tc>
          <w:tcPr>
            <w:tcW w:w="245" w:type="pct"/>
            <w:shd w:val="clear" w:color="auto" w:fill="auto"/>
            <w:noWrap/>
            <w:vAlign w:val="center"/>
          </w:tcPr>
          <w:p w14:paraId="1AA91CA8">
            <w:pPr>
              <w:pStyle w:val="40"/>
              <w:rPr>
                <w:b w:val="0"/>
                <w:bCs/>
                <w:color w:val="000000" w:themeColor="text1"/>
                <w14:textFill>
                  <w14:solidFill>
                    <w14:schemeClr w14:val="tx1"/>
                  </w14:solidFill>
                </w14:textFill>
              </w:rPr>
            </w:pPr>
          </w:p>
        </w:tc>
        <w:tc>
          <w:tcPr>
            <w:tcW w:w="246" w:type="pct"/>
            <w:shd w:val="clear" w:color="auto" w:fill="auto"/>
            <w:noWrap/>
            <w:vAlign w:val="center"/>
          </w:tcPr>
          <w:p w14:paraId="54267A71">
            <w:pPr>
              <w:pStyle w:val="40"/>
              <w:rPr>
                <w:b w:val="0"/>
                <w:bCs/>
                <w:color w:val="000000" w:themeColor="text1"/>
                <w14:textFill>
                  <w14:solidFill>
                    <w14:schemeClr w14:val="tx1"/>
                  </w14:solidFill>
                </w14:textFill>
              </w:rPr>
            </w:pPr>
          </w:p>
        </w:tc>
        <w:tc>
          <w:tcPr>
            <w:tcW w:w="280" w:type="pct"/>
            <w:shd w:val="clear" w:color="auto" w:fill="auto"/>
            <w:noWrap/>
            <w:vAlign w:val="center"/>
          </w:tcPr>
          <w:p w14:paraId="759EE5AC">
            <w:pPr>
              <w:pStyle w:val="40"/>
              <w:rPr>
                <w:b w:val="0"/>
                <w:bCs/>
                <w:color w:val="000000" w:themeColor="text1"/>
                <w14:textFill>
                  <w14:solidFill>
                    <w14:schemeClr w14:val="tx1"/>
                  </w14:solidFill>
                </w14:textFill>
              </w:rPr>
            </w:pPr>
          </w:p>
        </w:tc>
        <w:tc>
          <w:tcPr>
            <w:tcW w:w="282" w:type="pct"/>
            <w:shd w:val="clear" w:color="auto" w:fill="auto"/>
            <w:noWrap/>
            <w:vAlign w:val="center"/>
          </w:tcPr>
          <w:p w14:paraId="33D7DE2F">
            <w:pPr>
              <w:pStyle w:val="40"/>
              <w:rPr>
                <w:b w:val="0"/>
                <w:bCs/>
                <w:color w:val="000000" w:themeColor="text1"/>
                <w14:textFill>
                  <w14:solidFill>
                    <w14:schemeClr w14:val="tx1"/>
                  </w14:solidFill>
                </w14:textFill>
              </w:rPr>
            </w:pPr>
          </w:p>
        </w:tc>
      </w:tr>
      <w:tr w14:paraId="15A2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restart"/>
            <w:shd w:val="clear" w:color="auto" w:fill="auto"/>
            <w:noWrap/>
            <w:vAlign w:val="center"/>
          </w:tcPr>
          <w:p w14:paraId="51122FF2">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施工道路区</w:t>
            </w:r>
          </w:p>
        </w:tc>
        <w:tc>
          <w:tcPr>
            <w:tcW w:w="756" w:type="pct"/>
            <w:shd w:val="clear" w:color="auto" w:fill="auto"/>
            <w:noWrap/>
            <w:vAlign w:val="center"/>
          </w:tcPr>
          <w:p w14:paraId="4AFCFAED">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土地平整</w:t>
            </w:r>
          </w:p>
        </w:tc>
        <w:tc>
          <w:tcPr>
            <w:tcW w:w="302" w:type="pct"/>
            <w:shd w:val="clear" w:color="auto" w:fill="auto"/>
            <w:noWrap/>
            <w:vAlign w:val="center"/>
          </w:tcPr>
          <w:p w14:paraId="0E3CDC15">
            <w:pPr>
              <w:pStyle w:val="40"/>
              <w:rPr>
                <w:b w:val="0"/>
                <w:bCs/>
                <w:color w:val="000000" w:themeColor="text1"/>
                <w14:textFill>
                  <w14:solidFill>
                    <w14:schemeClr w14:val="tx1"/>
                  </w14:solidFill>
                </w14:textFill>
              </w:rPr>
            </w:pPr>
          </w:p>
        </w:tc>
        <w:tc>
          <w:tcPr>
            <w:tcW w:w="279" w:type="pct"/>
            <w:shd w:val="clear" w:color="auto" w:fill="auto"/>
            <w:noWrap/>
            <w:vAlign w:val="center"/>
          </w:tcPr>
          <w:p w14:paraId="077385E5">
            <w:pPr>
              <w:pStyle w:val="40"/>
              <w:rPr>
                <w:b w:val="0"/>
                <w:bCs/>
                <w:color w:val="000000" w:themeColor="text1"/>
                <w14:textFill>
                  <w14:solidFill>
                    <w14:schemeClr w14:val="tx1"/>
                  </w14:solidFill>
                </w14:textFill>
              </w:rPr>
            </w:pPr>
          </w:p>
        </w:tc>
        <w:tc>
          <w:tcPr>
            <w:tcW w:w="275" w:type="pct"/>
            <w:shd w:val="clear" w:color="auto" w:fill="auto"/>
            <w:noWrap/>
            <w:vAlign w:val="center"/>
          </w:tcPr>
          <w:p w14:paraId="321319FA">
            <w:pPr>
              <w:pStyle w:val="40"/>
              <w:rPr>
                <w:b w:val="0"/>
                <w:bCs/>
                <w:color w:val="000000" w:themeColor="text1"/>
                <w14:textFill>
                  <w14:solidFill>
                    <w14:schemeClr w14:val="tx1"/>
                  </w14:solidFill>
                </w14:textFill>
              </w:rPr>
            </w:pPr>
          </w:p>
        </w:tc>
        <w:tc>
          <w:tcPr>
            <w:tcW w:w="282" w:type="pct"/>
            <w:shd w:val="clear" w:color="auto" w:fill="auto"/>
            <w:noWrap/>
            <w:vAlign w:val="center"/>
          </w:tcPr>
          <w:p w14:paraId="395006F5">
            <w:pPr>
              <w:pStyle w:val="40"/>
              <w:rPr>
                <w:b w:val="0"/>
                <w:bCs/>
                <w:color w:val="000000" w:themeColor="text1"/>
                <w14:textFill>
                  <w14:solidFill>
                    <w14:schemeClr w14:val="tx1"/>
                  </w14:solidFill>
                </w14:textFill>
              </w:rPr>
            </w:pPr>
          </w:p>
        </w:tc>
        <w:tc>
          <w:tcPr>
            <w:tcW w:w="245" w:type="pct"/>
            <w:shd w:val="clear" w:color="auto" w:fill="auto"/>
            <w:noWrap/>
            <w:vAlign w:val="center"/>
          </w:tcPr>
          <w:p w14:paraId="5847914A">
            <w:pPr>
              <w:pStyle w:val="40"/>
              <w:rPr>
                <w:b w:val="0"/>
                <w:bCs/>
                <w:color w:val="000000" w:themeColor="text1"/>
                <w14:textFill>
                  <w14:solidFill>
                    <w14:schemeClr w14:val="tx1"/>
                  </w14:solidFill>
                </w14:textFill>
              </w:rPr>
            </w:pPr>
          </w:p>
        </w:tc>
        <w:tc>
          <w:tcPr>
            <w:tcW w:w="245" w:type="pct"/>
            <w:shd w:val="clear" w:color="auto" w:fill="auto"/>
            <w:noWrap/>
            <w:vAlign w:val="center"/>
          </w:tcPr>
          <w:p w14:paraId="106EE00E">
            <w:pPr>
              <w:pStyle w:val="40"/>
              <w:rPr>
                <w:b w:val="0"/>
                <w:bCs/>
                <w:color w:val="000000" w:themeColor="text1"/>
                <w14:textFill>
                  <w14:solidFill>
                    <w14:schemeClr w14:val="tx1"/>
                  </w14:solidFill>
                </w14:textFill>
              </w:rPr>
            </w:pPr>
          </w:p>
        </w:tc>
        <w:tc>
          <w:tcPr>
            <w:tcW w:w="245" w:type="pct"/>
            <w:shd w:val="clear" w:color="auto" w:fill="auto"/>
            <w:noWrap/>
            <w:vAlign w:val="center"/>
          </w:tcPr>
          <w:p w14:paraId="7DF9A74A">
            <w:pPr>
              <w:pStyle w:val="40"/>
              <w:rPr>
                <w:b w:val="0"/>
                <w:bCs/>
                <w:color w:val="000000" w:themeColor="text1"/>
                <w14:textFill>
                  <w14:solidFill>
                    <w14:schemeClr w14:val="tx1"/>
                  </w14:solidFill>
                </w14:textFill>
              </w:rPr>
            </w:pPr>
          </w:p>
        </w:tc>
        <w:tc>
          <w:tcPr>
            <w:tcW w:w="245" w:type="pct"/>
            <w:shd w:val="clear" w:color="auto" w:fill="auto"/>
            <w:noWrap/>
            <w:vAlign w:val="center"/>
          </w:tcPr>
          <w:p w14:paraId="74CB6F16">
            <w:pPr>
              <w:pStyle w:val="40"/>
              <w:rPr>
                <w:b w:val="0"/>
                <w:bCs/>
                <w:color w:val="000000" w:themeColor="text1"/>
                <w14:textFill>
                  <w14:solidFill>
                    <w14:schemeClr w14:val="tx1"/>
                  </w14:solidFill>
                </w14:textFill>
              </w:rPr>
            </w:pPr>
          </w:p>
        </w:tc>
        <w:tc>
          <w:tcPr>
            <w:tcW w:w="245" w:type="pct"/>
            <w:shd w:val="clear" w:color="auto" w:fill="auto"/>
            <w:noWrap/>
            <w:vAlign w:val="center"/>
          </w:tcPr>
          <w:p w14:paraId="112D65A9">
            <w:pPr>
              <w:pStyle w:val="40"/>
              <w:rPr>
                <w:b w:val="0"/>
                <w:bCs/>
                <w:color w:val="000000" w:themeColor="text1"/>
                <w14:textFill>
                  <w14:solidFill>
                    <w14:schemeClr w14:val="tx1"/>
                  </w14:solidFill>
                </w14:textFill>
              </w:rPr>
            </w:pPr>
          </w:p>
        </w:tc>
        <w:tc>
          <w:tcPr>
            <w:tcW w:w="245" w:type="pct"/>
            <w:shd w:val="clear" w:color="auto" w:fill="auto"/>
            <w:noWrap/>
            <w:vAlign w:val="center"/>
          </w:tcPr>
          <w:p w14:paraId="07A1C7C6">
            <w:pPr>
              <w:pStyle w:val="40"/>
              <w:rPr>
                <w:b w:val="0"/>
                <w:bCs/>
                <w:color w:val="000000" w:themeColor="text1"/>
                <w14:textFill>
                  <w14:solidFill>
                    <w14:schemeClr w14:val="tx1"/>
                  </w14:solidFill>
                </w14:textFill>
              </w:rPr>
            </w:pPr>
          </w:p>
        </w:tc>
        <w:tc>
          <w:tcPr>
            <w:tcW w:w="245" w:type="pct"/>
            <w:shd w:val="clear" w:color="auto" w:fill="auto"/>
            <w:noWrap/>
            <w:vAlign w:val="center"/>
          </w:tcPr>
          <w:p w14:paraId="55C234E9">
            <w:pPr>
              <w:pStyle w:val="40"/>
              <w:rPr>
                <w:b w:val="0"/>
                <w:bCs/>
                <w:color w:val="000000" w:themeColor="text1"/>
                <w14:textFill>
                  <w14:solidFill>
                    <w14:schemeClr w14:val="tx1"/>
                  </w14:solidFill>
                </w14:textFill>
              </w:rPr>
            </w:pPr>
          </w:p>
        </w:tc>
        <w:tc>
          <w:tcPr>
            <w:tcW w:w="245" w:type="pct"/>
            <w:shd w:val="clear" w:color="auto" w:fill="auto"/>
            <w:noWrap/>
            <w:vAlign w:val="center"/>
          </w:tcPr>
          <w:p w14:paraId="419F45E5">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215900</wp:posOffset>
                      </wp:positionH>
                      <wp:positionV relativeFrom="paragraph">
                        <wp:posOffset>80010</wp:posOffset>
                      </wp:positionV>
                      <wp:extent cx="499745" cy="10160"/>
                      <wp:effectExtent l="0" t="0" r="14605" b="91440"/>
                      <wp:wrapNone/>
                      <wp:docPr id="73" name="直接连接符 350"/>
                      <wp:cNvGraphicFramePr/>
                      <a:graphic xmlns:a="http://schemas.openxmlformats.org/drawingml/2006/main">
                        <a:graphicData uri="http://schemas.microsoft.com/office/word/2010/wordprocessingShape">
                          <wps:wsp>
                            <wps:cNvCnPr/>
                            <wps:spPr>
                              <a:xfrm flipV="1">
                                <a:off x="0" y="0"/>
                                <a:ext cx="499745" cy="1016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flip:y;margin-left:17pt;margin-top:6.3pt;height:0.8pt;width:39.35pt;z-index:251693056;mso-width-relative:page;mso-height-relative:page;" filled="f" stroked="t" coordsize="21600,21600" o:gfxdata="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vboNj2AAAAAgBAAAPAAAAAAAAAAEAIAAAACIAAABkcnMvZG93&#10;bnJldi54bWxQSwECFAAUAAAACACHTuJAFHwLyTkCAABVBAAADgAAAAAAAAABACAAAAAnAQAAZHJz&#10;L2Uyb0RvYy54bWxQSwUGAAAAAAYABgBZAQAA0gUAAAAA&#10;">
                      <v:fill on="f" focussize="0,0"/>
                      <v:stroke weight="2.25pt" color="#000000 [3213]" miterlimit="8" joinstyle="miter"/>
                      <v:imagedata o:title=""/>
                      <o:lock v:ext="edit" aspectratio="f"/>
                    </v:line>
                  </w:pict>
                </mc:Fallback>
              </mc:AlternateContent>
            </w:r>
          </w:p>
        </w:tc>
        <w:tc>
          <w:tcPr>
            <w:tcW w:w="246" w:type="pct"/>
            <w:shd w:val="clear" w:color="auto" w:fill="auto"/>
            <w:noWrap/>
            <w:vAlign w:val="center"/>
          </w:tcPr>
          <w:p w14:paraId="73BA915A">
            <w:pPr>
              <w:pStyle w:val="40"/>
              <w:rPr>
                <w:b w:val="0"/>
                <w:bCs/>
                <w:color w:val="000000" w:themeColor="text1"/>
                <w14:textFill>
                  <w14:solidFill>
                    <w14:schemeClr w14:val="tx1"/>
                  </w14:solidFill>
                </w14:textFill>
              </w:rPr>
            </w:pPr>
          </w:p>
        </w:tc>
        <w:tc>
          <w:tcPr>
            <w:tcW w:w="280" w:type="pct"/>
            <w:shd w:val="clear" w:color="auto" w:fill="auto"/>
            <w:noWrap/>
            <w:vAlign w:val="center"/>
          </w:tcPr>
          <w:p w14:paraId="2F7F9F1F">
            <w:pPr>
              <w:pStyle w:val="40"/>
              <w:rPr>
                <w:b w:val="0"/>
                <w:bCs/>
                <w:color w:val="000000" w:themeColor="text1"/>
                <w14:textFill>
                  <w14:solidFill>
                    <w14:schemeClr w14:val="tx1"/>
                  </w14:solidFill>
                </w14:textFill>
              </w:rPr>
            </w:pPr>
          </w:p>
        </w:tc>
        <w:tc>
          <w:tcPr>
            <w:tcW w:w="282" w:type="pct"/>
            <w:shd w:val="clear" w:color="auto" w:fill="auto"/>
            <w:noWrap/>
            <w:vAlign w:val="center"/>
          </w:tcPr>
          <w:p w14:paraId="46E17BD3">
            <w:pPr>
              <w:pStyle w:val="40"/>
              <w:rPr>
                <w:b w:val="0"/>
                <w:bCs/>
                <w:color w:val="000000" w:themeColor="text1"/>
                <w14:textFill>
                  <w14:solidFill>
                    <w14:schemeClr w14:val="tx1"/>
                  </w14:solidFill>
                </w14:textFill>
              </w:rPr>
            </w:pPr>
          </w:p>
        </w:tc>
      </w:tr>
      <w:tr w14:paraId="004E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continue"/>
            <w:vAlign w:val="center"/>
          </w:tcPr>
          <w:p w14:paraId="12D9F230">
            <w:pPr>
              <w:pStyle w:val="40"/>
              <w:rPr>
                <w:b w:val="0"/>
                <w:bCs/>
                <w:color w:val="000000" w:themeColor="text1"/>
                <w14:textFill>
                  <w14:solidFill>
                    <w14:schemeClr w14:val="tx1"/>
                  </w14:solidFill>
                </w14:textFill>
              </w:rPr>
            </w:pPr>
          </w:p>
        </w:tc>
        <w:tc>
          <w:tcPr>
            <w:tcW w:w="756" w:type="pct"/>
            <w:shd w:val="clear" w:color="auto" w:fill="auto"/>
            <w:noWrap/>
            <w:vAlign w:val="center"/>
          </w:tcPr>
          <w:p w14:paraId="28FACC7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彩条旗限界</w:t>
            </w:r>
          </w:p>
        </w:tc>
        <w:tc>
          <w:tcPr>
            <w:tcW w:w="302" w:type="pct"/>
            <w:shd w:val="clear" w:color="auto" w:fill="auto"/>
            <w:noWrap/>
            <w:vAlign w:val="center"/>
          </w:tcPr>
          <w:p w14:paraId="22B6C3F9">
            <w:pPr>
              <w:pStyle w:val="40"/>
              <w:rPr>
                <w:b w:val="0"/>
                <w:bCs/>
                <w:color w:val="000000" w:themeColor="text1"/>
                <w14:textFill>
                  <w14:solidFill>
                    <w14:schemeClr w14:val="tx1"/>
                  </w14:solidFill>
                </w14:textFill>
              </w:rPr>
            </w:pPr>
          </w:p>
        </w:tc>
        <w:tc>
          <w:tcPr>
            <w:tcW w:w="279" w:type="pct"/>
            <w:shd w:val="clear" w:color="auto" w:fill="auto"/>
            <w:noWrap/>
            <w:vAlign w:val="center"/>
          </w:tcPr>
          <w:p w14:paraId="1513592B">
            <w:pPr>
              <w:pStyle w:val="40"/>
              <w:rPr>
                <w:b w:val="0"/>
                <w:bCs/>
                <w:color w:val="000000" w:themeColor="text1"/>
                <w14:textFill>
                  <w14:solidFill>
                    <w14:schemeClr w14:val="tx1"/>
                  </w14:solidFill>
                </w14:textFill>
              </w:rPr>
            </w:pPr>
          </w:p>
        </w:tc>
        <w:tc>
          <w:tcPr>
            <w:tcW w:w="275" w:type="pct"/>
            <w:shd w:val="clear" w:color="auto" w:fill="auto"/>
            <w:noWrap/>
            <w:vAlign w:val="center"/>
          </w:tcPr>
          <w:p w14:paraId="3E7170DC">
            <w:pPr>
              <w:pStyle w:val="40"/>
              <w:rPr>
                <w:b w:val="0"/>
                <w:bCs/>
                <w:color w:val="000000" w:themeColor="text1"/>
                <w14:textFill>
                  <w14:solidFill>
                    <w14:schemeClr w14:val="tx1"/>
                  </w14:solidFill>
                </w14:textFill>
              </w:rPr>
            </w:pPr>
          </w:p>
        </w:tc>
        <w:tc>
          <w:tcPr>
            <w:tcW w:w="282" w:type="pct"/>
            <w:shd w:val="clear" w:color="auto" w:fill="auto"/>
            <w:noWrap/>
            <w:vAlign w:val="center"/>
          </w:tcPr>
          <w:p w14:paraId="1F93BFEF">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-749300</wp:posOffset>
                      </wp:positionH>
                      <wp:positionV relativeFrom="paragraph">
                        <wp:posOffset>110490</wp:posOffset>
                      </wp:positionV>
                      <wp:extent cx="3275965" cy="2540"/>
                      <wp:effectExtent l="0" t="13970" r="635" b="78740"/>
                      <wp:wrapNone/>
                      <wp:docPr id="75" name="直接连接符 350"/>
                      <wp:cNvGraphicFramePr/>
                      <a:graphic xmlns:a="http://schemas.openxmlformats.org/drawingml/2006/main">
                        <a:graphicData uri="http://schemas.microsoft.com/office/word/2010/wordprocessingShape">
                          <wps:wsp>
                            <wps:cNvCnPr/>
                            <wps:spPr>
                              <a:xfrm>
                                <a:off x="0" y="0"/>
                                <a:ext cx="3275965" cy="254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margin-left:-59pt;margin-top:8.7pt;height:0.2pt;width:257.95pt;z-index:251694080;mso-width-relative:page;mso-height-relative:page;" filled="f" stroked="t" coordsize="21600,21600" o:gfxdata="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j4orXXAAAACgEAAA8AAAAAAAAAAQAgAAAAIgAAAGRycy9kb3ducmV2LnhtbFBL&#10;AQIUABQAAAAIAIdO4kDnxbtnMAIAAEsEAAAOAAAAAAAAAAEAIAAAACYBAABkcnMvZTJvRG9jLnht&#10;bFBLBQYAAAAABgAGAFkBAADIBQ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447CF53C">
            <w:pPr>
              <w:pStyle w:val="40"/>
              <w:rPr>
                <w:b w:val="0"/>
                <w:bCs/>
                <w:color w:val="000000" w:themeColor="text1"/>
                <w14:textFill>
                  <w14:solidFill>
                    <w14:schemeClr w14:val="tx1"/>
                  </w14:solidFill>
                </w14:textFill>
              </w:rPr>
            </w:pPr>
          </w:p>
        </w:tc>
        <w:tc>
          <w:tcPr>
            <w:tcW w:w="245" w:type="pct"/>
            <w:shd w:val="clear" w:color="auto" w:fill="auto"/>
            <w:noWrap/>
            <w:vAlign w:val="center"/>
          </w:tcPr>
          <w:p w14:paraId="1E1C26CE">
            <w:pPr>
              <w:pStyle w:val="40"/>
              <w:rPr>
                <w:b w:val="0"/>
                <w:bCs/>
                <w:color w:val="000000" w:themeColor="text1"/>
                <w14:textFill>
                  <w14:solidFill>
                    <w14:schemeClr w14:val="tx1"/>
                  </w14:solidFill>
                </w14:textFill>
              </w:rPr>
            </w:pPr>
          </w:p>
        </w:tc>
        <w:tc>
          <w:tcPr>
            <w:tcW w:w="245" w:type="pct"/>
            <w:shd w:val="clear" w:color="auto" w:fill="auto"/>
            <w:noWrap/>
            <w:vAlign w:val="center"/>
          </w:tcPr>
          <w:p w14:paraId="2C148651">
            <w:pPr>
              <w:pStyle w:val="40"/>
              <w:rPr>
                <w:b w:val="0"/>
                <w:bCs/>
                <w:color w:val="000000" w:themeColor="text1"/>
                <w14:textFill>
                  <w14:solidFill>
                    <w14:schemeClr w14:val="tx1"/>
                  </w14:solidFill>
                </w14:textFill>
              </w:rPr>
            </w:pPr>
          </w:p>
        </w:tc>
        <w:tc>
          <w:tcPr>
            <w:tcW w:w="245" w:type="pct"/>
            <w:shd w:val="clear" w:color="auto" w:fill="auto"/>
            <w:noWrap/>
            <w:vAlign w:val="center"/>
          </w:tcPr>
          <w:p w14:paraId="6505A781">
            <w:pPr>
              <w:pStyle w:val="40"/>
              <w:rPr>
                <w:b w:val="0"/>
                <w:bCs/>
                <w:color w:val="000000" w:themeColor="text1"/>
                <w14:textFill>
                  <w14:solidFill>
                    <w14:schemeClr w14:val="tx1"/>
                  </w14:solidFill>
                </w14:textFill>
              </w:rPr>
            </w:pPr>
          </w:p>
        </w:tc>
        <w:tc>
          <w:tcPr>
            <w:tcW w:w="245" w:type="pct"/>
            <w:shd w:val="clear" w:color="auto" w:fill="auto"/>
            <w:noWrap/>
            <w:vAlign w:val="center"/>
          </w:tcPr>
          <w:p w14:paraId="1D90D5C7">
            <w:pPr>
              <w:pStyle w:val="40"/>
              <w:rPr>
                <w:b w:val="0"/>
                <w:bCs/>
                <w:color w:val="000000" w:themeColor="text1"/>
                <w14:textFill>
                  <w14:solidFill>
                    <w14:schemeClr w14:val="tx1"/>
                  </w14:solidFill>
                </w14:textFill>
              </w:rPr>
            </w:pPr>
          </w:p>
        </w:tc>
        <w:tc>
          <w:tcPr>
            <w:tcW w:w="245" w:type="pct"/>
            <w:shd w:val="clear" w:color="auto" w:fill="auto"/>
            <w:noWrap/>
            <w:vAlign w:val="center"/>
          </w:tcPr>
          <w:p w14:paraId="1B7D3B1A">
            <w:pPr>
              <w:pStyle w:val="40"/>
              <w:rPr>
                <w:b w:val="0"/>
                <w:bCs/>
                <w:color w:val="000000" w:themeColor="text1"/>
                <w14:textFill>
                  <w14:solidFill>
                    <w14:schemeClr w14:val="tx1"/>
                  </w14:solidFill>
                </w14:textFill>
              </w:rPr>
            </w:pPr>
          </w:p>
        </w:tc>
        <w:tc>
          <w:tcPr>
            <w:tcW w:w="245" w:type="pct"/>
            <w:shd w:val="clear" w:color="auto" w:fill="auto"/>
            <w:noWrap/>
            <w:vAlign w:val="center"/>
          </w:tcPr>
          <w:p w14:paraId="5B9B8F24">
            <w:pPr>
              <w:pStyle w:val="40"/>
              <w:rPr>
                <w:b w:val="0"/>
                <w:bCs/>
                <w:color w:val="000000" w:themeColor="text1"/>
                <w14:textFill>
                  <w14:solidFill>
                    <w14:schemeClr w14:val="tx1"/>
                  </w14:solidFill>
                </w14:textFill>
              </w:rPr>
            </w:pPr>
          </w:p>
        </w:tc>
        <w:tc>
          <w:tcPr>
            <w:tcW w:w="245" w:type="pct"/>
            <w:shd w:val="clear" w:color="auto" w:fill="auto"/>
            <w:noWrap/>
            <w:vAlign w:val="center"/>
          </w:tcPr>
          <w:p w14:paraId="051A9295">
            <w:pPr>
              <w:pStyle w:val="40"/>
              <w:rPr>
                <w:b w:val="0"/>
                <w:bCs/>
                <w:color w:val="000000" w:themeColor="text1"/>
                <w14:textFill>
                  <w14:solidFill>
                    <w14:schemeClr w14:val="tx1"/>
                  </w14:solidFill>
                </w14:textFill>
              </w:rPr>
            </w:pPr>
          </w:p>
        </w:tc>
        <w:tc>
          <w:tcPr>
            <w:tcW w:w="246" w:type="pct"/>
            <w:shd w:val="clear" w:color="auto" w:fill="auto"/>
            <w:noWrap/>
            <w:vAlign w:val="center"/>
          </w:tcPr>
          <w:p w14:paraId="2209B671">
            <w:pPr>
              <w:pStyle w:val="40"/>
              <w:rPr>
                <w:b w:val="0"/>
                <w:bCs/>
                <w:color w:val="000000" w:themeColor="text1"/>
                <w14:textFill>
                  <w14:solidFill>
                    <w14:schemeClr w14:val="tx1"/>
                  </w14:solidFill>
                </w14:textFill>
              </w:rPr>
            </w:pPr>
          </w:p>
        </w:tc>
        <w:tc>
          <w:tcPr>
            <w:tcW w:w="280" w:type="pct"/>
            <w:shd w:val="clear" w:color="auto" w:fill="auto"/>
            <w:noWrap/>
            <w:vAlign w:val="center"/>
          </w:tcPr>
          <w:p w14:paraId="5703BC54">
            <w:pPr>
              <w:pStyle w:val="40"/>
              <w:rPr>
                <w:b w:val="0"/>
                <w:bCs/>
                <w:color w:val="000000" w:themeColor="text1"/>
                <w14:textFill>
                  <w14:solidFill>
                    <w14:schemeClr w14:val="tx1"/>
                  </w14:solidFill>
                </w14:textFill>
              </w:rPr>
            </w:pPr>
          </w:p>
        </w:tc>
        <w:tc>
          <w:tcPr>
            <w:tcW w:w="282" w:type="pct"/>
            <w:shd w:val="clear" w:color="auto" w:fill="auto"/>
            <w:noWrap/>
            <w:vAlign w:val="center"/>
          </w:tcPr>
          <w:p w14:paraId="57877363">
            <w:pPr>
              <w:pStyle w:val="40"/>
              <w:rPr>
                <w:b w:val="0"/>
                <w:bCs/>
                <w:color w:val="000000" w:themeColor="text1"/>
                <w14:textFill>
                  <w14:solidFill>
                    <w14:schemeClr w14:val="tx1"/>
                  </w14:solidFill>
                </w14:textFill>
              </w:rPr>
            </w:pPr>
          </w:p>
        </w:tc>
      </w:tr>
      <w:tr w14:paraId="0732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 w:type="pct"/>
            <w:vMerge w:val="continue"/>
            <w:vAlign w:val="center"/>
          </w:tcPr>
          <w:p w14:paraId="4A263EAC">
            <w:pPr>
              <w:pStyle w:val="40"/>
              <w:rPr>
                <w:b w:val="0"/>
                <w:bCs/>
                <w:color w:val="000000" w:themeColor="text1"/>
                <w14:textFill>
                  <w14:solidFill>
                    <w14:schemeClr w14:val="tx1"/>
                  </w14:solidFill>
                </w14:textFill>
              </w:rPr>
            </w:pPr>
          </w:p>
        </w:tc>
        <w:tc>
          <w:tcPr>
            <w:tcW w:w="756" w:type="pct"/>
            <w:shd w:val="clear" w:color="auto" w:fill="auto"/>
            <w:noWrap/>
            <w:vAlign w:val="center"/>
          </w:tcPr>
          <w:p w14:paraId="52ED5456">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w:t>洒水降尘</w:t>
            </w:r>
          </w:p>
        </w:tc>
        <w:tc>
          <w:tcPr>
            <w:tcW w:w="302" w:type="pct"/>
            <w:shd w:val="clear" w:color="auto" w:fill="auto"/>
            <w:noWrap/>
            <w:vAlign w:val="center"/>
          </w:tcPr>
          <w:p w14:paraId="782A1A9F">
            <w:pPr>
              <w:pStyle w:val="40"/>
              <w:rPr>
                <w:b w:val="0"/>
                <w:bCs/>
                <w:color w:val="000000" w:themeColor="text1"/>
                <w14:textFill>
                  <w14:solidFill>
                    <w14:schemeClr w14:val="tx1"/>
                  </w14:solidFill>
                </w14:textFill>
              </w:rPr>
            </w:pPr>
          </w:p>
        </w:tc>
        <w:tc>
          <w:tcPr>
            <w:tcW w:w="279" w:type="pct"/>
            <w:shd w:val="clear" w:color="auto" w:fill="auto"/>
            <w:noWrap/>
            <w:vAlign w:val="center"/>
          </w:tcPr>
          <w:p w14:paraId="2696187E">
            <w:pPr>
              <w:pStyle w:val="40"/>
              <w:rPr>
                <w:b w:val="0"/>
                <w:bCs/>
                <w:color w:val="000000" w:themeColor="text1"/>
                <w14:textFill>
                  <w14:solidFill>
                    <w14:schemeClr w14:val="tx1"/>
                  </w14:solidFill>
                </w14:textFill>
              </w:rPr>
            </w:pPr>
          </w:p>
        </w:tc>
        <w:tc>
          <w:tcPr>
            <w:tcW w:w="275" w:type="pct"/>
            <w:shd w:val="clear" w:color="auto" w:fill="auto"/>
            <w:noWrap/>
            <w:vAlign w:val="center"/>
          </w:tcPr>
          <w:p w14:paraId="4B38631B">
            <w:pPr>
              <w:pStyle w:val="40"/>
              <w:rPr>
                <w:b w:val="0"/>
                <w:bCs/>
                <w:color w:val="000000" w:themeColor="text1"/>
                <w14:textFill>
                  <w14:solidFill>
                    <w14:schemeClr w14:val="tx1"/>
                  </w14:solidFill>
                </w14:textFill>
              </w:rPr>
            </w:pPr>
          </w:p>
        </w:tc>
        <w:tc>
          <w:tcPr>
            <w:tcW w:w="282" w:type="pct"/>
            <w:shd w:val="clear" w:color="auto" w:fill="auto"/>
            <w:noWrap/>
            <w:vAlign w:val="center"/>
          </w:tcPr>
          <w:p w14:paraId="29187D69">
            <w:pPr>
              <w:pStyle w:val="40"/>
              <w:rPr>
                <w:b w:val="0"/>
                <w:bCs/>
                <w:color w:val="000000" w:themeColor="text1"/>
                <w14:textFill>
                  <w14:solidFill>
                    <w14:schemeClr w14:val="tx1"/>
                  </w14:solidFill>
                </w14:textFill>
              </w:rPr>
            </w:pPr>
          </w:p>
        </w:tc>
        <w:tc>
          <w:tcPr>
            <w:tcW w:w="245" w:type="pct"/>
            <w:shd w:val="clear" w:color="auto" w:fill="auto"/>
            <w:noWrap/>
            <w:vAlign w:val="center"/>
          </w:tcPr>
          <w:p w14:paraId="20CEAB24">
            <w:pPr>
              <w:pStyle w:val="40"/>
              <w:rPr>
                <w:b w:val="0"/>
                <w:bCs/>
                <w:color w:val="000000" w:themeColor="text1"/>
                <w14:textFill>
                  <w14:solidFill>
                    <w14:schemeClr w14:val="tx1"/>
                  </w14:solidFill>
                </w14:textFill>
              </w:rPr>
            </w:pPr>
            <w:r>
              <w:rPr>
                <w:b w:val="0"/>
                <w:bCs/>
                <w:color w:val="000000" w:themeColor="text1"/>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-37465</wp:posOffset>
                      </wp:positionH>
                      <wp:positionV relativeFrom="paragraph">
                        <wp:posOffset>76835</wp:posOffset>
                      </wp:positionV>
                      <wp:extent cx="1250315" cy="6350"/>
                      <wp:effectExtent l="0" t="13970" r="6985" b="74930"/>
                      <wp:wrapNone/>
                      <wp:docPr id="45" name="直接连接符 350"/>
                      <wp:cNvGraphicFramePr/>
                      <a:graphic xmlns:a="http://schemas.openxmlformats.org/drawingml/2006/main">
                        <a:graphicData uri="http://schemas.microsoft.com/office/word/2010/wordprocessingShape">
                          <wps:wsp>
                            <wps:cNvCnPr/>
                            <wps:spPr>
                              <a:xfrm flipV="1">
                                <a:off x="0" y="0"/>
                                <a:ext cx="1250315" cy="6350"/>
                              </a:xfrm>
                              <a:prstGeom prst="line">
                                <a:avLst/>
                              </a:prstGeom>
                              <a:ln w="28575">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350" o:spid="_x0000_s1026" o:spt="20" style="position:absolute;left:0pt;flip:y;margin-left:-2.95pt;margin-top:6.05pt;height:0.5pt;width:98.45pt;z-index:251691008;mso-width-relative:page;mso-height-relative:page;" filled="f" stroked="t" coordsize="21600,21600" o:gfxdata="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FE08C1wAAAAgBAAAPAAAAAAAAAAEAIAAAACIAAABkcnMvZG93bnJl&#10;di54bWxQSwECFAAUAAAACACHTuJAk09TbjcCAABVBAAADgAAAAAAAAABACAAAAAmAQAAZHJzL2Uy&#10;b0RvYy54bWxQSwUGAAAAAAYABgBZAQAAzwUAAAAA&#10;">
                      <v:fill on="f" focussize="0,0"/>
                      <v:stroke weight="2.25pt" color="#000000 [3213]" miterlimit="8" joinstyle="miter"/>
                      <v:imagedata o:title=""/>
                      <o:lock v:ext="edit" aspectratio="f"/>
                    </v:line>
                  </w:pict>
                </mc:Fallback>
              </mc:AlternateContent>
            </w:r>
          </w:p>
        </w:tc>
        <w:tc>
          <w:tcPr>
            <w:tcW w:w="245" w:type="pct"/>
            <w:shd w:val="clear" w:color="auto" w:fill="auto"/>
            <w:noWrap/>
            <w:vAlign w:val="center"/>
          </w:tcPr>
          <w:p w14:paraId="284C22B1">
            <w:pPr>
              <w:pStyle w:val="40"/>
              <w:rPr>
                <w:b w:val="0"/>
                <w:bCs/>
                <w:color w:val="000000" w:themeColor="text1"/>
                <w14:textFill>
                  <w14:solidFill>
                    <w14:schemeClr w14:val="tx1"/>
                  </w14:solidFill>
                </w14:textFill>
              </w:rPr>
            </w:pPr>
          </w:p>
        </w:tc>
        <w:tc>
          <w:tcPr>
            <w:tcW w:w="245" w:type="pct"/>
            <w:shd w:val="clear" w:color="auto" w:fill="auto"/>
            <w:noWrap/>
            <w:vAlign w:val="center"/>
          </w:tcPr>
          <w:p w14:paraId="5F698DF4">
            <w:pPr>
              <w:pStyle w:val="40"/>
              <w:rPr>
                <w:b w:val="0"/>
                <w:bCs/>
                <w:color w:val="000000" w:themeColor="text1"/>
                <w14:textFill>
                  <w14:solidFill>
                    <w14:schemeClr w14:val="tx1"/>
                  </w14:solidFill>
                </w14:textFill>
              </w:rPr>
            </w:pPr>
          </w:p>
        </w:tc>
        <w:tc>
          <w:tcPr>
            <w:tcW w:w="245" w:type="pct"/>
            <w:shd w:val="clear" w:color="auto" w:fill="auto"/>
            <w:noWrap/>
            <w:vAlign w:val="center"/>
          </w:tcPr>
          <w:p w14:paraId="274C0CBE">
            <w:pPr>
              <w:pStyle w:val="40"/>
              <w:rPr>
                <w:b w:val="0"/>
                <w:bCs/>
                <w:color w:val="000000" w:themeColor="text1"/>
                <w14:textFill>
                  <w14:solidFill>
                    <w14:schemeClr w14:val="tx1"/>
                  </w14:solidFill>
                </w14:textFill>
              </w:rPr>
            </w:pPr>
          </w:p>
        </w:tc>
        <w:tc>
          <w:tcPr>
            <w:tcW w:w="245" w:type="pct"/>
            <w:shd w:val="clear" w:color="auto" w:fill="auto"/>
            <w:noWrap/>
            <w:vAlign w:val="center"/>
          </w:tcPr>
          <w:p w14:paraId="4BCD01C9">
            <w:pPr>
              <w:pStyle w:val="40"/>
              <w:rPr>
                <w:b w:val="0"/>
                <w:bCs/>
                <w:color w:val="000000" w:themeColor="text1"/>
                <w14:textFill>
                  <w14:solidFill>
                    <w14:schemeClr w14:val="tx1"/>
                  </w14:solidFill>
                </w14:textFill>
              </w:rPr>
            </w:pPr>
          </w:p>
        </w:tc>
        <w:tc>
          <w:tcPr>
            <w:tcW w:w="245" w:type="pct"/>
            <w:shd w:val="clear" w:color="auto" w:fill="auto"/>
            <w:noWrap/>
            <w:vAlign w:val="center"/>
          </w:tcPr>
          <w:p w14:paraId="0509C4A7">
            <w:pPr>
              <w:pStyle w:val="40"/>
              <w:rPr>
                <w:b w:val="0"/>
                <w:bCs/>
                <w:color w:val="000000" w:themeColor="text1"/>
                <w14:textFill>
                  <w14:solidFill>
                    <w14:schemeClr w14:val="tx1"/>
                  </w14:solidFill>
                </w14:textFill>
              </w:rPr>
            </w:pPr>
          </w:p>
        </w:tc>
        <w:tc>
          <w:tcPr>
            <w:tcW w:w="245" w:type="pct"/>
            <w:shd w:val="clear" w:color="auto" w:fill="auto"/>
            <w:noWrap/>
            <w:vAlign w:val="center"/>
          </w:tcPr>
          <w:p w14:paraId="69FA44BA">
            <w:pPr>
              <w:pStyle w:val="40"/>
              <w:rPr>
                <w:b w:val="0"/>
                <w:bCs/>
                <w:color w:val="000000" w:themeColor="text1"/>
                <w14:textFill>
                  <w14:solidFill>
                    <w14:schemeClr w14:val="tx1"/>
                  </w14:solidFill>
                </w14:textFill>
              </w:rPr>
            </w:pPr>
          </w:p>
        </w:tc>
        <w:tc>
          <w:tcPr>
            <w:tcW w:w="245" w:type="pct"/>
            <w:shd w:val="clear" w:color="auto" w:fill="auto"/>
            <w:noWrap/>
            <w:vAlign w:val="center"/>
          </w:tcPr>
          <w:p w14:paraId="5011AA47">
            <w:pPr>
              <w:pStyle w:val="40"/>
              <w:rPr>
                <w:b w:val="0"/>
                <w:bCs/>
                <w:color w:val="000000" w:themeColor="text1"/>
                <w14:textFill>
                  <w14:solidFill>
                    <w14:schemeClr w14:val="tx1"/>
                  </w14:solidFill>
                </w14:textFill>
              </w:rPr>
            </w:pPr>
          </w:p>
        </w:tc>
        <w:tc>
          <w:tcPr>
            <w:tcW w:w="246" w:type="pct"/>
            <w:shd w:val="clear" w:color="auto" w:fill="auto"/>
            <w:noWrap/>
            <w:vAlign w:val="center"/>
          </w:tcPr>
          <w:p w14:paraId="7FC0F460">
            <w:pPr>
              <w:pStyle w:val="40"/>
              <w:rPr>
                <w:b w:val="0"/>
                <w:bCs/>
                <w:color w:val="000000" w:themeColor="text1"/>
                <w14:textFill>
                  <w14:solidFill>
                    <w14:schemeClr w14:val="tx1"/>
                  </w14:solidFill>
                </w14:textFill>
              </w:rPr>
            </w:pPr>
          </w:p>
        </w:tc>
        <w:tc>
          <w:tcPr>
            <w:tcW w:w="280" w:type="pct"/>
            <w:shd w:val="clear" w:color="auto" w:fill="auto"/>
            <w:noWrap/>
            <w:vAlign w:val="center"/>
          </w:tcPr>
          <w:p w14:paraId="7361A55A">
            <w:pPr>
              <w:pStyle w:val="40"/>
              <w:rPr>
                <w:b w:val="0"/>
                <w:bCs/>
                <w:color w:val="000000" w:themeColor="text1"/>
                <w14:textFill>
                  <w14:solidFill>
                    <w14:schemeClr w14:val="tx1"/>
                  </w14:solidFill>
                </w14:textFill>
              </w:rPr>
            </w:pPr>
          </w:p>
        </w:tc>
        <w:tc>
          <w:tcPr>
            <w:tcW w:w="282" w:type="pct"/>
            <w:shd w:val="clear" w:color="auto" w:fill="auto"/>
            <w:noWrap/>
            <w:vAlign w:val="center"/>
          </w:tcPr>
          <w:p w14:paraId="7E2FF805">
            <w:pPr>
              <w:pStyle w:val="40"/>
              <w:rPr>
                <w:b w:val="0"/>
                <w:bCs/>
                <w:color w:val="000000" w:themeColor="text1"/>
                <w14:textFill>
                  <w14:solidFill>
                    <w14:schemeClr w14:val="tx1"/>
                  </w14:solidFill>
                </w14:textFill>
              </w:rPr>
            </w:pPr>
          </w:p>
        </w:tc>
      </w:tr>
    </w:tbl>
    <w:p w14:paraId="0C8DDE50">
      <w:pPr>
        <w:pStyle w:val="22"/>
        <w:spacing w:before="0" w:after="0"/>
        <w:ind w:firstLine="480"/>
        <w:jc w:val="left"/>
        <w:outlineLvl w:val="9"/>
        <w:rPr>
          <w:rFonts w:ascii="Times New Roman" w:hAnsi="Times New Roman" w:cs="Times New Roman"/>
          <w:b w:val="0"/>
          <w:bCs w:val="0"/>
          <w:color w:val="000000" w:themeColor="text1"/>
          <w:szCs w:val="20"/>
          <w14:textFill>
            <w14:solidFill>
              <w14:schemeClr w14:val="tx1"/>
            </w14:solidFill>
          </w14:textFill>
        </w:rPr>
      </w:pPr>
      <w:r>
        <w:rPr>
          <w:rFonts w:ascii="Times New Roman" w:hAnsi="Times New Roman" w:cs="Times New Roman"/>
          <w:b w:val="0"/>
          <w:bCs w:val="0"/>
          <w:color w:val="000000" w:themeColor="text1"/>
          <w:szCs w:val="20"/>
          <w14:textFill>
            <w14:solidFill>
              <w14:schemeClr w14:val="tx1"/>
            </w14:solidFill>
          </w14:textFill>
        </w:rPr>
        <w:t>针对施工机械及运输车辆，提出如下措施：施工期间应划定施工活动范围，严格控制和管理运输车辆及重型机械的运行线路和范围，不得离开运输道路及随意行驶，由专人负责，以防破坏土壤和植被，加剧土地荒漠化。尽量避开沙丘，减缓对沙丘活化的影响。土地临时使用过程中发现土地沙化或者沙化程度加重的，应当及时报告当地人民政府。</w:t>
      </w:r>
    </w:p>
    <w:p w14:paraId="39965471">
      <w:pPr>
        <w:pStyle w:val="34"/>
        <w:spacing w:line="360" w:lineRule="auto"/>
        <w:ind w:firstLine="480" w:firstLineChars="200"/>
        <w:rPr>
          <w:rFonts w:ascii="Times New Roman" w:hAnsi="Times New Roman" w:cs="Times New Roman"/>
          <w:color w:val="000000" w:themeColor="text1"/>
          <w:kern w:val="2"/>
          <w:sz w:val="24"/>
          <w:szCs w:val="20"/>
          <w:lang w:val="en-US" w:bidi="ar-SA"/>
          <w14:textFill>
            <w14:solidFill>
              <w14:schemeClr w14:val="tx1"/>
            </w14:solidFill>
          </w14:textFill>
        </w:rPr>
      </w:pPr>
      <w:r>
        <w:rPr>
          <w:rFonts w:hint="eastAsia" w:ascii="Times New Roman" w:hAnsi="Times New Roman" w:cs="Times New Roman"/>
          <w:color w:val="000000" w:themeColor="text1"/>
          <w:kern w:val="2"/>
          <w:sz w:val="24"/>
          <w:szCs w:val="20"/>
          <w:lang w:val="en-US" w:bidi="ar-SA"/>
          <w14:textFill>
            <w14:solidFill>
              <w14:schemeClr w14:val="tx1"/>
            </w14:solidFill>
          </w14:textFill>
        </w:rPr>
        <w:t>线路终点距离北侧的塔里木盆地南缘土地沙化防控生态保护红线区最近约790m，本项目生态评价范围为300m，超出评价范围，项目拟建1处施工营地、材料站，位于终点若羌±800kV换流站附近，应尽量避免设置在靠近生态红线区的方向，同时施工期间应严格控制施工范围，终点处设置北侧距离生态红线区的标识标牌予以警示，</w:t>
      </w:r>
      <w:r>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t>对施工人员进行保护沙化土地的培训，环评建议可将严格按照环评的生态环境保护措施进行施工纳入与施工单位签订的合同中，对</w:t>
      </w:r>
      <w:r>
        <w:rPr>
          <w:rFonts w:hint="eastAsia" w:ascii="Times New Roman" w:hAnsi="Times New Roman" w:cs="Times New Roman"/>
          <w:color w:val="000000" w:themeColor="text1"/>
          <w:kern w:val="2"/>
          <w:sz w:val="24"/>
          <w:szCs w:val="20"/>
          <w:lang w:val="en-US" w:bidi="ar-SA"/>
          <w14:textFill>
            <w14:solidFill>
              <w14:schemeClr w14:val="tx1"/>
            </w14:solidFill>
          </w14:textFill>
        </w:rPr>
        <w:t>生态红线区</w:t>
      </w:r>
      <w:r>
        <w:rPr>
          <w:rFonts w:hint="eastAsia" w:ascii="Times New Roman" w:hAnsi="Times New Roman" w:cs="Times New Roman"/>
          <w:color w:val="000000" w:themeColor="text1"/>
          <w:kern w:val="2"/>
          <w:sz w:val="24"/>
          <w:szCs w:val="20"/>
          <w:lang w:val="en-US" w:eastAsia="zh-CN" w:bidi="ar-SA"/>
          <w14:textFill>
            <w14:solidFill>
              <w14:schemeClr w14:val="tx1"/>
            </w14:solidFill>
          </w14:textFill>
        </w:rPr>
        <w:t>破坏行为可制定处罚，</w:t>
      </w:r>
      <w:r>
        <w:rPr>
          <w:rFonts w:hint="eastAsia" w:ascii="Times New Roman" w:hAnsi="Times New Roman" w:cs="Times New Roman"/>
          <w:color w:val="000000" w:themeColor="text1"/>
          <w:kern w:val="2"/>
          <w:sz w:val="24"/>
          <w:szCs w:val="20"/>
          <w:lang w:val="en-US" w:bidi="ar-SA"/>
          <w14:textFill>
            <w14:solidFill>
              <w14:schemeClr w14:val="tx1"/>
            </w14:solidFill>
          </w14:textFill>
        </w:rPr>
        <w:t>避免因本项目而造成土地沙漠化。</w:t>
      </w:r>
    </w:p>
    <w:p w14:paraId="5732416D">
      <w:pPr>
        <w:pStyle w:val="34"/>
        <w:spacing w:line="360" w:lineRule="auto"/>
        <w:ind w:firstLine="480" w:firstLineChars="200"/>
        <w:rPr>
          <w:rFonts w:ascii="Times New Roman" w:hAnsi="Times New Roman" w:cs="Times New Roman"/>
          <w:color w:val="000000" w:themeColor="text1"/>
          <w:sz w:val="24"/>
          <w:lang w:val="en-US" w:bidi="ar"/>
          <w14:textFill>
            <w14:solidFill>
              <w14:schemeClr w14:val="tx1"/>
            </w14:solidFill>
          </w14:textFill>
        </w:rPr>
      </w:pPr>
      <w:r>
        <w:rPr>
          <w:rFonts w:hint="eastAsia" w:ascii="Times New Roman" w:hAnsi="Times New Roman" w:cs="Times New Roman"/>
          <w:color w:val="000000" w:themeColor="text1"/>
          <w:sz w:val="24"/>
          <w:lang w:val="en-US" w:eastAsia="zh-CN" w:bidi="ar"/>
          <w14:textFill>
            <w14:solidFill>
              <w14:schemeClr w14:val="tx1"/>
            </w14:solidFill>
          </w14:textFill>
        </w:rPr>
        <w:t>8</w:t>
      </w:r>
      <w:r>
        <w:rPr>
          <w:rFonts w:ascii="Times New Roman" w:hAnsi="Times New Roman" w:cs="Times New Roman"/>
          <w:color w:val="000000" w:themeColor="text1"/>
          <w:sz w:val="24"/>
          <w:lang w:val="en-US" w:bidi="ar"/>
          <w14:textFill>
            <w14:solidFill>
              <w14:schemeClr w14:val="tx1"/>
            </w14:solidFill>
          </w14:textFill>
        </w:rPr>
        <w:t>）土壤保护措施</w:t>
      </w:r>
    </w:p>
    <w:p w14:paraId="3E04CC4A">
      <w:pPr>
        <w:pStyle w:val="34"/>
        <w:spacing w:line="360" w:lineRule="auto"/>
        <w:ind w:firstLine="480" w:firstLineChars="200"/>
        <w:rPr>
          <w:rFonts w:ascii="Times New Roman" w:hAnsi="Times New Roman" w:cs="Times New Roman"/>
          <w:color w:val="000000" w:themeColor="text1"/>
          <w:sz w:val="24"/>
          <w:lang w:val="en-US" w:bidi="ar"/>
          <w14:textFill>
            <w14:solidFill>
              <w14:schemeClr w14:val="tx1"/>
            </w14:solidFill>
          </w14:textFill>
        </w:rPr>
      </w:pPr>
      <w:r>
        <w:rPr>
          <w:rFonts w:ascii="Times New Roman" w:hAnsi="Times New Roman" w:cs="Times New Roman"/>
          <w:color w:val="000000" w:themeColor="text1"/>
          <w:sz w:val="24"/>
          <w:lang w:val="en-US" w:bidi="ar"/>
          <w14:textFill>
            <w14:solidFill>
              <w14:schemeClr w14:val="tx1"/>
            </w14:solidFill>
          </w14:textFill>
        </w:rPr>
        <w:t>施工期间，尽量减少对土壤的扰动，避免大范围的开挖和填埋。施工结束后，及时对施工区域进行平整和覆土，确保土壤结构不被破坏。对于被扰动的土壤，采取植被恢复措施，防止水土流失。牵张场为防止机械油品泄漏，可铺设防泄漏布（防化布）阻隔油品渗透到地面。</w:t>
      </w:r>
    </w:p>
    <w:p w14:paraId="591DF69E">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（6）施工管理和宣传教育</w:t>
      </w:r>
    </w:p>
    <w:p w14:paraId="6D8AED0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①加强对施工人员的环境教育工作，提高其环保意识。</w:t>
      </w:r>
    </w:p>
    <w:p w14:paraId="05B4196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②建设单位应做好公众沟通工作，通过现场解释、分发宣传手册或者树立宣传教育栏等方式，向公众解释输变电工程特点以及与环境保护有关的内容，并认真解答公众的问题，解除公众的疑惑。</w:t>
      </w:r>
    </w:p>
    <w:p w14:paraId="693E978C">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101" w:name="_Toc3121"/>
      <w:bookmarkStart w:id="1102" w:name="_Toc11767"/>
      <w:bookmarkStart w:id="1103" w:name="_Toc32508"/>
      <w:bookmarkStart w:id="1104" w:name="_Toc6488"/>
      <w:bookmarkStart w:id="1105" w:name="_Toc683"/>
      <w:bookmarkStart w:id="1106" w:name="_Toc12056"/>
      <w:bookmarkStart w:id="1107" w:name="_Toc520"/>
      <w:bookmarkStart w:id="1108" w:name="_Toc20721"/>
      <w:bookmarkStart w:id="1109" w:name="_Toc75"/>
      <w:bookmarkStart w:id="1110" w:name="_Toc11116"/>
      <w:bookmarkStart w:id="1111" w:name="_Toc19366"/>
      <w:r>
        <w:rPr>
          <w:bCs/>
          <w:color w:val="000000" w:themeColor="text1"/>
          <w:sz w:val="28"/>
          <w:szCs w:val="32"/>
          <w14:textFill>
            <w14:solidFill>
              <w14:schemeClr w14:val="tx1"/>
            </w14:solidFill>
          </w14:textFill>
        </w:rPr>
        <w:t>7.1.3运行期环境保护措施</w:t>
      </w:r>
      <w:bookmarkEnd w:id="1101"/>
      <w:bookmarkEnd w:id="1102"/>
      <w:bookmarkEnd w:id="1103"/>
      <w:bookmarkEnd w:id="1104"/>
      <w:bookmarkEnd w:id="1105"/>
      <w:bookmarkEnd w:id="1106"/>
      <w:bookmarkEnd w:id="1107"/>
      <w:bookmarkEnd w:id="1108"/>
      <w:bookmarkEnd w:id="1109"/>
      <w:bookmarkEnd w:id="1110"/>
      <w:bookmarkEnd w:id="1111"/>
    </w:p>
    <w:p w14:paraId="2148B29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）电磁环境、声环境污染防治措施</w:t>
      </w:r>
    </w:p>
    <w:p w14:paraId="7CF952A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①加强电磁环境、声环境监测，及时发现问题并按照相关要求进行处理；</w:t>
      </w:r>
    </w:p>
    <w:p w14:paraId="2D9DFF0A">
      <w:pPr>
        <w:widowControl/>
        <w:ind w:firstLine="480"/>
        <w:jc w:val="left"/>
        <w:rPr>
          <w:rFonts w:hint="eastAsia" w:ascii="宋体" w:hAnsi="宋体" w:cs="宋体"/>
          <w:color w:val="000000" w:themeColor="text1"/>
          <w:kern w:val="0"/>
          <w:lang w:eastAsia="zh-CN"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②优化导线选型降低输电线路噪声影响</w:t>
      </w:r>
      <w:r>
        <w:rPr>
          <w:rFonts w:hint="eastAsia" w:ascii="宋体" w:hAnsi="宋体" w:cs="宋体"/>
          <w:color w:val="000000" w:themeColor="text1"/>
          <w:kern w:val="0"/>
          <w:lang w:eastAsia="zh-CN" w:bidi="ar"/>
          <w14:textFill>
            <w14:solidFill>
              <w14:schemeClr w14:val="tx1"/>
            </w14:solidFill>
          </w14:textFill>
        </w:rPr>
        <w:t>；</w:t>
      </w:r>
    </w:p>
    <w:p w14:paraId="03E4C928">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val="en-US" w:eastAsia="zh-CN" w:bidi="ar"/>
          <w14:textFill>
            <w14:solidFill>
              <w14:schemeClr w14:val="tx1"/>
            </w14:solidFill>
          </w14:textFill>
        </w:rPr>
        <w:t>③</w:t>
      </w:r>
      <w:r>
        <w:rPr>
          <w:rFonts w:hint="eastAsia" w:ascii="宋体" w:hAnsi="宋体" w:cs="宋体"/>
          <w:color w:val="000000" w:themeColor="text1"/>
          <w:kern w:val="0"/>
          <w:lang w:bidi="ar"/>
          <w14:textFill>
            <w14:solidFill>
              <w14:schemeClr w14:val="tx1"/>
            </w14:solidFill>
          </w14:textFill>
        </w:rPr>
        <w:t>在架空线路附近及杆塔处设立警示和防护指示标志，严禁在带电架构下方长时间停留，加强对当地群众的有关高压输电方面的环境宣传工作，帮助群众建立环境保护意识和自我安全防护意识。</w:t>
      </w:r>
    </w:p>
    <w:p w14:paraId="7B05BA00">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）生态保护措施</w:t>
      </w:r>
    </w:p>
    <w:p w14:paraId="25BD943A">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）植物保护措施</w:t>
      </w:r>
    </w:p>
    <w:p w14:paraId="74EC4338">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①强化对线路设备检修维护人员的生态保护意识教育，加强管理，禁止滥采滥伐，避免因此导致的沿线自然植被和生态系统的破坏。</w:t>
      </w:r>
    </w:p>
    <w:p w14:paraId="26DBA67E">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②对施工便道、临时堆土场、牵张场地进行土地整治、生态恢复，加强维护，实时跟踪，了解生态恢复效果，以便及时采取后续措施。</w:t>
      </w:r>
    </w:p>
    <w:p w14:paraId="538F0005">
      <w:pPr>
        <w:widowControl/>
        <w:ind w:firstLine="480"/>
        <w:jc w:val="left"/>
        <w:rPr>
          <w:color w:val="000000" w:themeColor="text1"/>
          <w14:textFill>
            <w14:solidFill>
              <w14:schemeClr w14:val="tx1"/>
            </w14:solidFill>
          </w14:textFill>
        </w:rPr>
      </w:pPr>
      <w:r>
        <w:rPr>
          <w:color w:val="000000" w:themeColor="text1"/>
          <w:kern w:val="0"/>
          <w:lang w:bidi="ar"/>
          <w14:textFill>
            <w14:solidFill>
              <w14:schemeClr w14:val="tx1"/>
            </w14:solidFill>
          </w14:textFill>
        </w:rPr>
        <w:t>2</w:t>
      </w:r>
      <w:r>
        <w:rPr>
          <w:rFonts w:hint="eastAsia" w:ascii="宋体" w:hAnsi="宋体" w:cs="宋体"/>
          <w:color w:val="000000" w:themeColor="text1"/>
          <w:kern w:val="0"/>
          <w:lang w:bidi="ar"/>
          <w14:textFill>
            <w14:solidFill>
              <w14:schemeClr w14:val="tx1"/>
            </w14:solidFill>
          </w14:textFill>
        </w:rPr>
        <w:t>）动物保护措施</w:t>
      </w:r>
    </w:p>
    <w:p w14:paraId="3000AE4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①加强对线路维护人员的环保教育，严禁捕猎野生动物，如在工程周围遇到鸟巢、雏鸟和野生动物，应在专业人员的指导下进行妥善安置。</w:t>
      </w:r>
    </w:p>
    <w:p w14:paraId="252A102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②线路巡线时，了解猛禽类鸟类对塔身的利用状况，为后续输变电工程鸟类保护设计提供经验资料。日常线路巡视、检修，塔基维护等作业时，应减少对鸟类的干扰。</w:t>
      </w:r>
    </w:p>
    <w:p w14:paraId="59B9F9B6">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3</w:t>
      </w:r>
      <w:r>
        <w:rPr>
          <w:rFonts w:hint="eastAsia" w:ascii="宋体" w:hAnsi="宋体" w:cs="宋体"/>
          <w:color w:val="000000" w:themeColor="text1"/>
          <w:kern w:val="0"/>
          <w:lang w:bidi="ar"/>
          <w14:textFill>
            <w14:solidFill>
              <w14:schemeClr w14:val="tx1"/>
            </w14:solidFill>
          </w14:textFill>
        </w:rPr>
        <w:t>）运行期环境管理措施</w:t>
      </w:r>
    </w:p>
    <w:p w14:paraId="4EADA3A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①加强对当地群众进行有关输电线路和设备方面的宣传工作，做好公众沟通工作。</w:t>
      </w:r>
    </w:p>
    <w:p w14:paraId="766BB35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②设立各种警告、防护标识，避免意外事故发生。</w:t>
      </w:r>
    </w:p>
    <w:p w14:paraId="1CCB74C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③依法进行运行期的环境管理和环境监测工作。</w:t>
      </w:r>
    </w:p>
    <w:p w14:paraId="444CF43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④加强对线路巡检人员的环境教育工作，提高其环保意识；巡检过程中应关注环保问题。</w:t>
      </w:r>
    </w:p>
    <w:p w14:paraId="574141E9">
      <w:pPr>
        <w:pStyle w:val="3"/>
        <w:keepNext/>
        <w:keepLines/>
        <w:tabs>
          <w:tab w:val="clear" w:pos="420"/>
          <w:tab w:val="clear" w:pos="907"/>
          <w:tab w:val="clear" w:pos="1267"/>
        </w:tabs>
        <w:adjustRightInd/>
        <w:spacing w:before="120" w:beforeLines="50" w:after="120" w:afterLines="50"/>
        <w:rPr>
          <w:color w:val="000000" w:themeColor="text1"/>
          <w:sz w:val="28"/>
          <w:szCs w:val="32"/>
          <w14:textFill>
            <w14:solidFill>
              <w14:schemeClr w14:val="tx1"/>
            </w14:solidFill>
          </w14:textFill>
        </w:rPr>
      </w:pPr>
      <w:bookmarkStart w:id="1112" w:name="_Toc28800"/>
      <w:bookmarkStart w:id="1113" w:name="_Toc17361"/>
      <w:bookmarkStart w:id="1114" w:name="_Toc22181"/>
      <w:bookmarkStart w:id="1115" w:name="_Toc32388"/>
      <w:bookmarkStart w:id="1116" w:name="_Toc14219"/>
      <w:bookmarkStart w:id="1117" w:name="_Toc19525"/>
      <w:bookmarkStart w:id="1118" w:name="_Toc21391"/>
      <w:bookmarkStart w:id="1119" w:name="_Toc26622"/>
      <w:bookmarkStart w:id="1120" w:name="_Toc10358"/>
      <w:bookmarkStart w:id="1121" w:name="_Toc24495"/>
      <w:bookmarkStart w:id="1122" w:name="_Toc30402"/>
      <w:r>
        <w:rPr>
          <w:color w:val="000000" w:themeColor="text1"/>
          <w:sz w:val="28"/>
          <w:szCs w:val="32"/>
          <w14:textFill>
            <w14:solidFill>
              <w14:schemeClr w14:val="tx1"/>
            </w14:solidFill>
          </w14:textFill>
        </w:rPr>
        <w:t>7.2措施的经济、技术可行性分析</w:t>
      </w:r>
      <w:bookmarkEnd w:id="1112"/>
      <w:bookmarkEnd w:id="1113"/>
      <w:bookmarkEnd w:id="1114"/>
      <w:bookmarkEnd w:id="1115"/>
      <w:bookmarkEnd w:id="1116"/>
      <w:bookmarkEnd w:id="1117"/>
      <w:bookmarkEnd w:id="1118"/>
      <w:bookmarkEnd w:id="1119"/>
      <w:bookmarkEnd w:id="1120"/>
      <w:bookmarkEnd w:id="1121"/>
      <w:bookmarkEnd w:id="1122"/>
    </w:p>
    <w:p w14:paraId="7D8A6B5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本着以预防为主，在工程建设的同时保护好环境的原则，本期工程所采取的环保措施主要针对工程设计、施工和运行阶段，即在施工期采取了一系列的污染控制措施减轻施工期</w:t>
      </w:r>
      <w:r>
        <w:rPr>
          <w:rFonts w:hint="eastAsia" w:ascii="宋体" w:hAnsi="宋体" w:cs="宋体"/>
          <w:color w:val="000000" w:themeColor="text1"/>
          <w:kern w:val="0"/>
          <w:lang w:val="en-US" w:eastAsia="zh-CN" w:bidi="ar"/>
          <w14:textFill>
            <w14:solidFill>
              <w14:schemeClr w14:val="tx1"/>
            </w14:solidFill>
          </w14:textFill>
        </w:rPr>
        <w:t>生活污水</w:t>
      </w:r>
      <w:r>
        <w:rPr>
          <w:rFonts w:hint="eastAsia" w:ascii="宋体" w:hAnsi="宋体" w:cs="宋体"/>
          <w:color w:val="000000" w:themeColor="text1"/>
          <w:kern w:val="0"/>
          <w:lang w:bidi="ar"/>
          <w14:textFill>
            <w14:solidFill>
              <w14:schemeClr w14:val="tx1"/>
            </w14:solidFill>
          </w14:textFill>
        </w:rPr>
        <w:t>、噪声、扬尘和固废的影响，以保持当地良好的生态环境，工程投运后电磁环境影响、声环境影响等</w:t>
      </w:r>
      <w:r>
        <w:rPr>
          <w:rFonts w:hint="eastAsia" w:ascii="宋体" w:hAnsi="宋体" w:cs="宋体"/>
          <w:color w:val="000000" w:themeColor="text1"/>
          <w:kern w:val="0"/>
          <w:lang w:eastAsia="zh-CN" w:bidi="ar"/>
          <w14:textFill>
            <w14:solidFill>
              <w14:schemeClr w14:val="tx1"/>
            </w14:solidFill>
          </w14:textFill>
        </w:rPr>
        <w:t>均</w:t>
      </w:r>
      <w:r>
        <w:rPr>
          <w:rFonts w:hint="eastAsia" w:ascii="宋体" w:hAnsi="宋体" w:cs="宋体"/>
          <w:color w:val="000000" w:themeColor="text1"/>
          <w:kern w:val="0"/>
          <w:lang w:bidi="ar"/>
          <w14:textFill>
            <w14:solidFill>
              <w14:schemeClr w14:val="tx1"/>
            </w14:solidFill>
          </w14:textFill>
        </w:rPr>
        <w:t>符合国家环保标准要求。</w:t>
      </w:r>
    </w:p>
    <w:p w14:paraId="424612A6">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输电线路通过优化路径和导线设计，提高导线加工工艺水平，控制导线对地高度等措施，尽量减小其电磁、声环境影响。同时采取一系列生态保护措施，最大程度降低工程建设对当地生态环境的影响。</w:t>
      </w:r>
    </w:p>
    <w:p w14:paraId="15463CF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施工期各项环境保护措施是可行的，责任主体主要为施工单位，同时建设单位应加强环保宣传教育，设置环保宣传牌，完成期限为整个施工期。运行期各项环境保护措施是可行的，责任主体主要为建设单位，完成期限为整个运行期，建设单位应通过建立环境管理机构，配备专职环保管理人员，制定相应环境管理条例、质量管理、环境监理制度等来保障各项环保措施的实施。</w:t>
      </w:r>
    </w:p>
    <w:p w14:paraId="429D1D8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综上，本工程采取的各项环境保护措施具有技术、经济可行性。</w:t>
      </w:r>
    </w:p>
    <w:p w14:paraId="2082A96C">
      <w:pPr>
        <w:pStyle w:val="3"/>
        <w:keepNext/>
        <w:keepLines/>
        <w:tabs>
          <w:tab w:val="clear" w:pos="420"/>
          <w:tab w:val="clear" w:pos="907"/>
          <w:tab w:val="clear" w:pos="1267"/>
        </w:tabs>
        <w:adjustRightInd/>
        <w:spacing w:before="120" w:beforeLines="50" w:after="120" w:afterLines="50"/>
        <w:rPr>
          <w:color w:val="000000" w:themeColor="text1"/>
          <w:sz w:val="28"/>
          <w:szCs w:val="32"/>
          <w14:textFill>
            <w14:solidFill>
              <w14:schemeClr w14:val="tx1"/>
            </w14:solidFill>
          </w14:textFill>
        </w:rPr>
      </w:pPr>
      <w:bookmarkStart w:id="1123" w:name="_Toc6854"/>
      <w:bookmarkStart w:id="1124" w:name="_Toc31786"/>
      <w:bookmarkStart w:id="1125" w:name="_Toc19608"/>
      <w:bookmarkStart w:id="1126" w:name="_Toc19571"/>
      <w:bookmarkStart w:id="1127" w:name="_Toc5552"/>
      <w:bookmarkStart w:id="1128" w:name="_Toc9920"/>
      <w:bookmarkStart w:id="1129" w:name="_Toc23558"/>
      <w:bookmarkStart w:id="1130" w:name="_Toc20174"/>
      <w:bookmarkStart w:id="1131" w:name="_Toc12875"/>
      <w:bookmarkStart w:id="1132" w:name="_Toc31872"/>
      <w:bookmarkStart w:id="1133" w:name="_Toc6334"/>
      <w:r>
        <w:rPr>
          <w:color w:val="000000" w:themeColor="text1"/>
          <w:sz w:val="28"/>
          <w:szCs w:val="32"/>
          <w14:textFill>
            <w14:solidFill>
              <w14:schemeClr w14:val="tx1"/>
            </w14:solidFill>
          </w14:textFill>
        </w:rPr>
        <w:t>7.3环境保护设施、措施及投资估算</w:t>
      </w:r>
      <w:bookmarkEnd w:id="1123"/>
      <w:bookmarkEnd w:id="1124"/>
      <w:bookmarkEnd w:id="1125"/>
      <w:bookmarkEnd w:id="1126"/>
      <w:bookmarkEnd w:id="1127"/>
      <w:bookmarkEnd w:id="1128"/>
      <w:bookmarkEnd w:id="1129"/>
      <w:bookmarkEnd w:id="1130"/>
      <w:bookmarkEnd w:id="1131"/>
      <w:bookmarkEnd w:id="1132"/>
      <w:bookmarkEnd w:id="1133"/>
    </w:p>
    <w:p w14:paraId="4FAA64DB">
      <w:pPr>
        <w:ind w:firstLine="480"/>
        <w:rPr>
          <w:color w:val="000000" w:themeColor="text1"/>
          <w:sz w:val="21"/>
          <w:szCs w:val="21"/>
          <w14:textFill>
            <w14:solidFill>
              <w14:schemeClr w14:val="tx1"/>
            </w14:solidFill>
          </w14:textFill>
        </w:rPr>
      </w:pPr>
      <w:bookmarkStart w:id="1134" w:name="_Toc432167034"/>
      <w:bookmarkStart w:id="1135" w:name="_Toc432083753"/>
      <w:bookmarkStart w:id="1136" w:name="_Toc23087"/>
      <w:bookmarkStart w:id="1137" w:name="_Toc111265894"/>
      <w:bookmarkStart w:id="1138" w:name="_Toc111100286"/>
      <w:bookmarkStart w:id="1139" w:name="_Toc111114834"/>
      <w:bookmarkStart w:id="1140" w:name="_Toc3253"/>
      <w:bookmarkStart w:id="1141" w:name="_Toc102309144"/>
      <w:bookmarkStart w:id="1142" w:name="_Toc432167035"/>
      <w:bookmarkStart w:id="1143" w:name="_Toc432084461"/>
      <w:bookmarkStart w:id="1144" w:name="_Toc111256577"/>
      <w:bookmarkStart w:id="1145" w:name="_Toc102302359"/>
      <w:bookmarkStart w:id="1146" w:name="_Toc209494342"/>
      <w:bookmarkStart w:id="1147" w:name="_Toc110313407"/>
      <w:bookmarkStart w:id="1148" w:name="_Toc432166842"/>
      <w:bookmarkStart w:id="1149" w:name="_Toc102305999"/>
      <w:bookmarkStart w:id="1150" w:name="_Toc110227014"/>
      <w:bookmarkStart w:id="1151" w:name="_Toc107021551"/>
      <w:r>
        <w:rPr>
          <w:color w:val="000000" w:themeColor="text1"/>
          <w:highlight w:val="none"/>
          <w14:textFill>
            <w14:solidFill>
              <w14:schemeClr w14:val="tx1"/>
            </w14:solidFill>
          </w14:textFill>
        </w:rPr>
        <w:t>本工程总投资约为</w:t>
      </w:r>
      <w:r>
        <w:rPr>
          <w:rFonts w:hint="eastAsia"/>
          <w:color w:val="000000" w:themeColor="text1"/>
          <w:highlight w:val="none"/>
          <w:lang w:eastAsia="zh-CN"/>
          <w14:textFill>
            <w14:solidFill>
              <w14:schemeClr w14:val="tx1"/>
            </w14:solidFill>
          </w14:textFill>
        </w:rPr>
        <w:t>14162万元</w:t>
      </w:r>
      <w:r>
        <w:rPr>
          <w:color w:val="000000" w:themeColor="text1"/>
          <w:highlight w:val="none"/>
          <w14:textFill>
            <w14:solidFill>
              <w14:schemeClr w14:val="tx1"/>
            </w14:solidFill>
          </w14:textFill>
        </w:rPr>
        <w:t>，</w:t>
      </w:r>
      <w:r>
        <w:rPr>
          <w:color w:val="000000" w:themeColor="text1"/>
          <w14:textFill>
            <w14:solidFill>
              <w14:schemeClr w14:val="tx1"/>
            </w14:solidFill>
          </w14:textFill>
        </w:rPr>
        <w:t>其中环保投资费用为</w:t>
      </w:r>
      <w:r>
        <w:rPr>
          <w:rFonts w:hint="eastAsia"/>
          <w:color w:val="000000" w:themeColor="text1"/>
          <w14:textFill>
            <w14:solidFill>
              <w14:schemeClr w14:val="tx1"/>
            </w14:solidFill>
          </w14:textFill>
        </w:rPr>
        <w:t>140</w:t>
      </w:r>
      <w:r>
        <w:rPr>
          <w:color w:val="000000" w:themeColor="text1"/>
          <w14:textFill>
            <w14:solidFill>
              <w14:schemeClr w14:val="tx1"/>
            </w14:solidFill>
          </w14:textFill>
        </w:rPr>
        <w:t>万元，占工程总投资</w:t>
      </w:r>
      <w:r>
        <w:rPr>
          <w:rFonts w:hint="eastAsia"/>
          <w:color w:val="000000" w:themeColor="text1"/>
          <w:lang w:eastAsia="zh-CN"/>
          <w14:textFill>
            <w14:solidFill>
              <w14:schemeClr w14:val="tx1"/>
            </w14:solidFill>
          </w14:textFill>
        </w:rPr>
        <w:t>0.99%</w:t>
      </w:r>
      <w:r>
        <w:rPr>
          <w:color w:val="000000" w:themeColor="text1"/>
          <w14:textFill>
            <w14:solidFill>
              <w14:schemeClr w14:val="tx1"/>
            </w14:solidFill>
          </w14:textFill>
        </w:rPr>
        <w:t>。本工程环保投资概算见</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"../../../Admin/Desktop/评审项目/(标注1)1-包头英华500kV输变电工程2021.12.17.doc" \l "表71" </w:instrText>
      </w:r>
      <w:r>
        <w:rPr>
          <w:color w:val="000000" w:themeColor="text1"/>
          <w14:textFill>
            <w14:solidFill>
              <w14:schemeClr w14:val="tx1"/>
            </w14:solidFill>
          </w14:textFill>
        </w:rPr>
        <w:fldChar w:fldCharType="separate"/>
      </w:r>
      <w:r>
        <w:rPr>
          <w:rStyle w:val="31"/>
          <w:color w:val="000000" w:themeColor="text1"/>
          <w:u w:val="none"/>
          <w14:textFill>
            <w14:solidFill>
              <w14:schemeClr w14:val="tx1"/>
            </w14:solidFill>
          </w14:textFill>
        </w:rPr>
        <w:t>表</w:t>
      </w:r>
      <w:r>
        <w:rPr>
          <w:rStyle w:val="31"/>
          <w:color w:val="000000" w:themeColor="text1"/>
          <w:u w:val="none"/>
          <w14:textFill>
            <w14:solidFill>
              <w14:schemeClr w14:val="tx1"/>
            </w14:solidFill>
          </w14:textFill>
        </w:rPr>
        <w:fldChar w:fldCharType="end"/>
      </w:r>
      <w:bookmarkStart w:id="1152" w:name="表71"/>
      <w:bookmarkEnd w:id="1152"/>
      <w:r>
        <w:rPr>
          <w:rStyle w:val="31"/>
          <w:color w:val="000000" w:themeColor="text1"/>
          <w:u w:val="none"/>
          <w14:textFill>
            <w14:solidFill>
              <w14:schemeClr w14:val="tx1"/>
            </w14:solidFill>
          </w14:textFill>
        </w:rPr>
        <w:t>7.3-1</w:t>
      </w:r>
      <w:r>
        <w:rPr>
          <w:color w:val="000000" w:themeColor="text1"/>
          <w14:textFill>
            <w14:solidFill>
              <w14:schemeClr w14:val="tx1"/>
            </w14:solidFill>
          </w14:textFill>
        </w:rPr>
        <w:t>。</w:t>
      </w:r>
    </w:p>
    <w:bookmarkEnd w:id="1134"/>
    <w:bookmarkEnd w:id="1135"/>
    <w:p w14:paraId="56EC107B">
      <w:pPr>
        <w:pStyle w:val="38"/>
        <w:ind w:firstLine="422"/>
        <w:rPr>
          <w:bCs/>
          <w:color w:val="000000" w:themeColor="text1"/>
          <w:highlight w:val="green"/>
          <w14:textFill>
            <w14:solidFill>
              <w14:schemeClr w14:val="tx1"/>
            </w14:solidFill>
          </w14:textFill>
        </w:rPr>
      </w:pPr>
      <w:r>
        <w:rPr>
          <w:bCs/>
          <w:color w:val="000000" w:themeColor="text1"/>
          <w14:textFill>
            <w14:solidFill>
              <w14:schemeClr w14:val="tx1"/>
            </w14:solidFill>
          </w14:textFill>
        </w:rPr>
        <w:t>表7.3-1  环保投资估算表</w:t>
      </w:r>
    </w:p>
    <w:tbl>
      <w:tblPr>
        <w:tblStyle w:val="59"/>
        <w:tblW w:w="50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9"/>
        <w:gridCol w:w="3972"/>
        <w:gridCol w:w="1327"/>
        <w:gridCol w:w="1422"/>
      </w:tblGrid>
      <w:tr w14:paraId="1DCD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1033" w:type="pct"/>
            <w:vAlign w:val="center"/>
          </w:tcPr>
          <w:p w14:paraId="3941203E">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类型</w:t>
            </w:r>
          </w:p>
        </w:tc>
        <w:tc>
          <w:tcPr>
            <w:tcW w:w="2344" w:type="pct"/>
            <w:vAlign w:val="center"/>
          </w:tcPr>
          <w:p w14:paraId="127EB109">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项目</w:t>
            </w:r>
          </w:p>
        </w:tc>
        <w:tc>
          <w:tcPr>
            <w:tcW w:w="783" w:type="pct"/>
            <w:vAlign w:val="center"/>
          </w:tcPr>
          <w:p w14:paraId="215A56D3">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投资额（万元）</w:t>
            </w:r>
          </w:p>
        </w:tc>
        <w:tc>
          <w:tcPr>
            <w:tcW w:w="839" w:type="pct"/>
            <w:vAlign w:val="center"/>
          </w:tcPr>
          <w:p w14:paraId="21C1AB1B">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小计（万元）</w:t>
            </w:r>
          </w:p>
        </w:tc>
      </w:tr>
      <w:tr w14:paraId="7F28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33" w:type="pct"/>
            <w:vMerge w:val="restart"/>
            <w:vAlign w:val="center"/>
          </w:tcPr>
          <w:p w14:paraId="7EDAFC6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施工期环境保护</w:t>
            </w:r>
          </w:p>
        </w:tc>
        <w:tc>
          <w:tcPr>
            <w:tcW w:w="2344" w:type="pct"/>
            <w:vAlign w:val="center"/>
          </w:tcPr>
          <w:p w14:paraId="32129D3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洒水降尘</w:t>
            </w:r>
          </w:p>
        </w:tc>
        <w:tc>
          <w:tcPr>
            <w:tcW w:w="783" w:type="pct"/>
            <w:vAlign w:val="center"/>
          </w:tcPr>
          <w:p w14:paraId="0F271D7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5</w:t>
            </w:r>
          </w:p>
        </w:tc>
        <w:tc>
          <w:tcPr>
            <w:tcW w:w="839" w:type="pct"/>
            <w:vMerge w:val="restart"/>
            <w:vAlign w:val="center"/>
          </w:tcPr>
          <w:p w14:paraId="6AA2B5DF">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55</w:t>
            </w:r>
          </w:p>
        </w:tc>
      </w:tr>
      <w:tr w14:paraId="19AB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1033" w:type="pct"/>
            <w:vMerge w:val="continue"/>
            <w:vAlign w:val="center"/>
          </w:tcPr>
          <w:p w14:paraId="41D65B6E">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344" w:type="pct"/>
            <w:vAlign w:val="center"/>
          </w:tcPr>
          <w:p w14:paraId="577E6865">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彩条布铺垫、彩条旗围栏、堆土苫盖、警示标识等</w:t>
            </w:r>
          </w:p>
        </w:tc>
        <w:tc>
          <w:tcPr>
            <w:tcW w:w="783" w:type="pct"/>
            <w:vAlign w:val="center"/>
          </w:tcPr>
          <w:p w14:paraId="2777D7F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15</w:t>
            </w:r>
          </w:p>
        </w:tc>
        <w:tc>
          <w:tcPr>
            <w:tcW w:w="839" w:type="pct"/>
            <w:vMerge w:val="continue"/>
            <w:vAlign w:val="center"/>
          </w:tcPr>
          <w:p w14:paraId="3BA3E595">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r>
      <w:tr w14:paraId="0945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33" w:type="pct"/>
            <w:vMerge w:val="continue"/>
            <w:vAlign w:val="center"/>
          </w:tcPr>
          <w:p w14:paraId="5F5B76C5">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344" w:type="pct"/>
            <w:vAlign w:val="center"/>
          </w:tcPr>
          <w:p w14:paraId="52E85E4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植被恢复及生态恢复措施费</w:t>
            </w:r>
          </w:p>
        </w:tc>
        <w:tc>
          <w:tcPr>
            <w:tcW w:w="783" w:type="pct"/>
            <w:vAlign w:val="center"/>
          </w:tcPr>
          <w:p w14:paraId="377677AE">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15</w:t>
            </w:r>
          </w:p>
        </w:tc>
        <w:tc>
          <w:tcPr>
            <w:tcW w:w="839" w:type="pct"/>
            <w:vMerge w:val="continue"/>
            <w:vAlign w:val="center"/>
          </w:tcPr>
          <w:p w14:paraId="56DA2188">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r>
      <w:tr w14:paraId="3E5F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33" w:type="pct"/>
            <w:vMerge w:val="continue"/>
            <w:vAlign w:val="center"/>
          </w:tcPr>
          <w:p w14:paraId="3F749B98">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344" w:type="pct"/>
            <w:vAlign w:val="center"/>
          </w:tcPr>
          <w:p w14:paraId="7781EA36">
            <w:pPr>
              <w:widowControl/>
              <w:spacing w:line="240" w:lineRule="auto"/>
              <w:ind w:firstLine="0" w:firstLineChars="0"/>
              <w:jc w:val="center"/>
              <w:rPr>
                <w:color w:val="000000" w:themeColor="text1"/>
                <w:sz w:val="21"/>
                <w14:textFill>
                  <w14:solidFill>
                    <w14:schemeClr w14:val="tx1"/>
                  </w14:solidFill>
                </w14:textFill>
              </w:rPr>
            </w:pPr>
            <w:r>
              <w:rPr>
                <w:rFonts w:hint="eastAsia" w:ascii="宋体" w:hAnsi="宋体" w:cs="宋体"/>
                <w:color w:val="000000" w:themeColor="text1"/>
                <w:kern w:val="0"/>
                <w:sz w:val="21"/>
                <w:szCs w:val="21"/>
                <w:lang w:bidi="ar"/>
                <w14:textFill>
                  <w14:solidFill>
                    <w14:schemeClr w14:val="tx1"/>
                  </w14:solidFill>
                </w14:textFill>
              </w:rPr>
              <w:t>防沙治沙</w:t>
            </w:r>
          </w:p>
        </w:tc>
        <w:tc>
          <w:tcPr>
            <w:tcW w:w="783" w:type="pct"/>
            <w:vAlign w:val="center"/>
          </w:tcPr>
          <w:p w14:paraId="4E030B35">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20</w:t>
            </w:r>
          </w:p>
        </w:tc>
        <w:tc>
          <w:tcPr>
            <w:tcW w:w="839" w:type="pct"/>
            <w:vMerge w:val="continue"/>
            <w:vAlign w:val="center"/>
          </w:tcPr>
          <w:p w14:paraId="65D1D82D">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r>
      <w:tr w14:paraId="1338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1033" w:type="pct"/>
            <w:vAlign w:val="center"/>
          </w:tcPr>
          <w:p w14:paraId="655DB529">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运营期环境保护</w:t>
            </w:r>
          </w:p>
        </w:tc>
        <w:tc>
          <w:tcPr>
            <w:tcW w:w="2344" w:type="pct"/>
            <w:vAlign w:val="center"/>
          </w:tcPr>
          <w:p w14:paraId="56FBD43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电磁警示标志</w:t>
            </w:r>
          </w:p>
        </w:tc>
        <w:tc>
          <w:tcPr>
            <w:tcW w:w="783" w:type="pct"/>
            <w:vAlign w:val="center"/>
          </w:tcPr>
          <w:p w14:paraId="16081DAA">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5</w:t>
            </w:r>
          </w:p>
        </w:tc>
        <w:tc>
          <w:tcPr>
            <w:tcW w:w="839" w:type="pct"/>
            <w:vAlign w:val="center"/>
          </w:tcPr>
          <w:p w14:paraId="5066CFA2">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5</w:t>
            </w:r>
          </w:p>
        </w:tc>
      </w:tr>
      <w:tr w14:paraId="61D8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33" w:type="pct"/>
            <w:vMerge w:val="restart"/>
            <w:vAlign w:val="center"/>
          </w:tcPr>
          <w:p w14:paraId="750626EA">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环境管理与监测</w:t>
            </w:r>
          </w:p>
        </w:tc>
        <w:tc>
          <w:tcPr>
            <w:tcW w:w="2344" w:type="pct"/>
            <w:vAlign w:val="center"/>
          </w:tcPr>
          <w:p w14:paraId="080FDF83">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lang w:val="en-US" w:eastAsia="zh-CN"/>
                <w14:textFill>
                  <w14:solidFill>
                    <w14:schemeClr w14:val="tx1"/>
                  </w14:solidFill>
                </w14:textFill>
              </w:rPr>
              <w:t>生态</w:t>
            </w:r>
            <w:r>
              <w:rPr>
                <w:rFonts w:hint="eastAsia" w:ascii="Times New Roman" w:hAnsi="Times New Roman"/>
                <w:color w:val="000000" w:themeColor="text1"/>
                <w:kern w:val="2"/>
                <w:sz w:val="21"/>
                <w14:textFill>
                  <w14:solidFill>
                    <w14:schemeClr w14:val="tx1"/>
                  </w14:solidFill>
                </w14:textFill>
              </w:rPr>
              <w:t>环境影响评价费用</w:t>
            </w:r>
          </w:p>
        </w:tc>
        <w:tc>
          <w:tcPr>
            <w:tcW w:w="783" w:type="pct"/>
            <w:vAlign w:val="center"/>
          </w:tcPr>
          <w:p w14:paraId="63FE6BD8">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15</w:t>
            </w:r>
          </w:p>
        </w:tc>
        <w:tc>
          <w:tcPr>
            <w:tcW w:w="839" w:type="pct"/>
            <w:vMerge w:val="restart"/>
            <w:vAlign w:val="center"/>
          </w:tcPr>
          <w:p w14:paraId="327C33B5">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80</w:t>
            </w:r>
          </w:p>
        </w:tc>
      </w:tr>
      <w:tr w14:paraId="34A4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rPr>
        <w:tc>
          <w:tcPr>
            <w:tcW w:w="1033" w:type="pct"/>
            <w:vMerge w:val="continue"/>
            <w:vAlign w:val="center"/>
          </w:tcPr>
          <w:p w14:paraId="47A7F176">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344" w:type="pct"/>
            <w:vAlign w:val="center"/>
          </w:tcPr>
          <w:p w14:paraId="10E724FF">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环境管理、监理费</w:t>
            </w:r>
          </w:p>
        </w:tc>
        <w:tc>
          <w:tcPr>
            <w:tcW w:w="783" w:type="pct"/>
            <w:vAlign w:val="center"/>
          </w:tcPr>
          <w:p w14:paraId="0E82F80C">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30</w:t>
            </w:r>
          </w:p>
        </w:tc>
        <w:tc>
          <w:tcPr>
            <w:tcW w:w="839" w:type="pct"/>
            <w:vMerge w:val="continue"/>
            <w:vAlign w:val="center"/>
          </w:tcPr>
          <w:p w14:paraId="51729AAF">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r>
      <w:tr w14:paraId="6AA4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7" w:hRule="atLeast"/>
        </w:trPr>
        <w:tc>
          <w:tcPr>
            <w:tcW w:w="1033" w:type="pct"/>
            <w:vMerge w:val="continue"/>
            <w:vAlign w:val="center"/>
          </w:tcPr>
          <w:p w14:paraId="380479BE">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344" w:type="pct"/>
            <w:vAlign w:val="center"/>
          </w:tcPr>
          <w:p w14:paraId="1EBF4A7D">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环境保护竣工验收费用</w:t>
            </w:r>
          </w:p>
        </w:tc>
        <w:tc>
          <w:tcPr>
            <w:tcW w:w="783" w:type="pct"/>
            <w:vAlign w:val="center"/>
          </w:tcPr>
          <w:p w14:paraId="2B99566F">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15</w:t>
            </w:r>
          </w:p>
        </w:tc>
        <w:tc>
          <w:tcPr>
            <w:tcW w:w="839" w:type="pct"/>
            <w:vMerge w:val="continue"/>
            <w:vAlign w:val="center"/>
          </w:tcPr>
          <w:p w14:paraId="34959C91">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r>
      <w:tr w14:paraId="3C81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 w:hRule="atLeast"/>
        </w:trPr>
        <w:tc>
          <w:tcPr>
            <w:tcW w:w="1033" w:type="pct"/>
            <w:vMerge w:val="continue"/>
            <w:vAlign w:val="center"/>
          </w:tcPr>
          <w:p w14:paraId="3A85570A">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c>
          <w:tcPr>
            <w:tcW w:w="2344" w:type="pct"/>
            <w:vAlign w:val="center"/>
          </w:tcPr>
          <w:p w14:paraId="2868EE54">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环境监测费用（电磁、噪声及生态）</w:t>
            </w:r>
          </w:p>
        </w:tc>
        <w:tc>
          <w:tcPr>
            <w:tcW w:w="783" w:type="pct"/>
            <w:vAlign w:val="center"/>
          </w:tcPr>
          <w:p w14:paraId="5C8BE23B">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20</w:t>
            </w:r>
          </w:p>
        </w:tc>
        <w:tc>
          <w:tcPr>
            <w:tcW w:w="839" w:type="pct"/>
            <w:vMerge w:val="continue"/>
            <w:vAlign w:val="center"/>
          </w:tcPr>
          <w:p w14:paraId="7D72E9D7">
            <w:pPr>
              <w:pStyle w:val="41"/>
              <w:spacing w:line="240" w:lineRule="auto"/>
              <w:ind w:left="420" w:hanging="420"/>
              <w:rPr>
                <w:rFonts w:ascii="Times New Roman" w:hAnsi="Times New Roman"/>
                <w:color w:val="000000" w:themeColor="text1"/>
                <w:kern w:val="2"/>
                <w:sz w:val="21"/>
                <w14:textFill>
                  <w14:solidFill>
                    <w14:schemeClr w14:val="tx1"/>
                  </w14:solidFill>
                </w14:textFill>
              </w:rPr>
            </w:pPr>
          </w:p>
        </w:tc>
      </w:tr>
      <w:tr w14:paraId="4379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 w:hRule="atLeast"/>
        </w:trPr>
        <w:tc>
          <w:tcPr>
            <w:tcW w:w="3377" w:type="pct"/>
            <w:gridSpan w:val="2"/>
            <w:vAlign w:val="center"/>
          </w:tcPr>
          <w:p w14:paraId="5C7B9860">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合计</w:t>
            </w:r>
          </w:p>
        </w:tc>
        <w:tc>
          <w:tcPr>
            <w:tcW w:w="1622" w:type="pct"/>
            <w:gridSpan w:val="2"/>
            <w:vAlign w:val="center"/>
          </w:tcPr>
          <w:p w14:paraId="0C917671">
            <w:pPr>
              <w:pStyle w:val="41"/>
              <w:spacing w:line="240" w:lineRule="auto"/>
              <w:ind w:left="420" w:hanging="42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140</w:t>
            </w:r>
          </w:p>
        </w:tc>
      </w:tr>
    </w:tbl>
    <w:p w14:paraId="2710CF0B">
      <w:pPr>
        <w:widowControl/>
        <w:ind w:firstLine="640"/>
        <w:jc w:val="left"/>
        <w:rPr>
          <w:color w:val="000000" w:themeColor="text1"/>
          <w:sz w:val="32"/>
          <w:szCs w:val="32"/>
          <w14:textFill>
            <w14:solidFill>
              <w14:schemeClr w14:val="tx1"/>
            </w14:solidFill>
          </w14:textFill>
        </w:rPr>
        <w:sectPr>
          <w:headerReference r:id="rId16" w:type="default"/>
          <w:pgSz w:w="11905" w:h="16838"/>
          <w:pgMar w:top="1440" w:right="1800" w:bottom="1440" w:left="1800" w:header="850" w:footer="992" w:gutter="0"/>
          <w:cols w:space="720" w:num="1"/>
          <w:docGrid w:linePitch="286" w:charSpace="0"/>
        </w:sectPr>
      </w:pPr>
    </w:p>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14:paraId="4AE3AFD6">
      <w:pPr>
        <w:pStyle w:val="2"/>
        <w:spacing w:before="120" w:beforeLines="50" w:after="120" w:afterLines="50"/>
        <w:rPr>
          <w:color w:val="000000" w:themeColor="text1"/>
          <w14:textFill>
            <w14:solidFill>
              <w14:schemeClr w14:val="tx1"/>
            </w14:solidFill>
          </w14:textFill>
        </w:rPr>
      </w:pPr>
      <w:bookmarkStart w:id="1153" w:name="_Toc26210"/>
      <w:bookmarkStart w:id="1154" w:name="_Toc30467"/>
      <w:bookmarkStart w:id="1155" w:name="_Toc6048"/>
      <w:bookmarkStart w:id="1156" w:name="_Toc20137"/>
      <w:bookmarkStart w:id="1157" w:name="_Toc7409"/>
      <w:bookmarkStart w:id="1158" w:name="_Toc30212"/>
      <w:bookmarkStart w:id="1159" w:name="_Toc1531"/>
      <w:bookmarkStart w:id="1160" w:name="_Toc31199"/>
      <w:bookmarkStart w:id="1161" w:name="_Toc14469"/>
      <w:bookmarkStart w:id="1162" w:name="_Toc17628"/>
      <w:bookmarkStart w:id="1163" w:name="_Toc12764"/>
      <w:r>
        <w:rPr>
          <w:color w:val="000000" w:themeColor="text1"/>
          <w14:textFill>
            <w14:solidFill>
              <w14:schemeClr w14:val="tx1"/>
            </w14:solidFill>
          </w14:textFill>
        </w:rPr>
        <w:t>8环境管理与监测计划</w:t>
      </w:r>
      <w:bookmarkEnd w:id="1153"/>
      <w:bookmarkEnd w:id="1154"/>
      <w:bookmarkEnd w:id="1155"/>
      <w:bookmarkEnd w:id="1156"/>
      <w:bookmarkEnd w:id="1157"/>
      <w:bookmarkEnd w:id="1158"/>
      <w:bookmarkEnd w:id="1159"/>
      <w:bookmarkEnd w:id="1160"/>
      <w:bookmarkEnd w:id="1161"/>
      <w:bookmarkEnd w:id="1162"/>
      <w:bookmarkEnd w:id="1163"/>
    </w:p>
    <w:p w14:paraId="1BDD9297">
      <w:pPr>
        <w:ind w:firstLine="480"/>
        <w:rPr>
          <w:color w:val="000000" w:themeColor="text1"/>
          <w14:textFill>
            <w14:solidFill>
              <w14:schemeClr w14:val="tx1"/>
            </w14:solidFill>
          </w14:textFill>
        </w:rPr>
      </w:pPr>
      <w:bookmarkStart w:id="1164" w:name="_Toc15798"/>
      <w:bookmarkStart w:id="1165" w:name="_Toc432167036"/>
      <w:bookmarkStart w:id="1166" w:name="_Toc432084462"/>
      <w:bookmarkStart w:id="1167" w:name="_Toc111269955"/>
      <w:bookmarkStart w:id="1168" w:name="_Toc110227015"/>
      <w:bookmarkStart w:id="1169" w:name="_Toc102302360"/>
      <w:bookmarkStart w:id="1170" w:name="_Toc32918839"/>
      <w:bookmarkStart w:id="1171" w:name="_Toc111256578"/>
      <w:bookmarkStart w:id="1172" w:name="_Toc110313408"/>
      <w:bookmarkStart w:id="1173" w:name="_Toc102306000"/>
      <w:bookmarkStart w:id="1174" w:name="_Toc111114835"/>
      <w:bookmarkStart w:id="1175" w:name="_Toc111100287"/>
      <w:bookmarkStart w:id="1176" w:name="_Toc102111968"/>
      <w:bookmarkStart w:id="1177" w:name="_Toc107021552"/>
      <w:bookmarkStart w:id="1178" w:name="_Toc102309145"/>
      <w:bookmarkStart w:id="1179" w:name="_Toc111265895"/>
      <w:r>
        <w:rPr>
          <w:color w:val="000000" w:themeColor="text1"/>
          <w14:textFill>
            <w14:solidFill>
              <w14:schemeClr w14:val="tx1"/>
            </w14:solidFill>
          </w14:textFill>
        </w:rPr>
        <w:t>本期工程的建设将会不同程度地对工程所在地附近的自然环境造成一定的影响。施工期和运行期应加强环境管理、执行环境监测计划，掌握工程建设前后、运行前后实际产生的</w:t>
      </w:r>
      <w:r>
        <w:rPr>
          <w:rFonts w:hint="eastAsia"/>
          <w:color w:val="000000" w:themeColor="text1"/>
          <w:lang w:val="en-US" w:eastAsia="zh-CN"/>
          <w14:textFill>
            <w14:solidFill>
              <w14:schemeClr w14:val="tx1"/>
            </w14:solidFill>
          </w14:textFill>
        </w:rPr>
        <w:t>生态</w:t>
      </w:r>
      <w:r>
        <w:rPr>
          <w:color w:val="000000" w:themeColor="text1"/>
          <w14:textFill>
            <w14:solidFill>
              <w14:schemeClr w14:val="tx1"/>
            </w14:solidFill>
          </w14:textFill>
        </w:rPr>
        <w:t>环境影响变化情况，确保各项</w:t>
      </w:r>
      <w:r>
        <w:rPr>
          <w:rFonts w:hint="eastAsia"/>
          <w:color w:val="000000" w:themeColor="text1"/>
          <w:lang w:val="en-US" w:eastAsia="zh-CN"/>
          <w14:textFill>
            <w14:solidFill>
              <w14:schemeClr w14:val="tx1"/>
            </w14:solidFill>
          </w14:textFill>
        </w:rPr>
        <w:t>生态</w:t>
      </w:r>
      <w:r>
        <w:rPr>
          <w:color w:val="000000" w:themeColor="text1"/>
          <w14:textFill>
            <w14:solidFill>
              <w14:schemeClr w14:val="tx1"/>
            </w14:solidFill>
          </w14:textFill>
        </w:rPr>
        <w:t>环境保护措施的有效落实，并根据管理、监测中发现的信息及时解决相关问题，尽可能降低、减少工程建设及工程运行对环境带来的负面影响，力争做到经济、社会、环境效益的统一和可持续发展。</w:t>
      </w:r>
    </w:p>
    <w:bookmarkEnd w:id="1164"/>
    <w:bookmarkEnd w:id="1165"/>
    <w:bookmarkEnd w:id="1166"/>
    <w:p w14:paraId="1E4D6946">
      <w:pPr>
        <w:pStyle w:val="3"/>
        <w:keepNext/>
        <w:keepLines/>
        <w:tabs>
          <w:tab w:val="clear" w:pos="420"/>
          <w:tab w:val="clear" w:pos="907"/>
          <w:tab w:val="clear" w:pos="1267"/>
        </w:tabs>
        <w:adjustRightInd/>
        <w:spacing w:before="120" w:beforeLines="50" w:after="120" w:afterLines="50"/>
        <w:rPr>
          <w:color w:val="000000" w:themeColor="text1"/>
          <w:sz w:val="28"/>
          <w:szCs w:val="32"/>
          <w14:textFill>
            <w14:solidFill>
              <w14:schemeClr w14:val="tx1"/>
            </w14:solidFill>
          </w14:textFill>
        </w:rPr>
      </w:pPr>
      <w:bookmarkStart w:id="1180" w:name="_Toc16554"/>
      <w:bookmarkStart w:id="1181" w:name="_Toc14983"/>
      <w:bookmarkStart w:id="1182" w:name="_Toc25571"/>
      <w:bookmarkStart w:id="1183" w:name="_Toc3451"/>
      <w:bookmarkStart w:id="1184" w:name="_Toc1315"/>
      <w:bookmarkStart w:id="1185" w:name="_Toc27138"/>
      <w:bookmarkStart w:id="1186" w:name="_Toc32188"/>
      <w:bookmarkStart w:id="1187" w:name="_Toc13830"/>
      <w:bookmarkStart w:id="1188" w:name="_Toc14342"/>
      <w:bookmarkStart w:id="1189" w:name="_Toc5944"/>
      <w:bookmarkStart w:id="1190" w:name="_Toc31179"/>
      <w:r>
        <w:rPr>
          <w:color w:val="000000" w:themeColor="text1"/>
          <w:sz w:val="28"/>
          <w:szCs w:val="32"/>
          <w14:textFill>
            <w14:solidFill>
              <w14:schemeClr w14:val="tx1"/>
            </w14:solidFill>
          </w14:textFill>
        </w:rPr>
        <w:t>8.1环境管理</w:t>
      </w:r>
      <w:bookmarkEnd w:id="1180"/>
      <w:bookmarkEnd w:id="1181"/>
      <w:bookmarkEnd w:id="1182"/>
      <w:bookmarkEnd w:id="1183"/>
      <w:bookmarkEnd w:id="1184"/>
      <w:bookmarkEnd w:id="1185"/>
      <w:bookmarkEnd w:id="1186"/>
      <w:bookmarkEnd w:id="1187"/>
      <w:bookmarkEnd w:id="1188"/>
      <w:bookmarkEnd w:id="1189"/>
      <w:bookmarkEnd w:id="1190"/>
    </w:p>
    <w:p w14:paraId="1ACC61AC">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191" w:name="_Toc6472"/>
      <w:bookmarkStart w:id="1192" w:name="_Toc14442"/>
      <w:bookmarkStart w:id="1193" w:name="_Toc11765"/>
      <w:bookmarkStart w:id="1194" w:name="_Toc11341"/>
      <w:bookmarkStart w:id="1195" w:name="_Toc2621"/>
      <w:bookmarkStart w:id="1196" w:name="_Toc22398"/>
      <w:bookmarkStart w:id="1197" w:name="_Toc974"/>
      <w:bookmarkStart w:id="1198" w:name="_Toc10773"/>
      <w:bookmarkStart w:id="1199" w:name="_Toc12964"/>
      <w:bookmarkStart w:id="1200" w:name="_Toc32077"/>
      <w:bookmarkStart w:id="1201" w:name="_Toc17812"/>
      <w:r>
        <w:rPr>
          <w:bCs/>
          <w:color w:val="000000" w:themeColor="text1"/>
          <w:sz w:val="28"/>
          <w:szCs w:val="32"/>
          <w14:textFill>
            <w14:solidFill>
              <w14:schemeClr w14:val="tx1"/>
            </w14:solidFill>
          </w14:textFill>
        </w:rPr>
        <w:t>8.1.1环境管理机构</w:t>
      </w:r>
      <w:bookmarkEnd w:id="1191"/>
      <w:bookmarkEnd w:id="1192"/>
      <w:bookmarkEnd w:id="1193"/>
      <w:bookmarkEnd w:id="1194"/>
      <w:bookmarkEnd w:id="1195"/>
      <w:bookmarkEnd w:id="1196"/>
      <w:bookmarkEnd w:id="1197"/>
      <w:bookmarkEnd w:id="1198"/>
      <w:bookmarkEnd w:id="1199"/>
      <w:bookmarkEnd w:id="1200"/>
      <w:bookmarkEnd w:id="1201"/>
    </w:p>
    <w:p w14:paraId="2DCBC2A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建设单位、施工单位、运行主管单位应在各自管理机构内配备专职或兼职人员，负责环境保护管理工作。</w:t>
      </w:r>
    </w:p>
    <w:p w14:paraId="7CF738DC">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202" w:name="_Toc27523"/>
      <w:bookmarkStart w:id="1203" w:name="_Toc3915"/>
      <w:bookmarkStart w:id="1204" w:name="_Toc13566"/>
      <w:bookmarkStart w:id="1205" w:name="_Toc12940"/>
      <w:bookmarkStart w:id="1206" w:name="_Toc19178"/>
      <w:bookmarkStart w:id="1207" w:name="_Toc15144"/>
      <w:bookmarkStart w:id="1208" w:name="_Toc13226"/>
      <w:bookmarkStart w:id="1209" w:name="_Toc1550"/>
      <w:bookmarkStart w:id="1210" w:name="_Toc1243"/>
      <w:bookmarkStart w:id="1211" w:name="_Toc23292"/>
      <w:bookmarkStart w:id="1212" w:name="_Toc8195"/>
      <w:r>
        <w:rPr>
          <w:rFonts w:hint="eastAsia"/>
          <w:bCs/>
          <w:color w:val="000000" w:themeColor="text1"/>
          <w:sz w:val="28"/>
          <w:szCs w:val="32"/>
          <w14:textFill>
            <w14:solidFill>
              <w14:schemeClr w14:val="tx1"/>
            </w14:solidFill>
          </w14:textFill>
        </w:rPr>
        <w:t>8.1.2</w:t>
      </w:r>
      <w:r>
        <w:rPr>
          <w:bCs/>
          <w:color w:val="000000" w:themeColor="text1"/>
          <w:sz w:val="28"/>
          <w:szCs w:val="32"/>
          <w14:textFill>
            <w14:solidFill>
              <w14:schemeClr w14:val="tx1"/>
            </w14:solidFill>
          </w14:textFill>
        </w:rPr>
        <w:t>设计、施工招标阶段的环境管理</w:t>
      </w:r>
    </w:p>
    <w:p w14:paraId="334D58F8">
      <w:pPr>
        <w:ind w:firstLine="480"/>
        <w:rPr>
          <w:color w:val="000000" w:themeColor="text1"/>
          <w14:textFill>
            <w14:solidFill>
              <w14:schemeClr w14:val="tx1"/>
            </w14:solidFill>
          </w14:textFill>
        </w:rPr>
      </w:pPr>
      <w:r>
        <w:rPr>
          <w:color w:val="000000" w:themeColor="text1"/>
          <w14:textFill>
            <w14:solidFill>
              <w14:schemeClr w14:val="tx1"/>
            </w14:solidFill>
          </w14:textFill>
        </w:rPr>
        <w:t>（1）主体工程设计单位应在下阶段设计中，将环评报告中提出的措施纳入工程设计中。设计中应统筹安排施工时序，合理安排环保措施的实施进度。</w:t>
      </w:r>
    </w:p>
    <w:p w14:paraId="395ADE1D">
      <w:pPr>
        <w:ind w:firstLine="480"/>
        <w:rPr>
          <w:color w:val="000000" w:themeColor="text1"/>
          <w14:textFill>
            <w14:solidFill>
              <w14:schemeClr w14:val="tx1"/>
            </w14:solidFill>
          </w14:textFill>
        </w:rPr>
      </w:pPr>
      <w:r>
        <w:rPr>
          <w:color w:val="000000" w:themeColor="text1"/>
          <w14:textFill>
            <w14:solidFill>
              <w14:schemeClr w14:val="tx1"/>
            </w14:solidFill>
          </w14:textFill>
        </w:rPr>
        <w:t>（2）设计单位应遵循有关环保法规，严格按有关规程和法规进行设计。设计施工文件中详细说明施工期应注意的环保问题，按设计文件执行并同时做好记录。</w:t>
      </w:r>
    </w:p>
    <w:p w14:paraId="6E07C4F7">
      <w:pPr>
        <w:ind w:firstLine="480"/>
        <w:rPr>
          <w:color w:val="000000" w:themeColor="text1"/>
          <w14:textFill>
            <w14:solidFill>
              <w14:schemeClr w14:val="tx1"/>
            </w14:solidFill>
          </w14:textFill>
        </w:rPr>
      </w:pPr>
      <w:r>
        <w:rPr>
          <w:color w:val="000000" w:themeColor="text1"/>
          <w14:textFill>
            <w14:solidFill>
              <w14:schemeClr w14:val="tx1"/>
            </w14:solidFill>
          </w14:textFill>
        </w:rPr>
        <w:t>（3）建设单位应将施工环保措施纳入施工招标文件中，明确验收标准和细则。</w:t>
      </w:r>
    </w:p>
    <w:p w14:paraId="3B1C2E0B">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bCs/>
          <w:color w:val="000000" w:themeColor="text1"/>
          <w:sz w:val="28"/>
          <w:szCs w:val="32"/>
          <w14:textFill>
            <w14:solidFill>
              <w14:schemeClr w14:val="tx1"/>
            </w14:solidFill>
          </w14:textFill>
        </w:rPr>
        <w:t>8.1.</w:t>
      </w:r>
      <w:r>
        <w:rPr>
          <w:rFonts w:hint="eastAsia"/>
          <w:bCs/>
          <w:color w:val="000000" w:themeColor="text1"/>
          <w:sz w:val="28"/>
          <w:szCs w:val="32"/>
          <w14:textFill>
            <w14:solidFill>
              <w14:schemeClr w14:val="tx1"/>
            </w14:solidFill>
          </w14:textFill>
        </w:rPr>
        <w:t>3</w:t>
      </w:r>
      <w:r>
        <w:rPr>
          <w:bCs/>
          <w:color w:val="000000" w:themeColor="text1"/>
          <w:sz w:val="28"/>
          <w:szCs w:val="32"/>
          <w14:textFill>
            <w14:solidFill>
              <w14:schemeClr w14:val="tx1"/>
            </w14:solidFill>
          </w14:textFill>
        </w:rPr>
        <w:t>施工期环境管理</w:t>
      </w:r>
      <w:bookmarkEnd w:id="1202"/>
      <w:bookmarkEnd w:id="1203"/>
      <w:bookmarkEnd w:id="1204"/>
      <w:bookmarkEnd w:id="1205"/>
      <w:bookmarkEnd w:id="1206"/>
      <w:bookmarkEnd w:id="1207"/>
      <w:bookmarkEnd w:id="1208"/>
      <w:bookmarkEnd w:id="1209"/>
      <w:bookmarkEnd w:id="1210"/>
      <w:bookmarkEnd w:id="1211"/>
      <w:bookmarkEnd w:id="1212"/>
    </w:p>
    <w:p w14:paraId="431F2EA4">
      <w:pPr>
        <w:ind w:firstLine="480"/>
        <w:rPr>
          <w:color w:val="000000" w:themeColor="text1"/>
          <w14:textFill>
            <w14:solidFill>
              <w14:schemeClr w14:val="tx1"/>
            </w14:solidFill>
          </w14:textFill>
        </w:rPr>
      </w:pPr>
      <w:r>
        <w:rPr>
          <w:color w:val="000000" w:themeColor="text1"/>
          <w14:textFill>
            <w14:solidFill>
              <w14:schemeClr w14:val="tx1"/>
            </w14:solidFill>
          </w14:textFill>
        </w:rPr>
        <w:t>（1）承包合同中应包括有环境保护的条款，承包商应严格执行设计和</w:t>
      </w:r>
      <w:r>
        <w:rPr>
          <w:rFonts w:hint="eastAsia"/>
          <w:color w:val="000000" w:themeColor="text1"/>
          <w:lang w:val="en-US" w:eastAsia="zh-CN"/>
          <w14:textFill>
            <w14:solidFill>
              <w14:schemeClr w14:val="tx1"/>
            </w14:solidFill>
          </w14:textFill>
        </w:rPr>
        <w:t>生态</w:t>
      </w:r>
      <w:r>
        <w:rPr>
          <w:color w:val="000000" w:themeColor="text1"/>
          <w14:textFill>
            <w14:solidFill>
              <w14:schemeClr w14:val="tx1"/>
            </w14:solidFill>
          </w14:textFill>
        </w:rPr>
        <w:t>环境影响报告书中提出的环境保护措施。</w:t>
      </w:r>
    </w:p>
    <w:p w14:paraId="1E4D30D5">
      <w:pPr>
        <w:ind w:firstLine="480"/>
        <w:rPr>
          <w:color w:val="000000" w:themeColor="text1"/>
          <w14:textFill>
            <w14:solidFill>
              <w14:schemeClr w14:val="tx1"/>
            </w14:solidFill>
          </w14:textFill>
        </w:rPr>
      </w:pPr>
      <w:r>
        <w:rPr>
          <w:color w:val="000000" w:themeColor="text1"/>
          <w14:textFill>
            <w14:solidFill>
              <w14:schemeClr w14:val="tx1"/>
            </w14:solidFill>
          </w14:textFill>
        </w:rPr>
        <w:t>（2）应组织施工人员学习《中华人民共和国生态环境法典》《中华人民共和国土地管理法》等有关环保法规。</w:t>
      </w:r>
    </w:p>
    <w:p w14:paraId="12571A66">
      <w:pPr>
        <w:ind w:firstLine="480"/>
        <w:rPr>
          <w:color w:val="000000" w:themeColor="text1"/>
          <w14:textFill>
            <w14:solidFill>
              <w14:schemeClr w14:val="tx1"/>
            </w14:solidFill>
          </w14:textFill>
        </w:rPr>
      </w:pPr>
      <w:r>
        <w:rPr>
          <w:color w:val="000000" w:themeColor="text1"/>
          <w14:textFill>
            <w14:solidFill>
              <w14:schemeClr w14:val="tx1"/>
            </w14:solidFill>
          </w14:textFill>
        </w:rPr>
        <w:t>（3）环境管理机构人员应对施工活动进行全过程环境监督，以保证环境保护措施的全面落实。</w:t>
      </w:r>
    </w:p>
    <w:p w14:paraId="329C6551">
      <w:pPr>
        <w:ind w:firstLine="480"/>
        <w:rPr>
          <w:color w:val="000000" w:themeColor="text1"/>
          <w14:textFill>
            <w14:solidFill>
              <w14:schemeClr w14:val="tx1"/>
            </w14:solidFill>
          </w14:textFill>
        </w:rPr>
      </w:pPr>
      <w:r>
        <w:rPr>
          <w:color w:val="000000" w:themeColor="text1"/>
          <w14:textFill>
            <w14:solidFill>
              <w14:schemeClr w14:val="tx1"/>
            </w14:solidFill>
          </w14:textFill>
        </w:rPr>
        <w:t>（4）设计单位应遵守有关环保法规、严格按有关规程和法规进行设计。</w:t>
      </w:r>
    </w:p>
    <w:p w14:paraId="34E798FC">
      <w:pPr>
        <w:ind w:firstLine="480"/>
        <w:rPr>
          <w:color w:val="000000" w:themeColor="text1"/>
          <w14:textFill>
            <w14:solidFill>
              <w14:schemeClr w14:val="tx1"/>
            </w14:solidFill>
          </w14:textFill>
        </w:rPr>
      </w:pPr>
      <w:r>
        <w:rPr>
          <w:color w:val="000000" w:themeColor="text1"/>
          <w14:textFill>
            <w14:solidFill>
              <w14:schemeClr w14:val="tx1"/>
            </w14:solidFill>
          </w14:textFill>
        </w:rPr>
        <w:t>（5）采用低噪声的施工设备。</w:t>
      </w:r>
    </w:p>
    <w:p w14:paraId="33E4DD1B">
      <w:pPr>
        <w:ind w:firstLine="480"/>
        <w:rPr>
          <w:color w:val="000000" w:themeColor="text1"/>
          <w14:textFill>
            <w14:solidFill>
              <w14:schemeClr w14:val="tx1"/>
            </w14:solidFill>
          </w14:textFill>
        </w:rPr>
      </w:pPr>
      <w:r>
        <w:rPr>
          <w:color w:val="000000" w:themeColor="text1"/>
          <w14:textFill>
            <w14:solidFill>
              <w14:schemeClr w14:val="tx1"/>
            </w14:solidFill>
          </w14:textFill>
        </w:rPr>
        <w:t>（6）施工场地要设置围栏，防止扬尘污染。</w:t>
      </w:r>
    </w:p>
    <w:p w14:paraId="6E031B50">
      <w:pPr>
        <w:ind w:firstLine="480"/>
        <w:rPr>
          <w:color w:val="000000" w:themeColor="text1"/>
          <w14:textFill>
            <w14:solidFill>
              <w14:schemeClr w14:val="tx1"/>
            </w14:solidFill>
          </w14:textFill>
        </w:rPr>
      </w:pPr>
      <w:r>
        <w:rPr>
          <w:color w:val="000000" w:themeColor="text1"/>
          <w14:textFill>
            <w14:solidFill>
              <w14:schemeClr w14:val="tx1"/>
            </w14:solidFill>
          </w14:textFill>
        </w:rPr>
        <w:t>（7）监督施工弃土和弃渣是否已全部外运，弃渣是否安置在设定的场地内堆放。</w:t>
      </w:r>
    </w:p>
    <w:p w14:paraId="083BC959">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213" w:name="_Toc32103"/>
      <w:bookmarkStart w:id="1214" w:name="_Toc26035"/>
      <w:bookmarkStart w:id="1215" w:name="_Toc12044"/>
      <w:bookmarkStart w:id="1216" w:name="_Toc29177"/>
      <w:bookmarkStart w:id="1217" w:name="_Toc12721"/>
      <w:bookmarkStart w:id="1218" w:name="_Toc31411"/>
      <w:bookmarkStart w:id="1219" w:name="_Toc8959"/>
      <w:bookmarkStart w:id="1220" w:name="_Toc30755"/>
      <w:bookmarkStart w:id="1221" w:name="_Toc3358"/>
      <w:bookmarkStart w:id="1222" w:name="_Toc3198"/>
      <w:r>
        <w:rPr>
          <w:bCs/>
          <w:color w:val="000000" w:themeColor="text1"/>
          <w:sz w:val="28"/>
          <w:szCs w:val="32"/>
          <w14:textFill>
            <w14:solidFill>
              <w14:schemeClr w14:val="tx1"/>
            </w14:solidFill>
          </w14:textFill>
        </w:rPr>
        <w:t>8.1.</w:t>
      </w:r>
      <w:r>
        <w:rPr>
          <w:rFonts w:hint="eastAsia"/>
          <w:bCs/>
          <w:color w:val="000000" w:themeColor="text1"/>
          <w:sz w:val="28"/>
          <w:szCs w:val="32"/>
          <w14:textFill>
            <w14:solidFill>
              <w14:schemeClr w14:val="tx1"/>
            </w14:solidFill>
          </w14:textFill>
        </w:rPr>
        <w:t>4</w:t>
      </w:r>
      <w:r>
        <w:rPr>
          <w:bCs/>
          <w:color w:val="000000" w:themeColor="text1"/>
          <w:sz w:val="28"/>
          <w:szCs w:val="32"/>
          <w14:textFill>
            <w14:solidFill>
              <w14:schemeClr w14:val="tx1"/>
            </w14:solidFill>
          </w14:textFill>
        </w:rPr>
        <w:t>环境保护设施竣工验收</w:t>
      </w:r>
      <w:bookmarkEnd w:id="1213"/>
      <w:bookmarkEnd w:id="1214"/>
      <w:bookmarkEnd w:id="1215"/>
      <w:bookmarkEnd w:id="1216"/>
      <w:bookmarkEnd w:id="1217"/>
      <w:bookmarkEnd w:id="1218"/>
      <w:bookmarkEnd w:id="1219"/>
      <w:bookmarkEnd w:id="1220"/>
      <w:bookmarkEnd w:id="1221"/>
      <w:bookmarkEnd w:id="1222"/>
    </w:p>
    <w:p w14:paraId="78A8036A">
      <w:pPr>
        <w:ind w:firstLine="480"/>
        <w:rPr>
          <w:color w:val="000000" w:themeColor="text1"/>
          <w14:textFill>
            <w14:solidFill>
              <w14:schemeClr w14:val="tx1"/>
            </w14:solidFill>
          </w14:textFill>
        </w:rPr>
      </w:pPr>
      <w:r>
        <w:rPr>
          <w:color w:val="000000" w:themeColor="text1"/>
          <w14:textFill>
            <w14:solidFill>
              <w14:schemeClr w14:val="tx1"/>
            </w14:solidFill>
          </w14:textFill>
        </w:rPr>
        <w:t>根据《建设项目环境保护管理条例》，本工程的建设应执行污染治理设施与主体工程同时设计、同时施</w:t>
      </w:r>
      <w:r>
        <w:rPr>
          <w:rFonts w:hint="eastAsia" w:ascii="宋体" w:hAnsi="宋体" w:cs="宋体"/>
          <w:color w:val="000000" w:themeColor="text1"/>
          <w14:textFill>
            <w14:solidFill>
              <w14:schemeClr w14:val="tx1"/>
            </w14:solidFill>
          </w14:textFill>
        </w:rPr>
        <w:t>工、同时投产使用的“三同时”</w:t>
      </w:r>
      <w:r>
        <w:rPr>
          <w:color w:val="000000" w:themeColor="text1"/>
          <w14:textFill>
            <w14:solidFill>
              <w14:schemeClr w14:val="tx1"/>
            </w14:solidFill>
          </w14:textFill>
        </w:rPr>
        <w:t>制度。本建设项目投入运行后，建设单位应及时进行环境保护验收工作。编制验收报告，主要内容应包括：</w:t>
      </w:r>
    </w:p>
    <w:p w14:paraId="60980087">
      <w:pPr>
        <w:ind w:firstLine="480"/>
        <w:rPr>
          <w:color w:val="000000" w:themeColor="text1"/>
          <w14:textFill>
            <w14:solidFill>
              <w14:schemeClr w14:val="tx1"/>
            </w14:solidFill>
          </w14:textFill>
        </w:rPr>
      </w:pPr>
      <w:r>
        <w:rPr>
          <w:color w:val="000000" w:themeColor="text1"/>
          <w14:textFill>
            <w14:solidFill>
              <w14:schemeClr w14:val="tx1"/>
            </w14:solidFill>
          </w14:textFill>
        </w:rPr>
        <w:t>（1）建设期、运行期环境保护措施落实情况。</w:t>
      </w:r>
    </w:p>
    <w:p w14:paraId="4259212C">
      <w:pPr>
        <w:ind w:firstLine="480"/>
        <w:rPr>
          <w:color w:val="000000" w:themeColor="text1"/>
          <w14:textFill>
            <w14:solidFill>
              <w14:schemeClr w14:val="tx1"/>
            </w14:solidFill>
          </w14:textFill>
        </w:rPr>
      </w:pPr>
      <w:r>
        <w:rPr>
          <w:color w:val="000000" w:themeColor="text1"/>
          <w14:textFill>
            <w14:solidFill>
              <w14:schemeClr w14:val="tx1"/>
            </w14:solidFill>
          </w14:textFill>
        </w:rPr>
        <w:t>（2）工程运行中的工频电场、工频磁感应强度、噪声对环境的影响情况。</w:t>
      </w:r>
    </w:p>
    <w:p w14:paraId="705A5E90">
      <w:pPr>
        <w:ind w:firstLine="480"/>
        <w:rPr>
          <w:color w:val="000000" w:themeColor="text1"/>
          <w14:textFill>
            <w14:solidFill>
              <w14:schemeClr w14:val="tx1"/>
            </w14:solidFill>
          </w14:textFill>
        </w:rPr>
      </w:pPr>
      <w:r>
        <w:rPr>
          <w:color w:val="000000" w:themeColor="text1"/>
          <w14:textFill>
            <w14:solidFill>
              <w14:schemeClr w14:val="tx1"/>
            </w14:solidFill>
          </w14:textFill>
        </w:rPr>
        <w:t>（3）工程运行期间环境管理所涉及的内容。</w:t>
      </w:r>
    </w:p>
    <w:p w14:paraId="55EAA263">
      <w:pPr>
        <w:adjustRightInd w:val="0"/>
        <w:snapToGrid w:val="0"/>
        <w:ind w:firstLine="480"/>
        <w:rPr>
          <w:color w:val="000000" w:themeColor="text1"/>
          <w14:textFill>
            <w14:solidFill>
              <w14:schemeClr w14:val="tx1"/>
            </w14:solidFill>
          </w14:textFill>
        </w:rPr>
      </w:pPr>
      <w:bookmarkStart w:id="1223" w:name="表81"/>
      <w:bookmarkEnd w:id="1223"/>
      <w:bookmarkStart w:id="1224" w:name="_Toc432167040"/>
      <w:r>
        <w:rPr>
          <w:rFonts w:hint="eastAsia" w:ascii="宋体" w:hAnsi="宋体" w:cs="宋体"/>
          <w:color w:val="000000" w:themeColor="text1"/>
          <w14:textFill>
            <w14:solidFill>
              <w14:schemeClr w14:val="tx1"/>
            </w14:solidFill>
          </w14:textFill>
        </w:rPr>
        <w:t>本工程“三同时”环保验</w:t>
      </w:r>
      <w:r>
        <w:rPr>
          <w:color w:val="000000" w:themeColor="text1"/>
          <w14:textFill>
            <w14:solidFill>
              <w14:schemeClr w14:val="tx1"/>
            </w14:solidFill>
          </w14:textFill>
        </w:rPr>
        <w:t>收主要内容详见</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"表81" </w:instrText>
      </w:r>
      <w:r>
        <w:rPr>
          <w:color w:val="000000" w:themeColor="text1"/>
          <w14:textFill>
            <w14:solidFill>
              <w14:schemeClr w14:val="tx1"/>
            </w14:solidFill>
          </w14:textFill>
        </w:rPr>
        <w:fldChar w:fldCharType="separate"/>
      </w:r>
      <w:r>
        <w:rPr>
          <w:rStyle w:val="30"/>
          <w:color w:val="000000" w:themeColor="text1"/>
          <w14:textFill>
            <w14:solidFill>
              <w14:schemeClr w14:val="tx1"/>
            </w14:solidFill>
          </w14:textFill>
        </w:rPr>
        <w:t>表8.1-1</w:t>
      </w:r>
      <w:r>
        <w:rPr>
          <w:rStyle w:val="30"/>
          <w:color w:val="000000" w:themeColor="text1"/>
          <w14:textFill>
            <w14:solidFill>
              <w14:schemeClr w14:val="tx1"/>
            </w14:solidFill>
          </w14:textFill>
        </w:rPr>
        <w:fldChar w:fldCharType="end"/>
      </w:r>
      <w:r>
        <w:rPr>
          <w:color w:val="000000" w:themeColor="text1"/>
          <w14:textFill>
            <w14:solidFill>
              <w14:schemeClr w14:val="tx1"/>
            </w14:solidFill>
          </w14:textFill>
        </w:rPr>
        <w:t>。</w:t>
      </w:r>
    </w:p>
    <w:bookmarkEnd w:id="1224"/>
    <w:p w14:paraId="25649558">
      <w:pPr>
        <w:pStyle w:val="54"/>
        <w:adjustRightInd w:val="0"/>
        <w:snapToGrid w:val="0"/>
        <w:spacing w:before="0" w:line="360" w:lineRule="auto"/>
        <w:ind w:firstLine="422"/>
        <w:jc w:val="center"/>
        <w:rPr>
          <w:color w:val="000000" w:themeColor="text1"/>
          <w:sz w:val="21"/>
          <w:szCs w:val="21"/>
          <w14:textFill>
            <w14:solidFill>
              <w14:schemeClr w14:val="tx1"/>
            </w14:solidFill>
          </w14:textFill>
        </w:rPr>
      </w:pPr>
      <w:bookmarkStart w:id="1225" w:name="_Toc4743"/>
      <w:bookmarkStart w:id="1226" w:name="_Toc23893"/>
      <w:bookmarkStart w:id="1227" w:name="_Toc16417"/>
      <w:bookmarkStart w:id="1228" w:name="_Toc25905"/>
      <w:bookmarkStart w:id="1229" w:name="_Toc6980"/>
      <w:bookmarkStart w:id="1230" w:name="_Toc23750"/>
      <w:r>
        <w:rPr>
          <w:rFonts w:eastAsia="宋体"/>
          <w:b/>
          <w:bCs/>
          <w:color w:val="000000" w:themeColor="text1"/>
          <w:sz w:val="21"/>
          <w:szCs w:val="21"/>
          <w14:textFill>
            <w14:solidFill>
              <w14:schemeClr w14:val="tx1"/>
            </w14:solidFill>
          </w14:textFill>
        </w:rPr>
        <w:t xml:space="preserve">表8.1-1  </w:t>
      </w:r>
      <w:r>
        <w:rPr>
          <w:rFonts w:hint="eastAsia" w:ascii="宋体" w:hAnsi="宋体" w:eastAsia="宋体" w:cs="宋体"/>
          <w:b/>
          <w:bCs/>
          <w:color w:val="000000" w:themeColor="text1"/>
          <w:sz w:val="21"/>
          <w:szCs w:val="21"/>
          <w14:textFill>
            <w14:solidFill>
              <w14:schemeClr w14:val="tx1"/>
            </w14:solidFill>
          </w14:textFill>
        </w:rPr>
        <w:t>本工程“三同时”</w:t>
      </w:r>
      <w:r>
        <w:rPr>
          <w:rFonts w:eastAsia="宋体"/>
          <w:b/>
          <w:bCs/>
          <w:color w:val="000000" w:themeColor="text1"/>
          <w:sz w:val="21"/>
          <w:szCs w:val="21"/>
          <w14:textFill>
            <w14:solidFill>
              <w14:schemeClr w14:val="tx1"/>
            </w14:solidFill>
          </w14:textFill>
        </w:rPr>
        <w:t>环保验收一览表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601"/>
        <w:gridCol w:w="1442"/>
        <w:gridCol w:w="3338"/>
        <w:gridCol w:w="2970"/>
      </w:tblGrid>
      <w:tr w14:paraId="562B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601" w:type="dxa"/>
            <w:vAlign w:val="center"/>
          </w:tcPr>
          <w:p w14:paraId="1EC22198">
            <w:pPr>
              <w:pStyle w:val="55"/>
              <w:snapToGrid w:val="0"/>
              <w:spacing w:before="0" w:line="240" w:lineRule="auto"/>
              <w:ind w:firstLine="0" w:firstLineChars="0"/>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序号</w:t>
            </w:r>
          </w:p>
        </w:tc>
        <w:tc>
          <w:tcPr>
            <w:tcW w:w="1442" w:type="dxa"/>
            <w:vAlign w:val="center"/>
          </w:tcPr>
          <w:p w14:paraId="188F88C8">
            <w:pPr>
              <w:pStyle w:val="55"/>
              <w:snapToGrid w:val="0"/>
              <w:spacing w:before="0" w:line="240" w:lineRule="auto"/>
              <w:ind w:firstLine="0" w:firstLineChars="0"/>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验收对象</w:t>
            </w:r>
          </w:p>
        </w:tc>
        <w:tc>
          <w:tcPr>
            <w:tcW w:w="3338" w:type="dxa"/>
            <w:vAlign w:val="center"/>
          </w:tcPr>
          <w:p w14:paraId="557F1BD9">
            <w:pPr>
              <w:pStyle w:val="55"/>
              <w:snapToGrid w:val="0"/>
              <w:spacing w:before="0" w:line="240" w:lineRule="auto"/>
              <w:ind w:firstLine="0" w:firstLineChars="0"/>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验收内容</w:t>
            </w:r>
          </w:p>
        </w:tc>
        <w:tc>
          <w:tcPr>
            <w:tcW w:w="2970" w:type="dxa"/>
            <w:vAlign w:val="center"/>
          </w:tcPr>
          <w:p w14:paraId="085C40B5">
            <w:pPr>
              <w:pStyle w:val="55"/>
              <w:snapToGrid w:val="0"/>
              <w:spacing w:before="0" w:line="240" w:lineRule="auto"/>
              <w:ind w:firstLine="0" w:firstLineChars="0"/>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验收标准</w:t>
            </w:r>
          </w:p>
        </w:tc>
      </w:tr>
      <w:tr w14:paraId="4AE4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601" w:type="dxa"/>
            <w:vAlign w:val="center"/>
          </w:tcPr>
          <w:p w14:paraId="4D1D7526">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1</w:t>
            </w:r>
          </w:p>
        </w:tc>
        <w:tc>
          <w:tcPr>
            <w:tcW w:w="1442" w:type="dxa"/>
            <w:vAlign w:val="center"/>
          </w:tcPr>
          <w:p w14:paraId="7E241375">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相关批复文件</w:t>
            </w:r>
          </w:p>
        </w:tc>
        <w:tc>
          <w:tcPr>
            <w:tcW w:w="3338" w:type="dxa"/>
            <w:vAlign w:val="center"/>
          </w:tcPr>
          <w:p w14:paraId="490B7BD8">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项目是否取得相关部门核准，相关批复文件是否齐备，项目是否具备开工条件，环境保护档案是否齐全</w:t>
            </w:r>
          </w:p>
        </w:tc>
        <w:tc>
          <w:tcPr>
            <w:tcW w:w="2970" w:type="dxa"/>
            <w:vAlign w:val="center"/>
          </w:tcPr>
          <w:p w14:paraId="589AEF8C">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需要取得相关部门核准、相关批复文件，环境保护档案应齐全</w:t>
            </w:r>
          </w:p>
        </w:tc>
      </w:tr>
      <w:tr w14:paraId="7B42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601" w:type="dxa"/>
            <w:vAlign w:val="center"/>
          </w:tcPr>
          <w:p w14:paraId="456BFCE0">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2</w:t>
            </w:r>
          </w:p>
        </w:tc>
        <w:tc>
          <w:tcPr>
            <w:tcW w:w="1442" w:type="dxa"/>
            <w:vAlign w:val="center"/>
          </w:tcPr>
          <w:p w14:paraId="5AD0EE72">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与法规、规划</w:t>
            </w:r>
          </w:p>
          <w:p w14:paraId="1C5879C9">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的相符性</w:t>
            </w:r>
          </w:p>
        </w:tc>
        <w:tc>
          <w:tcPr>
            <w:tcW w:w="3338" w:type="dxa"/>
            <w:vAlign w:val="center"/>
          </w:tcPr>
          <w:p w14:paraId="0944DCDA">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是否按照规定办理了相关手续</w:t>
            </w:r>
          </w:p>
        </w:tc>
        <w:tc>
          <w:tcPr>
            <w:tcW w:w="2970" w:type="dxa"/>
            <w:vAlign w:val="center"/>
          </w:tcPr>
          <w:p w14:paraId="31D95FF4">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需要取得相关部门的手续</w:t>
            </w:r>
          </w:p>
        </w:tc>
      </w:tr>
      <w:tr w14:paraId="0064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601" w:type="dxa"/>
            <w:vAlign w:val="center"/>
          </w:tcPr>
          <w:p w14:paraId="4E02A2DE">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3</w:t>
            </w:r>
          </w:p>
        </w:tc>
        <w:tc>
          <w:tcPr>
            <w:tcW w:w="1442" w:type="dxa"/>
            <w:vAlign w:val="center"/>
          </w:tcPr>
          <w:p w14:paraId="562F0A9E">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电磁环境</w:t>
            </w:r>
          </w:p>
        </w:tc>
        <w:tc>
          <w:tcPr>
            <w:tcW w:w="3338" w:type="dxa"/>
            <w:vAlign w:val="center"/>
          </w:tcPr>
          <w:p w14:paraId="65B745C8">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导线高度是否满足环评要求，线下道路是否满足《电磁环境控制限值》（GB8702-2014）中标准限值要求。</w:t>
            </w:r>
          </w:p>
        </w:tc>
        <w:tc>
          <w:tcPr>
            <w:tcW w:w="2970" w:type="dxa"/>
            <w:vAlign w:val="center"/>
          </w:tcPr>
          <w:p w14:paraId="42FD098F">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执行《电磁环境控制限值》（GB8702-2014）</w:t>
            </w:r>
          </w:p>
        </w:tc>
      </w:tr>
      <w:tr w14:paraId="0654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601" w:type="dxa"/>
            <w:vAlign w:val="center"/>
          </w:tcPr>
          <w:p w14:paraId="2CD30F0C">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4</w:t>
            </w:r>
          </w:p>
        </w:tc>
        <w:tc>
          <w:tcPr>
            <w:tcW w:w="1442" w:type="dxa"/>
            <w:vAlign w:val="center"/>
          </w:tcPr>
          <w:p w14:paraId="37F50C17">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声环境</w:t>
            </w:r>
          </w:p>
        </w:tc>
        <w:tc>
          <w:tcPr>
            <w:tcW w:w="3338" w:type="dxa"/>
            <w:vAlign w:val="center"/>
          </w:tcPr>
          <w:p w14:paraId="4EDD9038">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线路下的噪声能否满足《声环境质量标准》（GB3096-2008）相应声环境功能区类别标准。</w:t>
            </w:r>
          </w:p>
        </w:tc>
        <w:tc>
          <w:tcPr>
            <w:tcW w:w="2970" w:type="dxa"/>
            <w:vAlign w:val="center"/>
          </w:tcPr>
          <w:p w14:paraId="24F28139">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hint="eastAsia" w:ascii="Times New Roman" w:hAnsi="Times New Roman"/>
                <w:bCs/>
                <w:color w:val="000000" w:themeColor="text1"/>
                <w:sz w:val="21"/>
                <w:szCs w:val="21"/>
                <w14:textFill>
                  <w14:solidFill>
                    <w14:schemeClr w14:val="tx1"/>
                  </w14:solidFill>
                </w14:textFill>
              </w:rPr>
              <w:t>输电线路</w:t>
            </w:r>
            <w:r>
              <w:rPr>
                <w:rFonts w:hint="eastAsia" w:ascii="Times New Roman" w:hAnsi="Times New Roman"/>
                <w:bCs/>
                <w:color w:val="000000" w:themeColor="text1"/>
                <w:sz w:val="21"/>
                <w:szCs w:val="21"/>
                <w:lang w:val="en-US" w:eastAsia="zh-CN"/>
                <w14:textFill>
                  <w14:solidFill>
                    <w14:schemeClr w14:val="tx1"/>
                  </w14:solidFill>
                </w14:textFill>
              </w:rPr>
              <w:t>执行</w:t>
            </w:r>
            <w:r>
              <w:rPr>
                <w:rFonts w:ascii="Times New Roman" w:hAnsi="Times New Roman"/>
                <w:bCs/>
                <w:color w:val="000000" w:themeColor="text1"/>
                <w:sz w:val="21"/>
                <w:szCs w:val="21"/>
                <w14:textFill>
                  <w14:solidFill>
                    <w14:schemeClr w14:val="tx1"/>
                  </w14:solidFill>
                </w14:textFill>
              </w:rPr>
              <w:t>《声环境质量标准》（GB3096-2008）相应标准</w:t>
            </w:r>
            <w:r>
              <w:rPr>
                <w:rFonts w:hint="eastAsia" w:ascii="Times New Roman" w:hAnsi="Times New Roman"/>
                <w:bCs/>
                <w:color w:val="000000" w:themeColor="text1"/>
                <w:sz w:val="21"/>
                <w:szCs w:val="21"/>
                <w:lang w:val="en-US" w:eastAsia="zh-CN"/>
                <w14:textFill>
                  <w14:solidFill>
                    <w14:schemeClr w14:val="tx1"/>
                  </w14:solidFill>
                </w14:textFill>
              </w:rPr>
              <w:t>要求</w:t>
            </w:r>
          </w:p>
        </w:tc>
      </w:tr>
      <w:tr w14:paraId="006E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601" w:type="dxa"/>
            <w:vAlign w:val="center"/>
          </w:tcPr>
          <w:p w14:paraId="65BA53B1">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5</w:t>
            </w:r>
          </w:p>
        </w:tc>
        <w:tc>
          <w:tcPr>
            <w:tcW w:w="1442" w:type="dxa"/>
            <w:vAlign w:val="center"/>
          </w:tcPr>
          <w:p w14:paraId="38298771">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固废</w:t>
            </w:r>
          </w:p>
        </w:tc>
        <w:tc>
          <w:tcPr>
            <w:tcW w:w="3338" w:type="dxa"/>
            <w:vAlign w:val="center"/>
          </w:tcPr>
          <w:p w14:paraId="2C3DC13C">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施工期弃土</w:t>
            </w:r>
            <w:r>
              <w:rPr>
                <w:rFonts w:hint="eastAsia" w:ascii="Times New Roman" w:hAnsi="Times New Roman"/>
                <w:bCs/>
                <w:color w:val="000000" w:themeColor="text1"/>
                <w:sz w:val="21"/>
                <w:szCs w:val="21"/>
                <w14:textFill>
                  <w14:solidFill>
                    <w14:schemeClr w14:val="tx1"/>
                  </w14:solidFill>
                </w14:textFill>
              </w:rPr>
              <w:t>、</w:t>
            </w:r>
            <w:r>
              <w:rPr>
                <w:rFonts w:ascii="Times New Roman" w:hAnsi="Times New Roman"/>
                <w:bCs/>
                <w:color w:val="000000" w:themeColor="text1"/>
                <w:sz w:val="21"/>
                <w:szCs w:val="21"/>
                <w14:textFill>
                  <w14:solidFill>
                    <w14:schemeClr w14:val="tx1"/>
                  </w14:solidFill>
                </w14:textFill>
              </w:rPr>
              <w:t>生活垃圾、</w:t>
            </w:r>
            <w:r>
              <w:rPr>
                <w:rFonts w:hint="eastAsia" w:ascii="Times New Roman" w:hAnsi="Times New Roman"/>
                <w:bCs/>
                <w:color w:val="000000" w:themeColor="text1"/>
                <w:sz w:val="21"/>
                <w:szCs w:val="21"/>
                <w14:textFill>
                  <w14:solidFill>
                    <w14:schemeClr w14:val="tx1"/>
                  </w14:solidFill>
                </w14:textFill>
              </w:rPr>
              <w:t>建筑垃圾</w:t>
            </w:r>
            <w:r>
              <w:rPr>
                <w:rFonts w:ascii="Times New Roman" w:hAnsi="Times New Roman"/>
                <w:bCs/>
                <w:color w:val="000000" w:themeColor="text1"/>
                <w:sz w:val="21"/>
                <w:szCs w:val="21"/>
                <w14:textFill>
                  <w14:solidFill>
                    <w14:schemeClr w14:val="tx1"/>
                  </w14:solidFill>
                </w14:textFill>
              </w:rPr>
              <w:t>的处置情况</w:t>
            </w:r>
          </w:p>
        </w:tc>
        <w:tc>
          <w:tcPr>
            <w:tcW w:w="2970" w:type="dxa"/>
            <w:vAlign w:val="center"/>
          </w:tcPr>
          <w:p w14:paraId="582AE3B3">
            <w:pPr>
              <w:pStyle w:val="55"/>
              <w:snapToGrid w:val="0"/>
              <w:spacing w:before="0" w:line="240" w:lineRule="auto"/>
              <w:ind w:firstLine="0" w:firstLineChars="0"/>
              <w:rPr>
                <w:color w:val="000000" w:themeColor="text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一般固体废物执行《一般工业固体废物贮存和填埋污染控制标准》（GB18599-2020）中有关要求</w:t>
            </w:r>
          </w:p>
        </w:tc>
      </w:tr>
      <w:tr w14:paraId="2263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601" w:type="dxa"/>
            <w:vAlign w:val="center"/>
          </w:tcPr>
          <w:p w14:paraId="209E7C91">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6</w:t>
            </w:r>
          </w:p>
        </w:tc>
        <w:tc>
          <w:tcPr>
            <w:tcW w:w="1442" w:type="dxa"/>
            <w:vAlign w:val="center"/>
          </w:tcPr>
          <w:p w14:paraId="7B1D8CF5">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生态环境</w:t>
            </w:r>
          </w:p>
        </w:tc>
        <w:tc>
          <w:tcPr>
            <w:tcW w:w="3338" w:type="dxa"/>
            <w:vAlign w:val="center"/>
          </w:tcPr>
          <w:p w14:paraId="37B586E2">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调查是否设置施工营地、取弃土场、材料堆放场等，是否设立标识标牌，临时占地是否恢复原状。</w:t>
            </w:r>
          </w:p>
        </w:tc>
        <w:tc>
          <w:tcPr>
            <w:tcW w:w="2970" w:type="dxa"/>
            <w:vAlign w:val="center"/>
          </w:tcPr>
          <w:p w14:paraId="4A044F50">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临时占地全部恢复，对外</w:t>
            </w:r>
            <w:r>
              <w:rPr>
                <w:rFonts w:hint="eastAsia" w:ascii="Times New Roman" w:hAnsi="Times New Roman"/>
                <w:bCs/>
                <w:color w:val="000000" w:themeColor="text1"/>
                <w:sz w:val="21"/>
                <w:szCs w:val="21"/>
                <w:lang w:val="en-US" w:eastAsia="zh-CN"/>
                <w14:textFill>
                  <w14:solidFill>
                    <w14:schemeClr w14:val="tx1"/>
                  </w14:solidFill>
                </w14:textFill>
              </w:rPr>
              <w:t>生态</w:t>
            </w:r>
            <w:r>
              <w:rPr>
                <w:rFonts w:ascii="Times New Roman" w:hAnsi="Times New Roman"/>
                <w:bCs/>
                <w:color w:val="000000" w:themeColor="text1"/>
                <w:sz w:val="21"/>
                <w:szCs w:val="21"/>
                <w14:textFill>
                  <w14:solidFill>
                    <w14:schemeClr w14:val="tx1"/>
                  </w14:solidFill>
                </w14:textFill>
              </w:rPr>
              <w:t>环境影响较小</w:t>
            </w:r>
          </w:p>
        </w:tc>
      </w:tr>
      <w:tr w14:paraId="4CC3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601" w:type="dxa"/>
            <w:vAlign w:val="center"/>
          </w:tcPr>
          <w:p w14:paraId="5F49991D">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7</w:t>
            </w:r>
          </w:p>
        </w:tc>
        <w:tc>
          <w:tcPr>
            <w:tcW w:w="1442" w:type="dxa"/>
            <w:vAlign w:val="center"/>
          </w:tcPr>
          <w:p w14:paraId="2583E413">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是否存在潜在</w:t>
            </w:r>
          </w:p>
          <w:p w14:paraId="4FD16E04">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生态环境影响</w:t>
            </w:r>
          </w:p>
        </w:tc>
        <w:tc>
          <w:tcPr>
            <w:tcW w:w="3338" w:type="dxa"/>
            <w:vAlign w:val="center"/>
          </w:tcPr>
          <w:p w14:paraId="30766360">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是否存在对自然植被、动物、区域生态系统的完整性的可能影响。</w:t>
            </w:r>
          </w:p>
        </w:tc>
        <w:tc>
          <w:tcPr>
            <w:tcW w:w="2970" w:type="dxa"/>
            <w:vAlign w:val="center"/>
          </w:tcPr>
          <w:p w14:paraId="48CF1E22">
            <w:pPr>
              <w:pStyle w:val="55"/>
              <w:snapToGrid w:val="0"/>
              <w:spacing w:before="0"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w:t>
            </w:r>
          </w:p>
        </w:tc>
      </w:tr>
    </w:tbl>
    <w:p w14:paraId="1304220D">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231" w:name="_Toc32211"/>
      <w:bookmarkStart w:id="1232" w:name="_Toc18594"/>
      <w:bookmarkStart w:id="1233" w:name="_Toc19961"/>
      <w:bookmarkStart w:id="1234" w:name="_Toc20567"/>
      <w:bookmarkStart w:id="1235" w:name="_Toc31792"/>
      <w:r>
        <w:rPr>
          <w:bCs/>
          <w:color w:val="000000" w:themeColor="text1"/>
          <w:sz w:val="28"/>
          <w:szCs w:val="32"/>
          <w14:textFill>
            <w14:solidFill>
              <w14:schemeClr w14:val="tx1"/>
            </w14:solidFill>
          </w14:textFill>
        </w:rPr>
        <w:t>8.1.</w:t>
      </w:r>
      <w:r>
        <w:rPr>
          <w:rFonts w:hint="eastAsia"/>
          <w:bCs/>
          <w:color w:val="000000" w:themeColor="text1"/>
          <w:sz w:val="28"/>
          <w:szCs w:val="32"/>
          <w14:textFill>
            <w14:solidFill>
              <w14:schemeClr w14:val="tx1"/>
            </w14:solidFill>
          </w14:textFill>
        </w:rPr>
        <w:t>5</w:t>
      </w:r>
      <w:r>
        <w:rPr>
          <w:bCs/>
          <w:color w:val="000000" w:themeColor="text1"/>
          <w:sz w:val="28"/>
          <w:szCs w:val="32"/>
          <w14:textFill>
            <w14:solidFill>
              <w14:schemeClr w14:val="tx1"/>
            </w14:solidFill>
          </w14:textFill>
        </w:rPr>
        <w:t>运行期环境管理与职能</w:t>
      </w:r>
      <w:bookmarkEnd w:id="1225"/>
      <w:bookmarkEnd w:id="1226"/>
      <w:bookmarkEnd w:id="1227"/>
      <w:bookmarkEnd w:id="1228"/>
      <w:bookmarkEnd w:id="1229"/>
      <w:bookmarkEnd w:id="1230"/>
      <w:bookmarkEnd w:id="1231"/>
      <w:bookmarkEnd w:id="1232"/>
      <w:bookmarkEnd w:id="1233"/>
      <w:bookmarkEnd w:id="1234"/>
      <w:bookmarkEnd w:id="1235"/>
    </w:p>
    <w:bookmarkEnd w:id="1167"/>
    <w:bookmarkEnd w:id="1168"/>
    <w:bookmarkEnd w:id="1169"/>
    <w:bookmarkEnd w:id="1170"/>
    <w:bookmarkEnd w:id="1171"/>
    <w:bookmarkEnd w:id="1172"/>
    <w:bookmarkEnd w:id="1173"/>
    <w:bookmarkEnd w:id="1174"/>
    <w:bookmarkEnd w:id="1175"/>
    <w:bookmarkEnd w:id="1176"/>
    <w:bookmarkEnd w:id="1177"/>
    <w:bookmarkEnd w:id="1178"/>
    <w:bookmarkEnd w:id="1179"/>
    <w:p w14:paraId="209AFBC8">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根据项目所在区域的环境特点，将在运行主管单位</w:t>
      </w:r>
      <w:r>
        <w:rPr>
          <w:rFonts w:hint="eastAsia"/>
          <w:color w:val="000000" w:themeColor="text1"/>
          <w14:textFill>
            <w14:solidFill>
              <w14:schemeClr w14:val="tx1"/>
            </w14:solidFill>
          </w14:textFill>
        </w:rPr>
        <w:t>设立</w:t>
      </w:r>
      <w:r>
        <w:rPr>
          <w:color w:val="000000" w:themeColor="text1"/>
          <w14:textFill>
            <w14:solidFill>
              <w14:schemeClr w14:val="tx1"/>
            </w14:solidFill>
          </w14:textFill>
        </w:rPr>
        <w:t>环境管理部门机构，配备相应专业的管理人员，专职管理人员以不少于2人为宜。</w:t>
      </w:r>
    </w:p>
    <w:p w14:paraId="74B9DDD4">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其环境管理职能：</w:t>
      </w:r>
    </w:p>
    <w:p w14:paraId="197FF45F">
      <w:pPr>
        <w:ind w:firstLine="480"/>
        <w:rPr>
          <w:color w:val="000000" w:themeColor="text1"/>
          <w14:textFill>
            <w14:solidFill>
              <w14:schemeClr w14:val="tx1"/>
            </w14:solidFill>
          </w14:textFill>
        </w:rPr>
      </w:pPr>
      <w:r>
        <w:rPr>
          <w:color w:val="000000" w:themeColor="text1"/>
          <w14:textFill>
            <w14:solidFill>
              <w14:schemeClr w14:val="tx1"/>
            </w14:solidFill>
          </w14:textFill>
        </w:rPr>
        <w:t>（1）制定和实施各项环境监督管理计划。</w:t>
      </w:r>
    </w:p>
    <w:p w14:paraId="5CCE98C8">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（2）建立工频电场、磁场环境监测，以及生态环境现状数据档案，并定期向当地环境保护行政主管部门报告。</w:t>
      </w:r>
    </w:p>
    <w:p w14:paraId="7CC81A4D">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（3）检查环保设施运行情况，及时处理出现的问题，保证环保设施的正常运行。</w:t>
      </w:r>
    </w:p>
    <w:p w14:paraId="23A60086">
      <w:pPr>
        <w:ind w:firstLine="480"/>
        <w:rPr>
          <w:color w:val="000000" w:themeColor="text1"/>
          <w14:textFill>
            <w14:solidFill>
              <w14:schemeClr w14:val="tx1"/>
            </w14:solidFill>
          </w14:textFill>
        </w:rPr>
      </w:pPr>
      <w:r>
        <w:rPr>
          <w:color w:val="000000" w:themeColor="text1"/>
          <w14:textFill>
            <w14:solidFill>
              <w14:schemeClr w14:val="tx1"/>
            </w14:solidFill>
          </w14:textFill>
        </w:rPr>
        <w:t>（4）保护生态环境不被破坏，保证保护生态与工程运行相协调。</w:t>
      </w:r>
    </w:p>
    <w:p w14:paraId="326ED498">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（5）协调配合上级环保主管部门所进行的环境调查，生态调查等活动。</w:t>
      </w:r>
    </w:p>
    <w:p w14:paraId="60DEA2BC">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236" w:name="_Toc15391"/>
      <w:bookmarkStart w:id="1237" w:name="_Toc1189"/>
      <w:bookmarkStart w:id="1238" w:name="_Toc9102"/>
      <w:bookmarkStart w:id="1239" w:name="_Toc8016"/>
      <w:bookmarkStart w:id="1240" w:name="_Toc10272"/>
      <w:bookmarkStart w:id="1241" w:name="_Toc4627"/>
      <w:bookmarkStart w:id="1242" w:name="_Toc2536"/>
      <w:bookmarkStart w:id="1243" w:name="_Toc15743"/>
      <w:bookmarkStart w:id="1244" w:name="_Toc23933"/>
      <w:bookmarkStart w:id="1245" w:name="_Toc28285"/>
      <w:r>
        <w:rPr>
          <w:bCs/>
          <w:color w:val="000000" w:themeColor="text1"/>
          <w:sz w:val="28"/>
          <w:szCs w:val="32"/>
          <w14:textFill>
            <w14:solidFill>
              <w14:schemeClr w14:val="tx1"/>
            </w14:solidFill>
          </w14:textFill>
        </w:rPr>
        <w:t>8.1.</w:t>
      </w:r>
      <w:r>
        <w:rPr>
          <w:rFonts w:hint="eastAsia"/>
          <w:bCs/>
          <w:color w:val="000000" w:themeColor="text1"/>
          <w:sz w:val="28"/>
          <w:szCs w:val="32"/>
          <w14:textFill>
            <w14:solidFill>
              <w14:schemeClr w14:val="tx1"/>
            </w14:solidFill>
          </w14:textFill>
        </w:rPr>
        <w:t>6</w:t>
      </w:r>
      <w:r>
        <w:rPr>
          <w:bCs/>
          <w:color w:val="000000" w:themeColor="text1"/>
          <w:sz w:val="28"/>
          <w:szCs w:val="32"/>
          <w14:textFill>
            <w14:solidFill>
              <w14:schemeClr w14:val="tx1"/>
            </w14:solidFill>
          </w14:textFill>
        </w:rPr>
        <w:t>环保管理培训</w:t>
      </w:r>
      <w:bookmarkEnd w:id="1236"/>
      <w:bookmarkEnd w:id="1237"/>
      <w:bookmarkEnd w:id="1238"/>
      <w:bookmarkEnd w:id="1239"/>
      <w:bookmarkEnd w:id="1240"/>
      <w:bookmarkEnd w:id="1241"/>
      <w:bookmarkEnd w:id="1242"/>
      <w:bookmarkEnd w:id="1243"/>
      <w:bookmarkEnd w:id="1244"/>
      <w:bookmarkEnd w:id="1245"/>
    </w:p>
    <w:p w14:paraId="5815E621">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本工程施工期及运行期应对与工程项目有关的主要人员，包括施工单位、运行单位、受影响区域的公众，进行环境保护技术和政策方面的培训与宣传，从而进一步增强施工、运行单位的环保管理的能力，减少施工和运行产生的不利环境影响，提高人们的环保意识，加强公众的环境保护意识。</w:t>
      </w:r>
    </w:p>
    <w:p w14:paraId="5B2A660A">
      <w:pPr>
        <w:pStyle w:val="3"/>
        <w:keepNext/>
        <w:keepLines/>
        <w:tabs>
          <w:tab w:val="clear" w:pos="420"/>
          <w:tab w:val="clear" w:pos="907"/>
          <w:tab w:val="clear" w:pos="1267"/>
        </w:tabs>
        <w:adjustRightInd/>
        <w:spacing w:before="120" w:beforeLines="50" w:after="120" w:afterLines="50"/>
        <w:rPr>
          <w:color w:val="000000" w:themeColor="text1"/>
          <w:sz w:val="28"/>
          <w:szCs w:val="32"/>
          <w14:textFill>
            <w14:solidFill>
              <w14:schemeClr w14:val="tx1"/>
            </w14:solidFill>
          </w14:textFill>
        </w:rPr>
      </w:pPr>
      <w:bookmarkStart w:id="1246" w:name="表82"/>
      <w:bookmarkEnd w:id="1246"/>
      <w:bookmarkStart w:id="1247" w:name="_Toc11556"/>
      <w:bookmarkStart w:id="1248" w:name="_Toc23490"/>
      <w:bookmarkStart w:id="1249" w:name="_Toc11317"/>
      <w:bookmarkStart w:id="1250" w:name="_Toc2923"/>
      <w:bookmarkStart w:id="1251" w:name="_Toc26682"/>
      <w:bookmarkStart w:id="1252" w:name="_Toc10827"/>
      <w:bookmarkStart w:id="1253" w:name="_Toc26771"/>
      <w:bookmarkStart w:id="1254" w:name="_Toc23458"/>
      <w:bookmarkStart w:id="1255" w:name="_Toc6069"/>
      <w:bookmarkStart w:id="1256" w:name="_Toc2510"/>
      <w:bookmarkStart w:id="1257" w:name="_Toc2712"/>
      <w:r>
        <w:rPr>
          <w:color w:val="000000" w:themeColor="text1"/>
          <w:sz w:val="28"/>
          <w:szCs w:val="32"/>
          <w14:textFill>
            <w14:solidFill>
              <w14:schemeClr w14:val="tx1"/>
            </w14:solidFill>
          </w14:textFill>
        </w:rPr>
        <w:t>8.2环境监测</w:t>
      </w:r>
      <w:bookmarkEnd w:id="1247"/>
      <w:bookmarkEnd w:id="1248"/>
      <w:bookmarkEnd w:id="1249"/>
      <w:bookmarkEnd w:id="1250"/>
      <w:bookmarkEnd w:id="1251"/>
      <w:bookmarkEnd w:id="1252"/>
      <w:bookmarkEnd w:id="1253"/>
      <w:bookmarkEnd w:id="1254"/>
      <w:bookmarkEnd w:id="1255"/>
      <w:bookmarkEnd w:id="1256"/>
      <w:bookmarkEnd w:id="1257"/>
    </w:p>
    <w:p w14:paraId="0499769C">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258" w:name="_Toc6510"/>
      <w:bookmarkStart w:id="1259" w:name="_Toc28014"/>
      <w:bookmarkStart w:id="1260" w:name="_Toc6530"/>
      <w:bookmarkStart w:id="1261" w:name="_Toc6529"/>
      <w:bookmarkStart w:id="1262" w:name="_Toc5909"/>
      <w:bookmarkStart w:id="1263" w:name="_Toc30610"/>
      <w:bookmarkStart w:id="1264" w:name="_Toc21835"/>
      <w:bookmarkStart w:id="1265" w:name="_Toc16506"/>
      <w:bookmarkStart w:id="1266" w:name="_Toc10465"/>
      <w:bookmarkStart w:id="1267" w:name="_Toc7464"/>
      <w:bookmarkStart w:id="1268" w:name="_Toc21830"/>
      <w:r>
        <w:rPr>
          <w:bCs/>
          <w:color w:val="000000" w:themeColor="text1"/>
          <w:sz w:val="28"/>
          <w:szCs w:val="32"/>
          <w14:textFill>
            <w14:solidFill>
              <w14:schemeClr w14:val="tx1"/>
            </w14:solidFill>
          </w14:textFill>
        </w:rPr>
        <w:t>8.2.1环境监测任务</w:t>
      </w:r>
      <w:bookmarkEnd w:id="1258"/>
      <w:bookmarkEnd w:id="1259"/>
      <w:bookmarkEnd w:id="1260"/>
      <w:bookmarkEnd w:id="1261"/>
      <w:bookmarkEnd w:id="1262"/>
      <w:bookmarkEnd w:id="1263"/>
      <w:bookmarkEnd w:id="1264"/>
      <w:bookmarkEnd w:id="1265"/>
      <w:bookmarkEnd w:id="1266"/>
      <w:bookmarkEnd w:id="1267"/>
      <w:bookmarkEnd w:id="1268"/>
    </w:p>
    <w:p w14:paraId="0E680482">
      <w:pPr>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根据</w:t>
      </w:r>
      <w:r>
        <w:rPr>
          <w:rFonts w:hint="eastAsia" w:ascii="仿宋" w:hAnsi="仿宋" w:cs="Calibri"/>
          <w:color w:val="000000" w:themeColor="text1"/>
          <w:kern w:val="0"/>
          <w14:textFill>
            <w14:solidFill>
              <w14:schemeClr w14:val="tx1"/>
            </w14:solidFill>
          </w14:textFill>
        </w:rPr>
        <w:t>《输变电建设项目环境保护技术要求》（</w:t>
      </w:r>
      <w:r>
        <w:rPr>
          <w:color w:val="000000" w:themeColor="text1"/>
          <w:kern w:val="0"/>
          <w14:textFill>
            <w14:solidFill>
              <w14:schemeClr w14:val="tx1"/>
            </w14:solidFill>
          </w14:textFill>
        </w:rPr>
        <w:t>HJ1113-2020</w:t>
      </w:r>
      <w:r>
        <w:rPr>
          <w:rFonts w:hint="eastAsia"/>
          <w:color w:val="000000" w:themeColor="text1"/>
          <w:kern w:val="0"/>
          <w14:textFill>
            <w14:solidFill>
              <w14:schemeClr w14:val="tx1"/>
            </w14:solidFill>
          </w14:textFill>
        </w:rPr>
        <w:t>）</w:t>
      </w:r>
      <w:r>
        <w:rPr>
          <w:rFonts w:hint="eastAsia" w:ascii="仿宋" w:hAnsi="仿宋" w:cs="Calibri"/>
          <w:color w:val="000000" w:themeColor="text1"/>
          <w:kern w:val="0"/>
          <w14:textFill>
            <w14:solidFill>
              <w14:schemeClr w14:val="tx1"/>
            </w14:solidFill>
          </w14:textFill>
        </w:rPr>
        <w:t>中要求，</w:t>
      </w:r>
      <w:r>
        <w:rPr>
          <w:color w:val="000000" w:themeColor="text1"/>
          <w14:textFill>
            <w14:solidFill>
              <w14:schemeClr w14:val="tx1"/>
            </w14:solidFill>
          </w14:textFill>
        </w:rPr>
        <w:t>本工程的</w:t>
      </w:r>
      <w:r>
        <w:rPr>
          <w:rFonts w:hint="eastAsia"/>
          <w:color w:val="000000" w:themeColor="text1"/>
          <w:lang w:val="en-US" w:eastAsia="zh-CN"/>
          <w14:textFill>
            <w14:solidFill>
              <w14:schemeClr w14:val="tx1"/>
            </w14:solidFill>
          </w14:textFill>
        </w:rPr>
        <w:t>生态</w:t>
      </w:r>
      <w:r>
        <w:rPr>
          <w:color w:val="000000" w:themeColor="text1"/>
          <w14:textFill>
            <w14:solidFill>
              <w14:schemeClr w14:val="tx1"/>
            </w14:solidFill>
          </w14:textFill>
        </w:rPr>
        <w:t>环境影响和环境管理要求制定环境监测计划，以监督有关的环境保护措施能够得到落实，具体监测计划见表8.2-1。</w:t>
      </w:r>
    </w:p>
    <w:p w14:paraId="4781ADCB">
      <w:pPr>
        <w:pStyle w:val="38"/>
        <w:ind w:firstLine="0" w:firstLineChars="0"/>
        <w:rPr>
          <w:bCs/>
          <w:color w:val="000000" w:themeColor="text1"/>
          <w14:textFill>
            <w14:solidFill>
              <w14:schemeClr w14:val="tx1"/>
            </w14:solidFill>
          </w14:textFill>
        </w:rPr>
      </w:pPr>
      <w:bookmarkStart w:id="1269" w:name="表84"/>
      <w:bookmarkEnd w:id="1269"/>
      <w:bookmarkStart w:id="1270" w:name="_Toc10753"/>
      <w:bookmarkStart w:id="1271" w:name="_Toc7267"/>
      <w:bookmarkStart w:id="1272" w:name="_Toc23631"/>
      <w:bookmarkStart w:id="1273" w:name="_Toc28805"/>
      <w:bookmarkStart w:id="1274" w:name="_Toc26105"/>
      <w:bookmarkStart w:id="1275" w:name="_Toc28456"/>
      <w:bookmarkStart w:id="1276" w:name="_Toc26767"/>
      <w:bookmarkStart w:id="1277" w:name="_Toc19288"/>
      <w:bookmarkStart w:id="1278" w:name="_Toc23834"/>
      <w:bookmarkStart w:id="1279" w:name="_Toc13686"/>
      <w:bookmarkStart w:id="1280" w:name="_Toc30831"/>
      <w:r>
        <w:rPr>
          <w:bCs/>
          <w:color w:val="000000" w:themeColor="text1"/>
          <w14:textFill>
            <w14:solidFill>
              <w14:schemeClr w14:val="tx1"/>
            </w14:solidFill>
          </w14:textFill>
        </w:rPr>
        <w:t>表8.2-1  环境监测计划</w:t>
      </w:r>
    </w:p>
    <w:tbl>
      <w:tblPr>
        <w:tblStyle w:val="59"/>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61"/>
        <w:gridCol w:w="2418"/>
        <w:gridCol w:w="1525"/>
        <w:gridCol w:w="1841"/>
        <w:gridCol w:w="1477"/>
      </w:tblGrid>
      <w:tr w14:paraId="1B34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37" w:type="pct"/>
            <w:vAlign w:val="center"/>
          </w:tcPr>
          <w:p w14:paraId="54F511EC">
            <w:pPr>
              <w:pStyle w:val="41"/>
              <w:spacing w:line="240" w:lineRule="auto"/>
              <w:ind w:firstLineChars="0"/>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污染因子/监测因子</w:t>
            </w:r>
          </w:p>
        </w:tc>
        <w:tc>
          <w:tcPr>
            <w:tcW w:w="1452" w:type="pct"/>
            <w:vAlign w:val="center"/>
          </w:tcPr>
          <w:p w14:paraId="58BD6805">
            <w:pPr>
              <w:pStyle w:val="41"/>
              <w:spacing w:line="240" w:lineRule="auto"/>
              <w:ind w:firstLineChars="0"/>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环境保护措施</w:t>
            </w:r>
          </w:p>
        </w:tc>
        <w:tc>
          <w:tcPr>
            <w:tcW w:w="916" w:type="pct"/>
            <w:vAlign w:val="center"/>
          </w:tcPr>
          <w:p w14:paraId="754C671F">
            <w:pPr>
              <w:pStyle w:val="41"/>
              <w:spacing w:line="240" w:lineRule="auto"/>
              <w:ind w:firstLineChars="0"/>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监测点位</w:t>
            </w:r>
          </w:p>
        </w:tc>
        <w:tc>
          <w:tcPr>
            <w:tcW w:w="1106" w:type="pct"/>
            <w:vAlign w:val="center"/>
          </w:tcPr>
          <w:p w14:paraId="0F1D1244">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频率</w:t>
            </w:r>
          </w:p>
        </w:tc>
        <w:tc>
          <w:tcPr>
            <w:tcW w:w="887" w:type="pct"/>
            <w:vAlign w:val="center"/>
          </w:tcPr>
          <w:p w14:paraId="695273DF">
            <w:pPr>
              <w:pStyle w:val="41"/>
              <w:spacing w:line="240" w:lineRule="auto"/>
              <w:ind w:left="422" w:hanging="422"/>
              <w:rPr>
                <w:rFonts w:ascii="Times New Roman" w:hAnsi="Times New Roman"/>
                <w:b/>
                <w:bCs/>
                <w:color w:val="000000" w:themeColor="text1"/>
                <w:kern w:val="2"/>
                <w:sz w:val="21"/>
                <w14:textFill>
                  <w14:solidFill>
                    <w14:schemeClr w14:val="tx1"/>
                  </w14:solidFill>
                </w14:textFill>
              </w:rPr>
            </w:pPr>
            <w:r>
              <w:rPr>
                <w:rFonts w:hint="eastAsia" w:ascii="Times New Roman" w:hAnsi="Times New Roman"/>
                <w:b/>
                <w:bCs/>
                <w:color w:val="000000" w:themeColor="text1"/>
                <w:kern w:val="2"/>
                <w:sz w:val="21"/>
                <w14:textFill>
                  <w14:solidFill>
                    <w14:schemeClr w14:val="tx1"/>
                  </w14:solidFill>
                </w14:textFill>
              </w:rPr>
              <w:t>备注</w:t>
            </w:r>
          </w:p>
        </w:tc>
      </w:tr>
      <w:tr w14:paraId="2B60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37" w:type="pct"/>
            <w:vAlign w:val="center"/>
          </w:tcPr>
          <w:p w14:paraId="3A1E74AF">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工频电场、工频磁场</w:t>
            </w:r>
          </w:p>
        </w:tc>
        <w:tc>
          <w:tcPr>
            <w:tcW w:w="1452" w:type="pct"/>
            <w:vAlign w:val="center"/>
          </w:tcPr>
          <w:p w14:paraId="3D6F21E9">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控制导线对地高度，塔杆处悬挂警示标识。</w:t>
            </w:r>
          </w:p>
        </w:tc>
        <w:tc>
          <w:tcPr>
            <w:tcW w:w="916" w:type="pct"/>
            <w:vAlign w:val="center"/>
          </w:tcPr>
          <w:p w14:paraId="6B74B44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线路沿线。</w:t>
            </w:r>
          </w:p>
        </w:tc>
        <w:tc>
          <w:tcPr>
            <w:tcW w:w="1106" w:type="pct"/>
            <w:vAlign w:val="center"/>
          </w:tcPr>
          <w:p w14:paraId="77359A7A">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验收阶段进行一次监测，并针对公众投诉进行必要的监测。</w:t>
            </w:r>
          </w:p>
        </w:tc>
        <w:tc>
          <w:tcPr>
            <w:tcW w:w="887" w:type="pct"/>
            <w:vAlign w:val="center"/>
          </w:tcPr>
          <w:p w14:paraId="5E7436A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w:t>
            </w:r>
          </w:p>
        </w:tc>
      </w:tr>
      <w:tr w14:paraId="6C6D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37" w:type="pct"/>
            <w:vAlign w:val="center"/>
          </w:tcPr>
          <w:p w14:paraId="2FFACBA4">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噪声</w:t>
            </w:r>
          </w:p>
        </w:tc>
        <w:tc>
          <w:tcPr>
            <w:tcW w:w="1452" w:type="pct"/>
            <w:vAlign w:val="center"/>
          </w:tcPr>
          <w:p w14:paraId="43632F90">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控制导线对地高度，塔杆处悬挂警示标识。</w:t>
            </w:r>
          </w:p>
        </w:tc>
        <w:tc>
          <w:tcPr>
            <w:tcW w:w="916" w:type="pct"/>
            <w:vAlign w:val="center"/>
          </w:tcPr>
          <w:p w14:paraId="4F24911C">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线路沿线。</w:t>
            </w:r>
          </w:p>
        </w:tc>
        <w:tc>
          <w:tcPr>
            <w:tcW w:w="1106" w:type="pct"/>
            <w:vAlign w:val="center"/>
          </w:tcPr>
          <w:p w14:paraId="48DFCB4B">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验收阶段进行一次监测，并针对公众投诉进行必要的监测。</w:t>
            </w:r>
          </w:p>
        </w:tc>
        <w:tc>
          <w:tcPr>
            <w:tcW w:w="887" w:type="pct"/>
            <w:vAlign w:val="center"/>
          </w:tcPr>
          <w:p w14:paraId="4C86DA35">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w:t>
            </w:r>
          </w:p>
        </w:tc>
      </w:tr>
      <w:tr w14:paraId="6E6E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37" w:type="pct"/>
            <w:vAlign w:val="center"/>
          </w:tcPr>
          <w:p w14:paraId="514BA222">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生态环境</w:t>
            </w:r>
          </w:p>
        </w:tc>
        <w:tc>
          <w:tcPr>
            <w:tcW w:w="1452" w:type="pct"/>
            <w:vAlign w:val="center"/>
          </w:tcPr>
          <w:p w14:paraId="5D97D52E">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合理规划、设计施工便道及场地，严格控制施工范围，应尽量控制作业面，施工后期对各类站场及留作检修道路的施工便道予以土地整治，及时采取土地平整及植被恢复。</w:t>
            </w:r>
          </w:p>
        </w:tc>
        <w:tc>
          <w:tcPr>
            <w:tcW w:w="916" w:type="pct"/>
            <w:vAlign w:val="center"/>
          </w:tcPr>
          <w:p w14:paraId="24DA35F5">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各类占地。</w:t>
            </w:r>
          </w:p>
        </w:tc>
        <w:tc>
          <w:tcPr>
            <w:tcW w:w="1106" w:type="pct"/>
            <w:vAlign w:val="center"/>
          </w:tcPr>
          <w:p w14:paraId="6254AF39">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验收阶段对各类临时占地迹地恢复情况进行核查。</w:t>
            </w:r>
          </w:p>
        </w:tc>
        <w:tc>
          <w:tcPr>
            <w:tcW w:w="887" w:type="pct"/>
            <w:vAlign w:val="center"/>
          </w:tcPr>
          <w:p w14:paraId="65D318E3">
            <w:pPr>
              <w:pStyle w:val="41"/>
              <w:spacing w:line="240" w:lineRule="auto"/>
              <w:ind w:firstLineChars="0"/>
              <w:rPr>
                <w:rFonts w:ascii="Times New Roman" w:hAnsi="Times New Roman"/>
                <w:color w:val="000000" w:themeColor="text1"/>
                <w:kern w:val="2"/>
                <w:sz w:val="21"/>
                <w14:textFill>
                  <w14:solidFill>
                    <w14:schemeClr w14:val="tx1"/>
                  </w14:solidFill>
                </w14:textFill>
              </w:rPr>
            </w:pPr>
            <w:r>
              <w:rPr>
                <w:rFonts w:hint="eastAsia" w:ascii="Times New Roman" w:hAnsi="Times New Roman"/>
                <w:color w:val="000000" w:themeColor="text1"/>
                <w:kern w:val="2"/>
                <w:sz w:val="21"/>
                <w14:textFill>
                  <w14:solidFill>
                    <w14:schemeClr w14:val="tx1"/>
                  </w14:solidFill>
                </w14:textFill>
              </w:rPr>
              <w:t>水土保持监测按照本项目水土保持方案中的监测计划开展工作</w:t>
            </w:r>
          </w:p>
        </w:tc>
      </w:tr>
    </w:tbl>
    <w:p w14:paraId="27155725">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r>
        <w:rPr>
          <w:bCs/>
          <w:color w:val="000000" w:themeColor="text1"/>
          <w:sz w:val="28"/>
          <w:szCs w:val="32"/>
          <w14:textFill>
            <w14:solidFill>
              <w14:schemeClr w14:val="tx1"/>
            </w14:solidFill>
          </w14:textFill>
        </w:rPr>
        <w:t>8.2.2监测点位布设</w:t>
      </w:r>
      <w:bookmarkEnd w:id="1270"/>
      <w:bookmarkEnd w:id="1271"/>
      <w:bookmarkEnd w:id="1272"/>
      <w:bookmarkEnd w:id="1273"/>
      <w:bookmarkEnd w:id="1274"/>
      <w:bookmarkEnd w:id="1275"/>
      <w:bookmarkEnd w:id="1276"/>
      <w:bookmarkEnd w:id="1277"/>
      <w:bookmarkEnd w:id="1278"/>
      <w:bookmarkEnd w:id="1279"/>
      <w:bookmarkEnd w:id="1280"/>
    </w:p>
    <w:p w14:paraId="78BCDBB6">
      <w:pPr>
        <w:ind w:firstLine="480"/>
        <w:rPr>
          <w:color w:val="000000" w:themeColor="text1"/>
          <w14:textFill>
            <w14:solidFill>
              <w14:schemeClr w14:val="tx1"/>
            </w14:solidFill>
          </w14:textFill>
        </w:rPr>
      </w:pPr>
      <w:r>
        <w:rPr>
          <w:color w:val="000000" w:themeColor="text1"/>
          <w14:textFill>
            <w14:solidFill>
              <w14:schemeClr w14:val="tx1"/>
            </w14:solidFill>
          </w14:textFill>
        </w:rPr>
        <w:t>本工程运行期监测项目为：等效连续A声级、工频电场强度和工频磁感应强度。</w:t>
      </w:r>
    </w:p>
    <w:p w14:paraId="0045DAF1">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监测路径应选择在以导线档距中央弧垂最低位置的横截面方向上，单回输电线路应以弧垂最低位置处中相导线对地投影点为起点，监测点应均匀分布在边相导线两侧的横断面方向上。对于挂线方式以杆塔对称排列的输电线路，只需在杆塔一侧的横断面方向上布置监测点。监测点间距一般为</w:t>
      </w:r>
      <w:r>
        <w:rPr>
          <w:color w:val="000000" w:themeColor="text1"/>
          <w:kern w:val="0"/>
          <w:lang w:bidi="ar"/>
          <w14:textFill>
            <w14:solidFill>
              <w14:schemeClr w14:val="tx1"/>
            </w14:solidFill>
          </w14:textFill>
        </w:rPr>
        <w:t>5m</w:t>
      </w:r>
      <w:r>
        <w:rPr>
          <w:rFonts w:hint="eastAsia" w:ascii="宋体" w:hAnsi="宋体" w:cs="宋体"/>
          <w:color w:val="000000" w:themeColor="text1"/>
          <w:kern w:val="0"/>
          <w:lang w:bidi="ar"/>
          <w14:textFill>
            <w14:solidFill>
              <w14:schemeClr w14:val="tx1"/>
            </w14:solidFill>
          </w14:textFill>
        </w:rPr>
        <w:t>，顺序测至距离边导线对地投影外</w:t>
      </w:r>
      <w:r>
        <w:rPr>
          <w:color w:val="000000" w:themeColor="text1"/>
          <w:kern w:val="0"/>
          <w:lang w:bidi="ar"/>
          <w14:textFill>
            <w14:solidFill>
              <w14:schemeClr w14:val="tx1"/>
            </w14:solidFill>
          </w14:textFill>
        </w:rPr>
        <w:t>50m</w:t>
      </w:r>
      <w:r>
        <w:rPr>
          <w:rFonts w:hint="eastAsia" w:ascii="宋体" w:hAnsi="宋体" w:cs="宋体"/>
          <w:color w:val="000000" w:themeColor="text1"/>
          <w:kern w:val="0"/>
          <w:lang w:bidi="ar"/>
          <w14:textFill>
            <w14:solidFill>
              <w14:schemeClr w14:val="tx1"/>
            </w14:solidFill>
          </w14:textFill>
        </w:rPr>
        <w:t>处为止。</w:t>
      </w:r>
    </w:p>
    <w:p w14:paraId="12ED12EA">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断面监测路径选择在以导线档距中央弧垂最低位置的横断面方向上，以并行线路中心为测试原点，沿</w:t>
      </w:r>
      <w:r>
        <w:rPr>
          <w:rFonts w:hint="eastAsia" w:ascii="宋体" w:hAnsi="宋体" w:cs="宋体"/>
          <w:color w:val="000000" w:themeColor="text1"/>
          <w:kern w:val="0"/>
          <w:lang w:eastAsia="zh-CN" w:bidi="ar"/>
          <w14:textFill>
            <w14:solidFill>
              <w14:schemeClr w14:val="tx1"/>
            </w14:solidFill>
          </w14:textFill>
        </w:rPr>
        <w:t>垂直</w:t>
      </w:r>
      <w:r>
        <w:rPr>
          <w:rFonts w:hint="eastAsia" w:ascii="宋体" w:hAnsi="宋体" w:cs="宋体"/>
          <w:color w:val="000000" w:themeColor="text1"/>
          <w:kern w:val="0"/>
          <w:lang w:bidi="ar"/>
          <w14:textFill>
            <w14:solidFill>
              <w14:schemeClr w14:val="tx1"/>
            </w14:solidFill>
          </w14:textFill>
        </w:rPr>
        <w:t>线路方向向两侧展开，测点距地面</w:t>
      </w:r>
      <w:r>
        <w:rPr>
          <w:color w:val="000000" w:themeColor="text1"/>
          <w:kern w:val="0"/>
          <w:lang w:bidi="ar"/>
          <w14:textFill>
            <w14:solidFill>
              <w14:schemeClr w14:val="tx1"/>
            </w14:solidFill>
          </w14:textFill>
        </w:rPr>
        <w:t>1.5m</w:t>
      </w:r>
      <w:r>
        <w:rPr>
          <w:rFonts w:hint="eastAsia" w:ascii="宋体" w:hAnsi="宋体" w:cs="宋体"/>
          <w:color w:val="000000" w:themeColor="text1"/>
          <w:kern w:val="0"/>
          <w:lang w:bidi="ar"/>
          <w14:textFill>
            <w14:solidFill>
              <w14:schemeClr w14:val="tx1"/>
            </w14:solidFill>
          </w14:textFill>
        </w:rPr>
        <w:t>高，测点间距为</w:t>
      </w:r>
      <w:r>
        <w:rPr>
          <w:color w:val="000000" w:themeColor="text1"/>
          <w:kern w:val="0"/>
          <w:lang w:bidi="ar"/>
          <w14:textFill>
            <w14:solidFill>
              <w14:schemeClr w14:val="tx1"/>
            </w14:solidFill>
          </w14:textFill>
        </w:rPr>
        <w:t>5m</w:t>
      </w:r>
      <w:r>
        <w:rPr>
          <w:rFonts w:hint="eastAsia" w:ascii="宋体" w:hAnsi="宋体" w:cs="宋体"/>
          <w:color w:val="000000" w:themeColor="text1"/>
          <w:kern w:val="0"/>
          <w:lang w:bidi="ar"/>
          <w14:textFill>
            <w14:solidFill>
              <w14:schemeClr w14:val="tx1"/>
            </w14:solidFill>
          </w14:textFill>
        </w:rPr>
        <w:t>，顺序测至距离边导线对地投影点外</w:t>
      </w:r>
      <w:r>
        <w:rPr>
          <w:color w:val="000000" w:themeColor="text1"/>
          <w:kern w:val="0"/>
          <w:lang w:bidi="ar"/>
          <w14:textFill>
            <w14:solidFill>
              <w14:schemeClr w14:val="tx1"/>
            </w14:solidFill>
          </w14:textFill>
        </w:rPr>
        <w:t>50m</w:t>
      </w:r>
      <w:r>
        <w:rPr>
          <w:rFonts w:hint="eastAsia" w:ascii="宋体" w:hAnsi="宋体" w:cs="宋体"/>
          <w:color w:val="000000" w:themeColor="text1"/>
          <w:kern w:val="0"/>
          <w:lang w:bidi="ar"/>
          <w14:textFill>
            <w14:solidFill>
              <w14:schemeClr w14:val="tx1"/>
            </w14:solidFill>
          </w14:textFill>
        </w:rPr>
        <w:t>处止，在测量最大值时，两相邻监测点的距离应不大于</w:t>
      </w:r>
      <w:r>
        <w:rPr>
          <w:color w:val="000000" w:themeColor="text1"/>
          <w:kern w:val="0"/>
          <w:lang w:bidi="ar"/>
          <w14:textFill>
            <w14:solidFill>
              <w14:schemeClr w14:val="tx1"/>
            </w14:solidFill>
          </w14:textFill>
        </w:rPr>
        <w:t>1m</w:t>
      </w:r>
      <w:r>
        <w:rPr>
          <w:rFonts w:hint="eastAsia" w:ascii="宋体" w:hAnsi="宋体" w:cs="宋体"/>
          <w:color w:val="000000" w:themeColor="text1"/>
          <w:kern w:val="0"/>
          <w:lang w:bidi="ar"/>
          <w14:textFill>
            <w14:solidFill>
              <w14:schemeClr w14:val="tx1"/>
            </w14:solidFill>
          </w14:textFill>
        </w:rPr>
        <w:t>。除在线路横断面监测外，也可在线路其他位置监测，应记录监测点的相对位置关系以及周围的环境情况。</w:t>
      </w:r>
    </w:p>
    <w:p w14:paraId="2BFB59CD">
      <w:pPr>
        <w:pStyle w:val="4"/>
        <w:keepNext/>
        <w:keepLines/>
        <w:tabs>
          <w:tab w:val="clear" w:pos="907"/>
          <w:tab w:val="clear" w:pos="1034"/>
        </w:tabs>
        <w:adjustRightInd/>
        <w:spacing w:before="120" w:beforeLines="50" w:after="120" w:afterLines="50"/>
        <w:ind w:firstLine="0" w:firstLineChars="0"/>
        <w:jc w:val="both"/>
        <w:rPr>
          <w:bCs/>
          <w:color w:val="000000" w:themeColor="text1"/>
          <w:sz w:val="28"/>
          <w:szCs w:val="32"/>
          <w14:textFill>
            <w14:solidFill>
              <w14:schemeClr w14:val="tx1"/>
            </w14:solidFill>
          </w14:textFill>
        </w:rPr>
      </w:pPr>
      <w:bookmarkStart w:id="1281" w:name="_Toc7868"/>
      <w:bookmarkStart w:id="1282" w:name="_Toc26704"/>
      <w:bookmarkStart w:id="1283" w:name="_Toc32124"/>
      <w:bookmarkStart w:id="1284" w:name="_Toc13298"/>
      <w:bookmarkStart w:id="1285" w:name="_Toc15894"/>
      <w:bookmarkStart w:id="1286" w:name="_Toc8686"/>
      <w:bookmarkStart w:id="1287" w:name="_Toc27922"/>
      <w:bookmarkStart w:id="1288" w:name="_Toc13010"/>
      <w:bookmarkStart w:id="1289" w:name="_Toc25538"/>
      <w:bookmarkStart w:id="1290" w:name="_Toc9290"/>
      <w:bookmarkStart w:id="1291" w:name="_Toc20580"/>
      <w:r>
        <w:rPr>
          <w:bCs/>
          <w:color w:val="000000" w:themeColor="text1"/>
          <w:sz w:val="28"/>
          <w:szCs w:val="32"/>
          <w14:textFill>
            <w14:solidFill>
              <w14:schemeClr w14:val="tx1"/>
            </w14:solidFill>
          </w14:textFill>
        </w:rPr>
        <w:t>8.2.3监测技术要求</w:t>
      </w:r>
      <w:bookmarkEnd w:id="1281"/>
      <w:bookmarkEnd w:id="1282"/>
      <w:bookmarkEnd w:id="1283"/>
      <w:bookmarkEnd w:id="1284"/>
      <w:bookmarkEnd w:id="1285"/>
      <w:bookmarkEnd w:id="1286"/>
      <w:bookmarkEnd w:id="1287"/>
      <w:bookmarkEnd w:id="1288"/>
      <w:bookmarkEnd w:id="1289"/>
      <w:bookmarkEnd w:id="1290"/>
      <w:bookmarkEnd w:id="1291"/>
    </w:p>
    <w:p w14:paraId="64B0D78E">
      <w:pPr>
        <w:ind w:firstLine="480"/>
        <w:rPr>
          <w:color w:val="000000" w:themeColor="text1"/>
          <w14:textFill>
            <w14:solidFill>
              <w14:schemeClr w14:val="tx1"/>
            </w14:solidFill>
          </w14:textFill>
        </w:rPr>
      </w:pPr>
      <w:r>
        <w:rPr>
          <w:color w:val="000000" w:themeColor="text1"/>
          <w14:textFill>
            <w14:solidFill>
              <w14:schemeClr w14:val="tx1"/>
            </w14:solidFill>
          </w14:textFill>
        </w:rPr>
        <w:t>（1）监测方法</w:t>
      </w:r>
    </w:p>
    <w:p w14:paraId="6F4A5CF1">
      <w:pPr>
        <w:pStyle w:val="25"/>
        <w:spacing w:after="0"/>
        <w:ind w:left="0" w:leftChars="0" w:firstLine="480"/>
        <w:rPr>
          <w:color w:val="000000" w:themeColor="text1"/>
          <w14:textFill>
            <w14:solidFill>
              <w14:schemeClr w14:val="tx1"/>
            </w14:solidFill>
          </w14:textFill>
        </w:rPr>
      </w:pPr>
      <w:r>
        <w:rPr>
          <w:color w:val="000000" w:themeColor="text1"/>
          <w14:textFill>
            <w14:solidFill>
              <w14:schemeClr w14:val="tx1"/>
            </w14:solidFill>
          </w14:textFill>
        </w:rPr>
        <w:t>噪声监测执行《声环境质量标准》（GB3096-2008）中相关规定；工频电场和工频磁场监测根据《交流输变电工程电磁环境监测方法（试行）》（HJ681-2013）中相关规定。</w:t>
      </w:r>
    </w:p>
    <w:p w14:paraId="12DC7B25">
      <w:pPr>
        <w:ind w:firstLine="480"/>
        <w:rPr>
          <w:color w:val="000000" w:themeColor="text1"/>
          <w14:textFill>
            <w14:solidFill>
              <w14:schemeClr w14:val="tx1"/>
            </w14:solidFill>
          </w14:textFill>
        </w:rPr>
      </w:pPr>
      <w:r>
        <w:rPr>
          <w:color w:val="000000" w:themeColor="text1"/>
          <w14:textFill>
            <w14:solidFill>
              <w14:schemeClr w14:val="tx1"/>
            </w14:solidFill>
          </w14:textFill>
        </w:rPr>
        <w:t>（2）监测频次</w:t>
      </w:r>
    </w:p>
    <w:p w14:paraId="2F6CFC01">
      <w:pPr>
        <w:pStyle w:val="25"/>
        <w:spacing w:after="0"/>
        <w:ind w:left="0" w:leftChars="0" w:firstLine="480"/>
        <w:rPr>
          <w:color w:val="000000" w:themeColor="text1"/>
          <w14:textFill>
            <w14:solidFill>
              <w14:schemeClr w14:val="tx1"/>
            </w14:solidFill>
          </w14:textFill>
        </w:rPr>
      </w:pPr>
      <w:r>
        <w:rPr>
          <w:color w:val="000000" w:themeColor="text1"/>
          <w14:textFill>
            <w14:solidFill>
              <w14:schemeClr w14:val="tx1"/>
            </w14:solidFill>
          </w14:textFill>
        </w:rPr>
        <w:t>运行期间进行竣工环境保护验收时监测一次；结合工程竣工环境保护验收，根据国网新疆电力有限公司的规定进行常规监测，并针对公众投诉进行必要的监测。</w:t>
      </w:r>
    </w:p>
    <w:p w14:paraId="030C89BC">
      <w:pPr>
        <w:ind w:firstLine="480"/>
        <w:rPr>
          <w:color w:val="000000" w:themeColor="text1"/>
          <w14:textFill>
            <w14:solidFill>
              <w14:schemeClr w14:val="tx1"/>
            </w14:solidFill>
          </w14:textFill>
        </w:rPr>
      </w:pPr>
      <w:r>
        <w:rPr>
          <w:color w:val="000000" w:themeColor="text1"/>
          <w14:textFill>
            <w14:solidFill>
              <w14:schemeClr w14:val="tx1"/>
            </w14:solidFill>
          </w14:textFill>
        </w:rPr>
        <w:t>（3）质量保证</w:t>
      </w:r>
    </w:p>
    <w:p w14:paraId="130C9CD5">
      <w:pPr>
        <w:pStyle w:val="25"/>
        <w:spacing w:after="0"/>
        <w:ind w:left="0" w:leftChars="0" w:firstLine="480"/>
        <w:rPr>
          <w:color w:val="000000" w:themeColor="text1"/>
          <w14:textFill>
            <w14:solidFill>
              <w14:schemeClr w14:val="tx1"/>
            </w14:solidFill>
          </w14:textFill>
        </w:rPr>
      </w:pPr>
      <w:r>
        <w:rPr>
          <w:color w:val="000000" w:themeColor="text1"/>
          <w14:textFill>
            <w14:solidFill>
              <w14:schemeClr w14:val="tx1"/>
            </w14:solidFill>
          </w14:textFill>
        </w:rPr>
        <w:t>在监测过程中，严格按照相关规范及监测工作方案的要求执行，采取严密的质控措施，做到数据的准确可靠。</w:t>
      </w:r>
    </w:p>
    <w:p w14:paraId="65E95F4F">
      <w:pPr>
        <w:widowControl/>
        <w:ind w:firstLine="640"/>
        <w:jc w:val="left"/>
        <w:rPr>
          <w:color w:val="000000" w:themeColor="text1"/>
          <w:sz w:val="32"/>
          <w:szCs w:val="32"/>
          <w14:textFill>
            <w14:solidFill>
              <w14:schemeClr w14:val="tx1"/>
            </w14:solidFill>
          </w14:textFill>
        </w:rPr>
        <w:sectPr>
          <w:pgSz w:w="11905" w:h="16838"/>
          <w:pgMar w:top="1440" w:right="1800" w:bottom="1440" w:left="1800" w:header="850" w:footer="992" w:gutter="0"/>
          <w:cols w:space="720" w:num="1"/>
          <w:docGrid w:linePitch="286" w:charSpace="0"/>
        </w:sectPr>
      </w:pPr>
    </w:p>
    <w:p w14:paraId="44FA58ED">
      <w:pPr>
        <w:pStyle w:val="2"/>
        <w:spacing w:before="156" w:beforeLines="50" w:after="156" w:afterLines="50"/>
        <w:rPr>
          <w:color w:val="000000" w:themeColor="text1"/>
          <w14:textFill>
            <w14:solidFill>
              <w14:schemeClr w14:val="tx1"/>
            </w14:solidFill>
          </w14:textFill>
        </w:rPr>
      </w:pPr>
      <w:bookmarkStart w:id="1292" w:name="_Toc28217"/>
      <w:bookmarkStart w:id="1293" w:name="_Toc24615"/>
      <w:bookmarkStart w:id="1294" w:name="_Toc31000"/>
      <w:bookmarkStart w:id="1295" w:name="_Toc405"/>
      <w:bookmarkStart w:id="1296" w:name="_Toc10441"/>
      <w:bookmarkStart w:id="1297" w:name="_Toc28797"/>
      <w:bookmarkStart w:id="1298" w:name="_Toc11416"/>
      <w:bookmarkStart w:id="1299" w:name="_Toc29651"/>
      <w:bookmarkStart w:id="1300" w:name="_Toc21044"/>
      <w:bookmarkStart w:id="1301" w:name="_Toc24610"/>
      <w:bookmarkStart w:id="1302" w:name="_Toc22022"/>
      <w:r>
        <w:rPr>
          <w:color w:val="000000" w:themeColor="text1"/>
          <w14:textFill>
            <w14:solidFill>
              <w14:schemeClr w14:val="tx1"/>
            </w14:solidFill>
          </w14:textFill>
        </w:rPr>
        <w:t>9</w:t>
      </w:r>
      <w:r>
        <w:rPr>
          <w:rFonts w:hint="eastAsia"/>
          <w:color w:val="000000" w:themeColor="text1"/>
          <w:lang w:val="en-US" w:eastAsia="zh-CN"/>
          <w14:textFill>
            <w14:solidFill>
              <w14:schemeClr w14:val="tx1"/>
            </w14:solidFill>
          </w14:textFill>
        </w:rPr>
        <w:t>生态</w:t>
      </w:r>
      <w:r>
        <w:rPr>
          <w:color w:val="000000" w:themeColor="text1"/>
          <w14:textFill>
            <w14:solidFill>
              <w14:schemeClr w14:val="tx1"/>
            </w14:solidFill>
          </w14:textFill>
        </w:rPr>
        <w:t>环境影响评价结论</w:t>
      </w:r>
      <w:bookmarkEnd w:id="1292"/>
      <w:bookmarkEnd w:id="1293"/>
      <w:bookmarkEnd w:id="1294"/>
      <w:bookmarkEnd w:id="1295"/>
      <w:bookmarkEnd w:id="1296"/>
      <w:bookmarkEnd w:id="1297"/>
      <w:bookmarkEnd w:id="1298"/>
      <w:bookmarkEnd w:id="1299"/>
      <w:bookmarkEnd w:id="1300"/>
      <w:bookmarkEnd w:id="1301"/>
      <w:bookmarkEnd w:id="1302"/>
    </w:p>
    <w:p w14:paraId="53326645">
      <w:pPr>
        <w:pStyle w:val="3"/>
        <w:keepNext/>
        <w:keepLines/>
        <w:tabs>
          <w:tab w:val="clear" w:pos="420"/>
          <w:tab w:val="clear" w:pos="907"/>
          <w:tab w:val="clear" w:pos="1267"/>
        </w:tabs>
        <w:adjustRightInd/>
        <w:spacing w:before="156" w:beforeLines="50" w:after="156" w:afterLines="50"/>
        <w:rPr>
          <w:color w:val="000000" w:themeColor="text1"/>
          <w:sz w:val="28"/>
          <w:szCs w:val="32"/>
          <w14:textFill>
            <w14:solidFill>
              <w14:schemeClr w14:val="tx1"/>
            </w14:solidFill>
          </w14:textFill>
        </w:rPr>
      </w:pPr>
      <w:bookmarkStart w:id="1303" w:name="_Toc16747"/>
      <w:bookmarkStart w:id="1304" w:name="_Toc19696"/>
      <w:bookmarkStart w:id="1305" w:name="_Toc21568"/>
      <w:bookmarkStart w:id="1306" w:name="_Toc696"/>
      <w:bookmarkStart w:id="1307" w:name="_Toc5112"/>
      <w:bookmarkStart w:id="1308" w:name="_Toc15263"/>
      <w:bookmarkStart w:id="1309" w:name="_Toc21046"/>
      <w:bookmarkStart w:id="1310" w:name="_Toc6878"/>
      <w:bookmarkStart w:id="1311" w:name="_Toc7206"/>
      <w:bookmarkStart w:id="1312" w:name="_Toc510"/>
      <w:bookmarkStart w:id="1313" w:name="_Toc1954"/>
      <w:r>
        <w:rPr>
          <w:color w:val="000000" w:themeColor="text1"/>
          <w:sz w:val="28"/>
          <w:szCs w:val="32"/>
          <w14:textFill>
            <w14:solidFill>
              <w14:schemeClr w14:val="tx1"/>
            </w14:solidFill>
          </w14:textFill>
        </w:rPr>
        <w:t>9.1项目概况</w:t>
      </w:r>
      <w:bookmarkEnd w:id="1303"/>
      <w:bookmarkEnd w:id="1304"/>
      <w:bookmarkEnd w:id="1305"/>
      <w:bookmarkEnd w:id="1306"/>
      <w:bookmarkEnd w:id="1307"/>
      <w:bookmarkEnd w:id="1308"/>
      <w:bookmarkEnd w:id="1309"/>
      <w:bookmarkEnd w:id="1310"/>
      <w:bookmarkEnd w:id="1311"/>
      <w:bookmarkEnd w:id="1312"/>
      <w:bookmarkEnd w:id="1313"/>
    </w:p>
    <w:p w14:paraId="4F8A4DAA">
      <w:pPr>
        <w:snapToGrid w:val="0"/>
        <w:ind w:firstLine="480"/>
        <w:rPr>
          <w:bCs/>
          <w:snapToGrid w:val="0"/>
          <w:color w:val="000000" w:themeColor="text1"/>
          <w14:textFill>
            <w14:solidFill>
              <w14:schemeClr w14:val="tx1"/>
            </w14:solidFill>
          </w14:textFill>
        </w:rPr>
      </w:pPr>
      <w:bookmarkStart w:id="1314" w:name="_Toc432167068"/>
      <w:bookmarkStart w:id="1315" w:name="_Toc432141393"/>
      <w:r>
        <w:rPr>
          <w:rFonts w:hint="eastAsia"/>
          <w:bCs/>
          <w:snapToGrid w:val="0"/>
          <w:color w:val="000000" w:themeColor="text1"/>
          <w14:textFill>
            <w14:solidFill>
              <w14:schemeClr w14:val="tx1"/>
            </w14:solidFill>
          </w14:textFill>
        </w:rPr>
        <w:t>（1）新建</w:t>
      </w:r>
      <w:r>
        <w:rPr>
          <w:bCs/>
          <w:snapToGrid w:val="0"/>
          <w:color w:val="000000" w:themeColor="text1"/>
          <w14:textFill>
            <w14:solidFill>
              <w14:schemeClr w14:val="tx1"/>
            </w14:solidFill>
          </w14:textFill>
        </w:rPr>
        <w:t>若羌火电厂</w:t>
      </w:r>
      <w:r>
        <w:rPr>
          <w:rFonts w:hint="eastAsia"/>
          <w:bCs/>
          <w:snapToGrid w:val="0"/>
          <w:color w:val="000000" w:themeColor="text1"/>
          <w14:textFill>
            <w14:solidFill>
              <w14:schemeClr w14:val="tx1"/>
            </w14:solidFill>
          </w14:textFill>
        </w:rPr>
        <w:t>至</w:t>
      </w:r>
      <w:r>
        <w:rPr>
          <w:bCs/>
          <w:snapToGrid w:val="0"/>
          <w:color w:val="000000" w:themeColor="text1"/>
          <w14:textFill>
            <w14:solidFill>
              <w14:schemeClr w14:val="tx1"/>
            </w14:solidFill>
          </w14:textFill>
        </w:rPr>
        <w:t>若羌±800kV换流站</w:t>
      </w:r>
      <w:r>
        <w:rPr>
          <w:rFonts w:hint="eastAsia"/>
          <w:bCs/>
          <w:snapToGrid w:val="0"/>
          <w:color w:val="000000" w:themeColor="text1"/>
          <w14:textFill>
            <w14:solidFill>
              <w14:schemeClr w14:val="tx1"/>
            </w14:solidFill>
          </w14:textFill>
        </w:rPr>
        <w:t>750千伏线路，线路长度38.4km（</w:t>
      </w:r>
      <w:r>
        <w:rPr>
          <w:bCs/>
          <w:snapToGrid w:val="0"/>
          <w:color w:val="000000" w:themeColor="text1"/>
          <w14:textFill>
            <w14:solidFill>
              <w14:schemeClr w14:val="tx1"/>
            </w14:solidFill>
          </w14:textFill>
        </w:rPr>
        <w:t>3×12.8k</w:t>
      </w:r>
      <w:r>
        <w:rPr>
          <w:rFonts w:hint="eastAsia"/>
          <w:bCs/>
          <w:snapToGrid w:val="0"/>
          <w:color w:val="000000" w:themeColor="text1"/>
          <w14:textFill>
            <w14:solidFill>
              <w14:schemeClr w14:val="tx1"/>
            </w14:solidFill>
          </w14:textFill>
        </w:rPr>
        <w:t>m）；</w:t>
      </w:r>
    </w:p>
    <w:p w14:paraId="07D2627B">
      <w:pPr>
        <w:snapToGrid w:val="0"/>
        <w:ind w:firstLine="480"/>
        <w:rPr>
          <w:bCs/>
          <w:snapToGrid w:val="0"/>
          <w:color w:val="000000" w:themeColor="text1"/>
          <w:highlight w:val="yellow"/>
          <w14:textFill>
            <w14:solidFill>
              <w14:schemeClr w14:val="tx1"/>
            </w14:solidFill>
          </w14:textFill>
        </w:rPr>
      </w:pPr>
      <w:r>
        <w:rPr>
          <w:rFonts w:hint="eastAsia"/>
          <w:bCs/>
          <w:snapToGrid w:val="0"/>
          <w:color w:val="000000" w:themeColor="text1"/>
          <w14:textFill>
            <w14:solidFill>
              <w14:schemeClr w14:val="tx1"/>
            </w14:solidFill>
          </w14:textFill>
        </w:rPr>
        <w:t>（2）占地面积：</w:t>
      </w:r>
      <w:r>
        <w:rPr>
          <w:rFonts w:hint="eastAsia"/>
          <w:color w:val="000000" w:themeColor="text1"/>
          <w:highlight w:val="none"/>
          <w14:textFill>
            <w14:solidFill>
              <w14:schemeClr w14:val="tx1"/>
            </w14:solidFill>
          </w14:textFill>
        </w:rPr>
        <w:t>总占地</w:t>
      </w:r>
      <w:r>
        <w:rPr>
          <w:color w:val="000000" w:themeColor="text1"/>
          <w:highlight w:val="none"/>
          <w14:textFill>
            <w14:solidFill>
              <w14:schemeClr w14:val="tx1"/>
            </w14:solidFill>
          </w14:textFill>
        </w:rPr>
        <w:t>面积</w:t>
      </w:r>
      <w:r>
        <w:rPr>
          <w:rFonts w:hint="eastAsia"/>
          <w:color w:val="000000" w:themeColor="text1"/>
          <w:highlight w:val="none"/>
          <w:lang w:eastAsia="zh-CN"/>
          <w14:textFill>
            <w14:solidFill>
              <w14:schemeClr w14:val="tx1"/>
            </w14:solidFill>
          </w14:textFill>
        </w:rPr>
        <w:t>361000</w:t>
      </w:r>
      <w:r>
        <w:rPr>
          <w:color w:val="000000" w:themeColor="text1"/>
          <w:highlight w:val="none"/>
          <w14:textFill>
            <w14:solidFill>
              <w14:schemeClr w14:val="tx1"/>
            </w14:solidFill>
          </w14:textFill>
        </w:rPr>
        <w:t>m</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永久占地</w:t>
      </w:r>
      <w:r>
        <w:rPr>
          <w:rFonts w:hint="eastAsia"/>
          <w:color w:val="000000" w:themeColor="text1"/>
          <w:highlight w:val="none"/>
          <w:lang w:eastAsia="zh-CN"/>
          <w14:textFill>
            <w14:solidFill>
              <w14:schemeClr w14:val="tx1"/>
            </w14:solidFill>
          </w14:textFill>
        </w:rPr>
        <w:t>26040</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，临时占地</w:t>
      </w:r>
      <w:r>
        <w:rPr>
          <w:rFonts w:hint="eastAsia"/>
          <w:color w:val="000000" w:themeColor="text1"/>
          <w:highlight w:val="none"/>
          <w:lang w:eastAsia="zh-CN"/>
          <w14:textFill>
            <w14:solidFill>
              <w14:schemeClr w14:val="tx1"/>
            </w14:solidFill>
          </w14:textFill>
        </w:rPr>
        <w:t>334960</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bCs/>
          <w:snapToGrid w:val="0"/>
          <w:color w:val="000000" w:themeColor="text1"/>
          <w:highlight w:val="none"/>
          <w14:textFill>
            <w14:solidFill>
              <w14:schemeClr w14:val="tx1"/>
            </w14:solidFill>
          </w14:textFill>
        </w:rPr>
        <w:t>；</w:t>
      </w:r>
    </w:p>
    <w:p w14:paraId="2D18B57E">
      <w:pPr>
        <w:snapToGrid w:val="0"/>
        <w:ind w:firstLine="480"/>
        <w:rPr>
          <w:bCs/>
          <w:snapToGrid w:val="0"/>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（3）工程投资：动态总投资</w:t>
      </w:r>
      <w:r>
        <w:rPr>
          <w:rFonts w:hint="eastAsia"/>
          <w:bCs/>
          <w:snapToGrid w:val="0"/>
          <w:color w:val="000000" w:themeColor="text1"/>
          <w:lang w:eastAsia="zh-CN"/>
          <w14:textFill>
            <w14:solidFill>
              <w14:schemeClr w14:val="tx1"/>
            </w14:solidFill>
          </w14:textFill>
        </w:rPr>
        <w:t>14162万元</w:t>
      </w:r>
      <w:r>
        <w:rPr>
          <w:rFonts w:hint="eastAsia"/>
          <w:bCs/>
          <w:snapToGrid w:val="0"/>
          <w:color w:val="000000" w:themeColor="text1"/>
          <w14:textFill>
            <w14:solidFill>
              <w14:schemeClr w14:val="tx1"/>
            </w14:solidFill>
          </w14:textFill>
        </w:rPr>
        <w:t>。</w:t>
      </w:r>
    </w:p>
    <w:bookmarkEnd w:id="1314"/>
    <w:bookmarkEnd w:id="1315"/>
    <w:p w14:paraId="27F76E14">
      <w:pPr>
        <w:pStyle w:val="3"/>
        <w:keepNext/>
        <w:keepLines/>
        <w:tabs>
          <w:tab w:val="clear" w:pos="420"/>
          <w:tab w:val="clear" w:pos="907"/>
          <w:tab w:val="clear" w:pos="1267"/>
        </w:tabs>
        <w:adjustRightInd/>
        <w:spacing w:before="156" w:beforeLines="50" w:after="156" w:afterLines="50"/>
        <w:rPr>
          <w:color w:val="000000" w:themeColor="text1"/>
          <w:sz w:val="28"/>
          <w:szCs w:val="32"/>
          <w14:textFill>
            <w14:solidFill>
              <w14:schemeClr w14:val="tx1"/>
            </w14:solidFill>
          </w14:textFill>
        </w:rPr>
      </w:pPr>
      <w:bookmarkStart w:id="1316" w:name="_Toc21627"/>
      <w:bookmarkStart w:id="1317" w:name="_Toc31819"/>
      <w:bookmarkStart w:id="1318" w:name="_Toc2582"/>
      <w:bookmarkStart w:id="1319" w:name="_Toc23266"/>
      <w:bookmarkStart w:id="1320" w:name="_Toc21625"/>
      <w:bookmarkStart w:id="1321" w:name="_Toc31851"/>
      <w:bookmarkStart w:id="1322" w:name="_Toc11342"/>
      <w:bookmarkStart w:id="1323" w:name="_Toc5327"/>
      <w:bookmarkStart w:id="1324" w:name="_Toc24283"/>
      <w:bookmarkStart w:id="1325" w:name="_Toc10442"/>
      <w:bookmarkStart w:id="1326" w:name="_Toc31670"/>
      <w:r>
        <w:rPr>
          <w:color w:val="000000" w:themeColor="text1"/>
          <w:sz w:val="28"/>
          <w:szCs w:val="32"/>
          <w14:textFill>
            <w14:solidFill>
              <w14:schemeClr w14:val="tx1"/>
            </w14:solidFill>
          </w14:textFill>
        </w:rPr>
        <w:t>9.2环境质量现状</w:t>
      </w:r>
      <w:bookmarkEnd w:id="1316"/>
      <w:bookmarkEnd w:id="1317"/>
      <w:bookmarkEnd w:id="1318"/>
      <w:bookmarkEnd w:id="1319"/>
      <w:bookmarkEnd w:id="1320"/>
      <w:bookmarkEnd w:id="1321"/>
      <w:bookmarkEnd w:id="1322"/>
      <w:bookmarkEnd w:id="1323"/>
      <w:bookmarkEnd w:id="1324"/>
      <w:bookmarkEnd w:id="1325"/>
      <w:bookmarkEnd w:id="1326"/>
    </w:p>
    <w:p w14:paraId="5A46BDCC">
      <w:pPr>
        <w:ind w:firstLine="480"/>
        <w:rPr>
          <w:color w:val="000000" w:themeColor="text1"/>
          <w14:textFill>
            <w14:solidFill>
              <w14:schemeClr w14:val="tx1"/>
            </w14:solidFill>
          </w14:textFill>
        </w:rPr>
      </w:pPr>
      <w:bookmarkStart w:id="1327" w:name="_Toc23564"/>
      <w:bookmarkStart w:id="1328" w:name="_Toc26913"/>
      <w:bookmarkStart w:id="1329" w:name="_Toc23884"/>
      <w:bookmarkStart w:id="1330" w:name="_Toc30222"/>
      <w:r>
        <w:rPr>
          <w:rFonts w:hint="eastAsia"/>
          <w:color w:val="000000" w:themeColor="text1"/>
          <w14:textFill>
            <w14:solidFill>
              <w14:schemeClr w14:val="tx1"/>
            </w14:solidFill>
          </w14:textFill>
        </w:rPr>
        <w:t>（1）</w:t>
      </w:r>
      <w:r>
        <w:rPr>
          <w:color w:val="000000" w:themeColor="text1"/>
          <w14:textFill>
            <w14:solidFill>
              <w14:schemeClr w14:val="tx1"/>
            </w14:solidFill>
          </w14:textFill>
        </w:rPr>
        <w:t>声环境</w:t>
      </w:r>
      <w:bookmarkEnd w:id="1327"/>
      <w:bookmarkEnd w:id="1328"/>
      <w:bookmarkEnd w:id="1329"/>
      <w:bookmarkEnd w:id="1330"/>
    </w:p>
    <w:p w14:paraId="66EC0E5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输电线路沿线昼间噪声在34</w:t>
      </w:r>
      <w:r>
        <w:rPr>
          <w:color w:val="000000" w:themeColor="text1"/>
          <w14:textFill>
            <w14:solidFill>
              <w14:schemeClr w14:val="tx1"/>
            </w14:solidFill>
          </w14:textFill>
        </w:rPr>
        <w:t>dB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44dB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）之间，夜间噪声在34</w:t>
      </w:r>
      <w:r>
        <w:rPr>
          <w:color w:val="000000" w:themeColor="text1"/>
          <w14:textFill>
            <w14:solidFill>
              <w14:schemeClr w14:val="tx1"/>
            </w14:solidFill>
          </w14:textFill>
        </w:rPr>
        <w:t>dB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）～40</w:t>
      </w:r>
      <w:r>
        <w:rPr>
          <w:color w:val="000000" w:themeColor="text1"/>
          <w14:textFill>
            <w14:solidFill>
              <w14:schemeClr w14:val="tx1"/>
            </w14:solidFill>
          </w14:textFill>
        </w:rPr>
        <w:t>dB</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）之间，</w:t>
      </w:r>
      <w:r>
        <w:rPr>
          <w:rFonts w:hint="eastAsia"/>
          <w:color w:val="000000" w:themeColor="text1"/>
          <w:lang w:val="en-US" w:eastAsia="zh-CN"/>
          <w14:textFill>
            <w14:solidFill>
              <w14:schemeClr w14:val="tx1"/>
            </w14:solidFill>
          </w14:textFill>
        </w:rPr>
        <w:t>线路</w:t>
      </w:r>
      <w:r>
        <w:rPr>
          <w:rFonts w:hint="eastAsia"/>
          <w:b w:val="0"/>
          <w:bCs/>
          <w:color w:val="000000" w:themeColor="text1"/>
          <w:lang w:val="en-US" w:eastAsia="zh-CN"/>
          <w14:textFill>
            <w14:solidFill>
              <w14:schemeClr w14:val="tx1"/>
            </w14:solidFill>
          </w14:textFill>
        </w:rPr>
        <w:t>起点、终点</w:t>
      </w:r>
      <w:r>
        <w:rPr>
          <w:color w:val="000000" w:themeColor="text1"/>
          <w14:textFill>
            <w14:solidFill>
              <w14:schemeClr w14:val="tx1"/>
            </w14:solidFill>
          </w14:textFill>
        </w:rPr>
        <w:t>昼间、夜间环境噪声均满足</w:t>
      </w:r>
      <w:r>
        <w:rPr>
          <w:color w:val="000000" w:themeColor="text1"/>
          <w:lang w:val="zh-CN"/>
          <w14:textFill>
            <w14:solidFill>
              <w14:schemeClr w14:val="tx1"/>
            </w14:solidFill>
          </w14:textFill>
        </w:rPr>
        <w:t>《</w:t>
      </w:r>
      <w:r>
        <w:rPr>
          <w:rFonts w:hint="eastAsia"/>
          <w:color w:val="000000" w:themeColor="text1"/>
          <w14:textFill>
            <w14:solidFill>
              <w14:schemeClr w14:val="tx1"/>
            </w14:solidFill>
          </w14:textFill>
        </w:rPr>
        <w:t>声环境质量标准</w:t>
      </w:r>
      <w:r>
        <w:rPr>
          <w:color w:val="000000" w:themeColor="text1"/>
          <w:lang w:val="zh-CN"/>
          <w14:textFill>
            <w14:solidFill>
              <w14:schemeClr w14:val="tx1"/>
            </w14:solidFill>
          </w14:textFill>
        </w:rPr>
        <w:t>》（GB</w:t>
      </w:r>
      <w:r>
        <w:rPr>
          <w:rFonts w:hint="eastAsia"/>
          <w:color w:val="000000" w:themeColor="text1"/>
          <w:lang w:val="en-US" w:eastAsia="zh-CN"/>
          <w14:textFill>
            <w14:solidFill>
              <w14:schemeClr w14:val="tx1"/>
            </w14:solidFill>
          </w14:textFill>
        </w:rPr>
        <w:t>3096</w:t>
      </w:r>
      <w:r>
        <w:rPr>
          <w:color w:val="000000" w:themeColor="text1"/>
          <w:lang w:val="zh-CN"/>
          <w14:textFill>
            <w14:solidFill>
              <w14:schemeClr w14:val="tx1"/>
            </w14:solidFill>
          </w14:textFill>
        </w:rPr>
        <w:t>-2008）</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类排放标准</w:t>
      </w:r>
      <w:r>
        <w:rPr>
          <w:rFonts w:hint="eastAsia"/>
          <w:color w:val="000000" w:themeColor="text1"/>
          <w14:textFill>
            <w14:solidFill>
              <w14:schemeClr w14:val="tx1"/>
            </w14:solidFill>
          </w14:textFill>
        </w:rPr>
        <w:t>限值</w:t>
      </w:r>
      <w:r>
        <w:rPr>
          <w:color w:val="000000" w:themeColor="text1"/>
          <w14:textFill>
            <w14:solidFill>
              <w14:schemeClr w14:val="tx1"/>
            </w14:solidFill>
          </w14:textFill>
        </w:rPr>
        <w:t>要求</w:t>
      </w:r>
      <w:r>
        <w:rPr>
          <w:rFonts w:hint="eastAsia"/>
          <w:b w:val="0"/>
          <w:bCs/>
          <w:color w:val="000000" w:themeColor="text1"/>
          <w:lang w:eastAsia="zh-CN"/>
          <w14:textFill>
            <w14:solidFill>
              <w14:schemeClr w14:val="tx1"/>
            </w14:solidFill>
          </w14:textFill>
        </w:rPr>
        <w:t>，</w:t>
      </w:r>
      <w:r>
        <w:rPr>
          <w:rFonts w:hint="eastAsia"/>
          <w:b w:val="0"/>
          <w:bCs/>
          <w:color w:val="000000" w:themeColor="text1"/>
          <w:lang w:val="en-US" w:eastAsia="zh-CN"/>
          <w14:textFill>
            <w14:solidFill>
              <w14:schemeClr w14:val="tx1"/>
            </w14:solidFill>
          </w14:textFill>
        </w:rPr>
        <w:t>线路其余线段</w:t>
      </w:r>
      <w:r>
        <w:rPr>
          <w:color w:val="000000" w:themeColor="text1"/>
          <w14:textFill>
            <w14:solidFill>
              <w14:schemeClr w14:val="tx1"/>
            </w14:solidFill>
          </w14:textFill>
        </w:rPr>
        <w:t>昼间、夜间环境噪声均满足</w:t>
      </w:r>
      <w:r>
        <w:rPr>
          <w:color w:val="000000" w:themeColor="text1"/>
          <w:lang w:val="zh-CN"/>
          <w14:textFill>
            <w14:solidFill>
              <w14:schemeClr w14:val="tx1"/>
            </w14:solidFill>
          </w14:textFill>
        </w:rPr>
        <w:t>《</w:t>
      </w:r>
      <w:r>
        <w:rPr>
          <w:rFonts w:hint="eastAsia"/>
          <w:color w:val="000000" w:themeColor="text1"/>
          <w14:textFill>
            <w14:solidFill>
              <w14:schemeClr w14:val="tx1"/>
            </w14:solidFill>
          </w14:textFill>
        </w:rPr>
        <w:t>声环境质量标准</w:t>
      </w:r>
      <w:r>
        <w:rPr>
          <w:color w:val="000000" w:themeColor="text1"/>
          <w:lang w:val="zh-CN"/>
          <w14:textFill>
            <w14:solidFill>
              <w14:schemeClr w14:val="tx1"/>
            </w14:solidFill>
          </w14:textFill>
        </w:rPr>
        <w:t>》（GB</w:t>
      </w:r>
      <w:r>
        <w:rPr>
          <w:rFonts w:hint="eastAsia"/>
          <w:color w:val="000000" w:themeColor="text1"/>
          <w:lang w:val="en-US" w:eastAsia="zh-CN"/>
          <w14:textFill>
            <w14:solidFill>
              <w14:schemeClr w14:val="tx1"/>
            </w14:solidFill>
          </w14:textFill>
        </w:rPr>
        <w:t>3096</w:t>
      </w:r>
      <w:r>
        <w:rPr>
          <w:color w:val="000000" w:themeColor="text1"/>
          <w:lang w:val="zh-CN"/>
          <w14:textFill>
            <w14:solidFill>
              <w14:schemeClr w14:val="tx1"/>
            </w14:solidFill>
          </w14:textFill>
        </w:rPr>
        <w:t>-2008）</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类排放标准</w:t>
      </w:r>
      <w:r>
        <w:rPr>
          <w:rFonts w:hint="eastAsia"/>
          <w:color w:val="000000" w:themeColor="text1"/>
          <w14:textFill>
            <w14:solidFill>
              <w14:schemeClr w14:val="tx1"/>
            </w14:solidFill>
          </w14:textFill>
        </w:rPr>
        <w:t>限值</w:t>
      </w:r>
      <w:r>
        <w:rPr>
          <w:color w:val="000000" w:themeColor="text1"/>
          <w14:textFill>
            <w14:solidFill>
              <w14:schemeClr w14:val="tx1"/>
            </w14:solidFill>
          </w14:textFill>
        </w:rPr>
        <w:t>要求</w:t>
      </w:r>
      <w:r>
        <w:rPr>
          <w:rFonts w:hint="eastAsia"/>
          <w:color w:val="000000" w:themeColor="text1"/>
          <w14:textFill>
            <w14:solidFill>
              <w14:schemeClr w14:val="tx1"/>
            </w14:solidFill>
          </w14:textFill>
        </w:rPr>
        <w:t>。</w:t>
      </w:r>
    </w:p>
    <w:p w14:paraId="08EF8B55">
      <w:pPr>
        <w:ind w:firstLine="480"/>
        <w:rPr>
          <w:color w:val="000000" w:themeColor="text1"/>
          <w14:textFill>
            <w14:solidFill>
              <w14:schemeClr w14:val="tx1"/>
            </w14:solidFill>
          </w14:textFill>
        </w:rPr>
      </w:pPr>
      <w:bookmarkStart w:id="1331" w:name="_Toc29100"/>
      <w:bookmarkStart w:id="1332" w:name="_Toc15065"/>
      <w:bookmarkStart w:id="1333" w:name="_Toc1694"/>
      <w:bookmarkStart w:id="1334" w:name="_Toc25840"/>
      <w:r>
        <w:rPr>
          <w:rFonts w:hint="eastAsia"/>
          <w:color w:val="000000" w:themeColor="text1"/>
          <w14:textFill>
            <w14:solidFill>
              <w14:schemeClr w14:val="tx1"/>
            </w14:solidFill>
          </w14:textFill>
        </w:rPr>
        <w:t>（2）</w:t>
      </w:r>
      <w:r>
        <w:rPr>
          <w:color w:val="000000" w:themeColor="text1"/>
          <w14:textFill>
            <w14:solidFill>
              <w14:schemeClr w14:val="tx1"/>
            </w14:solidFill>
          </w14:textFill>
        </w:rPr>
        <w:t>工频电场</w:t>
      </w:r>
      <w:bookmarkEnd w:id="1331"/>
      <w:bookmarkEnd w:id="1332"/>
      <w:bookmarkEnd w:id="1333"/>
      <w:bookmarkEnd w:id="1334"/>
    </w:p>
    <w:p w14:paraId="68C10049">
      <w:pPr>
        <w:widowControl/>
        <w:ind w:firstLine="480"/>
        <w:jc w:val="left"/>
        <w:rPr>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新建</w:t>
      </w:r>
      <w:r>
        <w:rPr>
          <w:bCs/>
          <w:snapToGrid w:val="0"/>
          <w:color w:val="000000" w:themeColor="text1"/>
          <w14:textFill>
            <w14:solidFill>
              <w14:schemeClr w14:val="tx1"/>
            </w14:solidFill>
          </w14:textFill>
        </w:rPr>
        <w:t>若羌火电厂</w:t>
      </w:r>
      <w:r>
        <w:rPr>
          <w:rFonts w:hint="eastAsia"/>
          <w:bCs/>
          <w:snapToGrid w:val="0"/>
          <w:color w:val="000000" w:themeColor="text1"/>
          <w14:textFill>
            <w14:solidFill>
              <w14:schemeClr w14:val="tx1"/>
            </w14:solidFill>
          </w14:textFill>
        </w:rPr>
        <w:t>至</w:t>
      </w:r>
      <w:r>
        <w:rPr>
          <w:bCs/>
          <w:snapToGrid w:val="0"/>
          <w:color w:val="000000" w:themeColor="text1"/>
          <w14:textFill>
            <w14:solidFill>
              <w14:schemeClr w14:val="tx1"/>
            </w14:solidFill>
          </w14:textFill>
        </w:rPr>
        <w:t>若羌±800kV换流站</w:t>
      </w:r>
      <w:r>
        <w:rPr>
          <w:rFonts w:hint="eastAsia"/>
          <w:bCs/>
          <w:snapToGrid w:val="0"/>
          <w:color w:val="000000" w:themeColor="text1"/>
          <w14:textFill>
            <w14:solidFill>
              <w14:schemeClr w14:val="tx1"/>
            </w14:solidFill>
          </w14:textFill>
        </w:rPr>
        <w:t>750千伏线路</w:t>
      </w:r>
      <w:r>
        <w:rPr>
          <w:rFonts w:hint="eastAsia" w:ascii="宋体" w:hAnsi="宋体" w:cs="宋体"/>
          <w:color w:val="000000" w:themeColor="text1"/>
          <w:kern w:val="0"/>
          <w:lang w:bidi="ar"/>
          <w14:textFill>
            <w14:solidFill>
              <w14:schemeClr w14:val="tx1"/>
            </w14:solidFill>
          </w14:textFill>
        </w:rPr>
        <w:t>沿线监测点的工频电场强度监测结果为</w:t>
      </w:r>
      <w:r>
        <w:rPr>
          <w:rFonts w:hint="eastAsia"/>
          <w:color w:val="000000" w:themeColor="text1"/>
          <w:kern w:val="0"/>
          <w:lang w:bidi="ar"/>
          <w14:textFill>
            <w14:solidFill>
              <w14:schemeClr w14:val="tx1"/>
            </w14:solidFill>
          </w14:textFill>
        </w:rPr>
        <w:t>2.534</w:t>
      </w:r>
      <w:r>
        <w:rPr>
          <w:rFonts w:hint="eastAsia"/>
          <w:color w:val="000000" w:themeColor="text1"/>
          <w:kern w:val="0"/>
          <w:lang w:val="en-US" w:eastAsia="zh-CN" w:bidi="ar"/>
          <w14:textFill>
            <w14:solidFill>
              <w14:schemeClr w14:val="tx1"/>
            </w14:solidFill>
          </w14:textFill>
        </w:rPr>
        <w:t>k</w:t>
      </w:r>
      <w:r>
        <w:rPr>
          <w:color w:val="000000" w:themeColor="text1"/>
          <w:kern w:val="0"/>
          <w:lang w:bidi="ar"/>
          <w14:textFill>
            <w14:solidFill>
              <w14:schemeClr w14:val="tx1"/>
            </w14:solidFill>
          </w14:textFill>
        </w:rPr>
        <w:t>V/m</w:t>
      </w:r>
      <w:r>
        <w:rPr>
          <w:rFonts w:hint="eastAsia" w:ascii="宋体" w:hAnsi="宋体" w:cs="宋体"/>
          <w:color w:val="000000" w:themeColor="text1"/>
          <w:kern w:val="0"/>
          <w:lang w:bidi="ar"/>
          <w14:textFill>
            <w14:solidFill>
              <w14:schemeClr w14:val="tx1"/>
            </w14:solidFill>
          </w14:textFill>
        </w:rPr>
        <w:t>～</w:t>
      </w:r>
      <w:r>
        <w:rPr>
          <w:rFonts w:hint="eastAsia"/>
          <w:color w:val="000000" w:themeColor="text1"/>
          <w:kern w:val="0"/>
          <w:lang w:bidi="ar"/>
          <w14:textFill>
            <w14:solidFill>
              <w14:schemeClr w14:val="tx1"/>
            </w14:solidFill>
          </w14:textFill>
        </w:rPr>
        <w:t>7.103</w:t>
      </w:r>
      <w:r>
        <w:rPr>
          <w:rFonts w:hint="eastAsia"/>
          <w:color w:val="000000" w:themeColor="text1"/>
          <w:kern w:val="0"/>
          <w:lang w:val="en-US" w:eastAsia="zh-CN" w:bidi="ar"/>
          <w14:textFill>
            <w14:solidFill>
              <w14:schemeClr w14:val="tx1"/>
            </w14:solidFill>
          </w14:textFill>
        </w:rPr>
        <w:t>k</w:t>
      </w:r>
      <w:r>
        <w:rPr>
          <w:color w:val="000000" w:themeColor="text1"/>
          <w:kern w:val="0"/>
          <w:lang w:bidi="ar"/>
          <w14:textFill>
            <w14:solidFill>
              <w14:schemeClr w14:val="tx1"/>
            </w14:solidFill>
          </w14:textFill>
        </w:rPr>
        <w:t>V/m</w:t>
      </w:r>
      <w:r>
        <w:rPr>
          <w:rFonts w:hint="eastAsia" w:ascii="宋体" w:hAnsi="宋体" w:cs="宋体"/>
          <w:color w:val="000000" w:themeColor="text1"/>
          <w:kern w:val="0"/>
          <w:lang w:bidi="ar"/>
          <w14:textFill>
            <w14:solidFill>
              <w14:schemeClr w14:val="tx1"/>
            </w14:solidFill>
          </w14:textFill>
        </w:rPr>
        <w:t>，满足</w:t>
      </w:r>
      <w:r>
        <w:rPr>
          <w:color w:val="000000" w:themeColor="text1"/>
          <w:kern w:val="0"/>
          <w:lang w:bidi="ar"/>
          <w14:textFill>
            <w14:solidFill>
              <w14:schemeClr w14:val="tx1"/>
            </w14:solidFill>
          </w14:textFill>
        </w:rPr>
        <w:t>10kV/m</w:t>
      </w:r>
      <w:r>
        <w:rPr>
          <w:rFonts w:hint="eastAsia" w:ascii="宋体" w:hAnsi="宋体" w:cs="宋体"/>
          <w:color w:val="000000" w:themeColor="text1"/>
          <w:kern w:val="0"/>
          <w:lang w:bidi="ar"/>
          <w14:textFill>
            <w14:solidFill>
              <w14:schemeClr w14:val="tx1"/>
            </w14:solidFill>
          </w14:textFill>
        </w:rPr>
        <w:t>作为架空输电线路线下的耕地、园地、牧草地、畜禽饲养地、养殖水面、道路等场所电场强度控制限值。</w:t>
      </w:r>
    </w:p>
    <w:p w14:paraId="4F34EA81">
      <w:pPr>
        <w:ind w:firstLine="480"/>
        <w:rPr>
          <w:color w:val="000000" w:themeColor="text1"/>
          <w14:textFill>
            <w14:solidFill>
              <w14:schemeClr w14:val="tx1"/>
            </w14:solidFill>
          </w14:textFill>
        </w:rPr>
      </w:pPr>
      <w:bookmarkStart w:id="1335" w:name="_Toc22241"/>
      <w:bookmarkStart w:id="1336" w:name="_Toc4779"/>
      <w:bookmarkStart w:id="1337" w:name="_Toc4917"/>
      <w:bookmarkStart w:id="1338" w:name="_Toc19134"/>
      <w:r>
        <w:rPr>
          <w:rFonts w:hint="eastAsia"/>
          <w:color w:val="000000" w:themeColor="text1"/>
          <w14:textFill>
            <w14:solidFill>
              <w14:schemeClr w14:val="tx1"/>
            </w14:solidFill>
          </w14:textFill>
        </w:rPr>
        <w:t>（3）</w:t>
      </w:r>
      <w:r>
        <w:rPr>
          <w:color w:val="000000" w:themeColor="text1"/>
          <w14:textFill>
            <w14:solidFill>
              <w14:schemeClr w14:val="tx1"/>
            </w14:solidFill>
          </w14:textFill>
        </w:rPr>
        <w:t>工频磁</w:t>
      </w:r>
      <w:bookmarkEnd w:id="1335"/>
      <w:bookmarkEnd w:id="1336"/>
      <w:bookmarkEnd w:id="1337"/>
      <w:bookmarkEnd w:id="1338"/>
      <w:r>
        <w:rPr>
          <w:rFonts w:hint="eastAsia"/>
          <w:color w:val="000000" w:themeColor="text1"/>
          <w14:textFill>
            <w14:solidFill>
              <w14:schemeClr w14:val="tx1"/>
            </w14:solidFill>
          </w14:textFill>
        </w:rPr>
        <w:t>感应强度</w:t>
      </w:r>
    </w:p>
    <w:p w14:paraId="3C15259D">
      <w:pPr>
        <w:widowControl/>
        <w:ind w:firstLine="480"/>
        <w:jc w:val="left"/>
        <w:rPr>
          <w:color w:val="000000" w:themeColor="text1"/>
          <w14:textFill>
            <w14:solidFill>
              <w14:schemeClr w14:val="tx1"/>
            </w14:solidFill>
          </w14:textFill>
        </w:rPr>
      </w:pPr>
      <w:r>
        <w:rPr>
          <w:rFonts w:hint="eastAsia"/>
          <w:bCs/>
          <w:snapToGrid w:val="0"/>
          <w:color w:val="000000" w:themeColor="text1"/>
          <w14:textFill>
            <w14:solidFill>
              <w14:schemeClr w14:val="tx1"/>
            </w14:solidFill>
          </w14:textFill>
        </w:rPr>
        <w:t>新建</w:t>
      </w:r>
      <w:r>
        <w:rPr>
          <w:bCs/>
          <w:snapToGrid w:val="0"/>
          <w:color w:val="000000" w:themeColor="text1"/>
          <w14:textFill>
            <w14:solidFill>
              <w14:schemeClr w14:val="tx1"/>
            </w14:solidFill>
          </w14:textFill>
        </w:rPr>
        <w:t>若羌火电厂</w:t>
      </w:r>
      <w:r>
        <w:rPr>
          <w:rFonts w:hint="eastAsia"/>
          <w:bCs/>
          <w:snapToGrid w:val="0"/>
          <w:color w:val="000000" w:themeColor="text1"/>
          <w14:textFill>
            <w14:solidFill>
              <w14:schemeClr w14:val="tx1"/>
            </w14:solidFill>
          </w14:textFill>
        </w:rPr>
        <w:t>至</w:t>
      </w:r>
      <w:r>
        <w:rPr>
          <w:bCs/>
          <w:snapToGrid w:val="0"/>
          <w:color w:val="000000" w:themeColor="text1"/>
          <w14:textFill>
            <w14:solidFill>
              <w14:schemeClr w14:val="tx1"/>
            </w14:solidFill>
          </w14:textFill>
        </w:rPr>
        <w:t>若羌±800kV换流站</w:t>
      </w:r>
      <w:r>
        <w:rPr>
          <w:rFonts w:hint="eastAsia"/>
          <w:bCs/>
          <w:snapToGrid w:val="0"/>
          <w:color w:val="000000" w:themeColor="text1"/>
          <w14:textFill>
            <w14:solidFill>
              <w14:schemeClr w14:val="tx1"/>
            </w14:solidFill>
          </w14:textFill>
        </w:rPr>
        <w:t>750千伏线路</w:t>
      </w:r>
      <w:r>
        <w:rPr>
          <w:rFonts w:hint="eastAsia" w:ascii="宋体" w:hAnsi="宋体" w:cs="宋体"/>
          <w:color w:val="000000" w:themeColor="text1"/>
          <w:kern w:val="0"/>
          <w:lang w:bidi="ar"/>
          <w14:textFill>
            <w14:solidFill>
              <w14:schemeClr w14:val="tx1"/>
            </w14:solidFill>
          </w14:textFill>
        </w:rPr>
        <w:t>沿线监测点的工频磁感应强度为</w:t>
      </w:r>
      <w:r>
        <w:rPr>
          <w:color w:val="000000" w:themeColor="text1"/>
          <w:kern w:val="0"/>
          <w:lang w:bidi="ar"/>
          <w14:textFill>
            <w14:solidFill>
              <w14:schemeClr w14:val="tx1"/>
            </w14:solidFill>
          </w14:textFill>
        </w:rPr>
        <w:t>0.0</w:t>
      </w:r>
      <w:r>
        <w:rPr>
          <w:rFonts w:hint="eastAsia"/>
          <w:color w:val="000000" w:themeColor="text1"/>
          <w:kern w:val="0"/>
          <w:lang w:bidi="ar"/>
          <w14:textFill>
            <w14:solidFill>
              <w14:schemeClr w14:val="tx1"/>
            </w14:solidFill>
          </w14:textFill>
        </w:rPr>
        <w:t>064</w:t>
      </w:r>
      <w:r>
        <w:rPr>
          <w:color w:val="000000" w:themeColor="text1"/>
          <w:kern w:val="0"/>
          <w:lang w:bidi="ar"/>
          <w14:textFill>
            <w14:solidFill>
              <w14:schemeClr w14:val="tx1"/>
            </w14:solidFill>
          </w14:textFill>
        </w:rPr>
        <w:t>μT～0.</w:t>
      </w:r>
      <w:r>
        <w:rPr>
          <w:rFonts w:hint="eastAsia"/>
          <w:color w:val="000000" w:themeColor="text1"/>
          <w:kern w:val="0"/>
          <w:lang w:bidi="ar"/>
          <w14:textFill>
            <w14:solidFill>
              <w14:schemeClr w14:val="tx1"/>
            </w14:solidFill>
          </w14:textFill>
        </w:rPr>
        <w:t>0109</w:t>
      </w:r>
      <w:r>
        <w:rPr>
          <w:color w:val="000000" w:themeColor="text1"/>
          <w:kern w:val="0"/>
          <w:lang w:bidi="ar"/>
          <w14:textFill>
            <w14:solidFill>
              <w14:schemeClr w14:val="tx1"/>
            </w14:solidFill>
          </w14:textFill>
        </w:rPr>
        <w:t>μT，</w:t>
      </w:r>
      <w:r>
        <w:rPr>
          <w:rFonts w:hint="eastAsia" w:ascii="宋体" w:hAnsi="宋体" w:cs="宋体"/>
          <w:color w:val="000000" w:themeColor="text1"/>
          <w:kern w:val="0"/>
          <w:lang w:bidi="ar"/>
          <w14:textFill>
            <w14:solidFill>
              <w14:schemeClr w14:val="tx1"/>
            </w14:solidFill>
          </w14:textFill>
        </w:rPr>
        <w:t>满足</w:t>
      </w:r>
      <w:r>
        <w:rPr>
          <w:color w:val="000000" w:themeColor="text1"/>
          <w:kern w:val="0"/>
          <w:lang w:bidi="ar"/>
          <w14:textFill>
            <w14:solidFill>
              <w14:schemeClr w14:val="tx1"/>
            </w14:solidFill>
          </w14:textFill>
        </w:rPr>
        <w:t>100μT</w:t>
      </w:r>
      <w:r>
        <w:rPr>
          <w:rFonts w:hint="eastAsia" w:ascii="宋体" w:hAnsi="宋体" w:cs="宋体"/>
          <w:color w:val="000000" w:themeColor="text1"/>
          <w:kern w:val="0"/>
          <w:lang w:bidi="ar"/>
          <w14:textFill>
            <w14:solidFill>
              <w14:schemeClr w14:val="tx1"/>
            </w14:solidFill>
          </w14:textFill>
        </w:rPr>
        <w:t>公众曝露控制限值。</w:t>
      </w:r>
    </w:p>
    <w:p w14:paraId="1250CE35">
      <w:pPr>
        <w:ind w:firstLine="480"/>
        <w:rPr>
          <w:color w:val="000000" w:themeColor="text1"/>
          <w14:textFill>
            <w14:solidFill>
              <w14:schemeClr w14:val="tx1"/>
            </w14:solidFill>
          </w14:textFill>
        </w:rPr>
      </w:pPr>
      <w:bookmarkStart w:id="1339" w:name="_Toc21746"/>
      <w:bookmarkStart w:id="1340" w:name="_Toc3914"/>
      <w:bookmarkStart w:id="1341" w:name="_Toc7330"/>
      <w:bookmarkStart w:id="1342" w:name="_Toc13486"/>
      <w:r>
        <w:rPr>
          <w:rFonts w:hint="eastAsia"/>
          <w:color w:val="000000" w:themeColor="text1"/>
          <w14:textFill>
            <w14:solidFill>
              <w14:schemeClr w14:val="tx1"/>
            </w14:solidFill>
          </w14:textFill>
        </w:rPr>
        <w:t>（4）</w:t>
      </w:r>
      <w:r>
        <w:rPr>
          <w:color w:val="000000" w:themeColor="text1"/>
          <w14:textFill>
            <w14:solidFill>
              <w14:schemeClr w14:val="tx1"/>
            </w14:solidFill>
          </w14:textFill>
        </w:rPr>
        <w:t>生态环境</w:t>
      </w:r>
      <w:bookmarkEnd w:id="1339"/>
      <w:bookmarkEnd w:id="1340"/>
      <w:bookmarkEnd w:id="1341"/>
      <w:bookmarkEnd w:id="1342"/>
    </w:p>
    <w:p w14:paraId="41037662">
      <w:pPr>
        <w:ind w:firstLine="480"/>
        <w:rPr>
          <w:bCs/>
          <w:snapToGrid w:val="0"/>
          <w:color w:val="000000" w:themeColor="text1"/>
          <w14:textFill>
            <w14:solidFill>
              <w14:schemeClr w14:val="tx1"/>
            </w14:solidFill>
          </w14:textFill>
        </w:rPr>
      </w:pPr>
      <w:bookmarkStart w:id="1343" w:name="_Toc20891"/>
      <w:bookmarkStart w:id="1344" w:name="_Toc432167071"/>
      <w:bookmarkStart w:id="1345" w:name="_Toc432141396"/>
      <w:r>
        <w:rPr>
          <w:rFonts w:hint="eastAsia"/>
          <w:color w:val="000000" w:themeColor="text1"/>
          <w14:textFill>
            <w14:solidFill>
              <w14:schemeClr w14:val="tx1"/>
            </w14:solidFill>
          </w14:textFill>
        </w:rPr>
        <w:t>本次生态影响评价范围内生态环境整体状况一般，植被类型为沙生针茅草原、无植被区和多枝柽柳荒漠，植被覆盖水平低、主要植物种类少；动物资源较少，现场未见明显野生动物活动迹象；土地利用类型以其他草地和</w:t>
      </w:r>
      <w:r>
        <w:rPr>
          <w:rFonts w:hint="eastAsia"/>
          <w:color w:val="000000" w:themeColor="text1"/>
          <w:lang w:val="en-US" w:eastAsia="zh-CN"/>
          <w14:textFill>
            <w14:solidFill>
              <w14:schemeClr w14:val="tx1"/>
            </w14:solidFill>
          </w14:textFill>
        </w:rPr>
        <w:t>裸地</w:t>
      </w:r>
      <w:r>
        <w:rPr>
          <w:rFonts w:hint="eastAsia"/>
          <w:color w:val="000000" w:themeColor="text1"/>
          <w14:textFill>
            <w14:solidFill>
              <w14:schemeClr w14:val="tx1"/>
            </w14:solidFill>
          </w14:textFill>
        </w:rPr>
        <w:t>为主；土壤类型为棕漠土和内陆盐土。</w:t>
      </w:r>
    </w:p>
    <w:p w14:paraId="3CE1711B">
      <w:pPr>
        <w:pStyle w:val="3"/>
        <w:keepNext/>
        <w:keepLines/>
        <w:tabs>
          <w:tab w:val="clear" w:pos="420"/>
          <w:tab w:val="clear" w:pos="907"/>
          <w:tab w:val="clear" w:pos="1267"/>
        </w:tabs>
        <w:adjustRightInd/>
        <w:spacing w:before="156" w:beforeLines="50" w:after="156" w:afterLines="50"/>
        <w:rPr>
          <w:color w:val="000000" w:themeColor="text1"/>
          <w:sz w:val="28"/>
          <w:szCs w:val="32"/>
          <w14:textFill>
            <w14:solidFill>
              <w14:schemeClr w14:val="tx1"/>
            </w14:solidFill>
          </w14:textFill>
        </w:rPr>
      </w:pPr>
      <w:bookmarkStart w:id="1346" w:name="_Toc19080"/>
      <w:bookmarkStart w:id="1347" w:name="_Toc31751"/>
      <w:bookmarkStart w:id="1348" w:name="_Toc6338"/>
      <w:bookmarkStart w:id="1349" w:name="_Toc8509"/>
      <w:bookmarkStart w:id="1350" w:name="_Toc30523"/>
      <w:bookmarkStart w:id="1351" w:name="_Toc8595"/>
      <w:bookmarkStart w:id="1352" w:name="_Toc30864"/>
      <w:bookmarkStart w:id="1353" w:name="_Toc3982"/>
      <w:bookmarkStart w:id="1354" w:name="_Toc26427"/>
      <w:bookmarkStart w:id="1355" w:name="_Toc6970"/>
      <w:bookmarkStart w:id="1356" w:name="_Toc10496"/>
      <w:bookmarkStart w:id="1357" w:name="_Toc1509"/>
      <w:r>
        <w:rPr>
          <w:color w:val="000000" w:themeColor="text1"/>
          <w:sz w:val="28"/>
          <w:szCs w:val="32"/>
          <w14:textFill>
            <w14:solidFill>
              <w14:schemeClr w14:val="tx1"/>
            </w14:solidFill>
          </w14:textFill>
        </w:rPr>
        <w:t>9.3工程与法规政策及相关规划相符性</w:t>
      </w:r>
      <w:bookmarkEnd w:id="1346"/>
      <w:bookmarkEnd w:id="1347"/>
      <w:bookmarkEnd w:id="1348"/>
      <w:bookmarkEnd w:id="1349"/>
      <w:bookmarkEnd w:id="1350"/>
      <w:bookmarkEnd w:id="1351"/>
      <w:bookmarkEnd w:id="1352"/>
      <w:bookmarkEnd w:id="1353"/>
      <w:bookmarkEnd w:id="1354"/>
      <w:bookmarkEnd w:id="1355"/>
      <w:bookmarkEnd w:id="1356"/>
    </w:p>
    <w:p w14:paraId="2FBCFB0A">
      <w:pPr>
        <w:ind w:firstLine="360" w:firstLineChars="150"/>
        <w:rPr>
          <w:color w:val="000000" w:themeColor="text1"/>
          <w14:textFill>
            <w14:solidFill>
              <w14:schemeClr w14:val="tx1"/>
            </w14:solidFill>
          </w14:textFill>
        </w:rPr>
      </w:pPr>
      <w:bookmarkStart w:id="1358" w:name="_Toc22461"/>
      <w:bookmarkStart w:id="1359" w:name="_Toc12740"/>
      <w:bookmarkStart w:id="1360" w:name="_Toc28643"/>
      <w:r>
        <w:rPr>
          <w:color w:val="000000" w:themeColor="text1"/>
          <w14:textFill>
            <w14:solidFill>
              <w14:schemeClr w14:val="tx1"/>
            </w14:solidFill>
          </w14:textFill>
        </w:rPr>
        <w:t>（1）与产业政策相符性</w:t>
      </w:r>
      <w:bookmarkEnd w:id="1358"/>
      <w:bookmarkEnd w:id="1359"/>
      <w:bookmarkEnd w:id="1360"/>
    </w:p>
    <w:p w14:paraId="7FF78D7D">
      <w:pPr>
        <w:pStyle w:val="56"/>
        <w:spacing w:line="360" w:lineRule="auto"/>
        <w:ind w:firstLine="480" w:firstLineChars="200"/>
        <w:jc w:val="both"/>
        <w:rPr>
          <w:bCs w:val="0"/>
          <w:color w:val="000000" w:themeColor="text1"/>
          <w:sz w:val="24"/>
          <w14:textFill>
            <w14:solidFill>
              <w14:schemeClr w14:val="tx1"/>
            </w14:solidFill>
          </w14:textFill>
        </w:rPr>
      </w:pPr>
      <w:r>
        <w:rPr>
          <w:bCs w:val="0"/>
          <w:color w:val="000000" w:themeColor="text1"/>
          <w:sz w:val="24"/>
          <w14:textFill>
            <w14:solidFill>
              <w14:schemeClr w14:val="tx1"/>
            </w14:solidFill>
          </w14:textFill>
        </w:rPr>
        <w:t>750kV超高压输变电工程是国家发展和改革委员会《产业结构调整指导目录》（20</w:t>
      </w:r>
      <w:r>
        <w:rPr>
          <w:rFonts w:hint="eastAsia"/>
          <w:bCs w:val="0"/>
          <w:color w:val="000000" w:themeColor="text1"/>
          <w:sz w:val="24"/>
          <w14:textFill>
            <w14:solidFill>
              <w14:schemeClr w14:val="tx1"/>
            </w14:solidFill>
          </w14:textFill>
        </w:rPr>
        <w:t>24年本</w:t>
      </w:r>
      <w:r>
        <w:rPr>
          <w:bCs w:val="0"/>
          <w:color w:val="000000" w:themeColor="text1"/>
          <w:sz w:val="24"/>
          <w14:textFill>
            <w14:solidFill>
              <w14:schemeClr w14:val="tx1"/>
            </w14:solidFill>
          </w14:textFill>
        </w:rPr>
        <w:t>）中的</w:t>
      </w:r>
      <w:r>
        <w:rPr>
          <w:rFonts w:hint="eastAsia" w:ascii="宋体" w:hAnsi="宋体" w:cs="宋体"/>
          <w:bCs w:val="0"/>
          <w:color w:val="000000" w:themeColor="text1"/>
          <w:sz w:val="24"/>
          <w14:textFill>
            <w14:solidFill>
              <w14:schemeClr w14:val="tx1"/>
            </w14:solidFill>
          </w14:textFill>
        </w:rPr>
        <w:t>“第一类鼓励类”中的“</w:t>
      </w:r>
      <w:r>
        <w:rPr>
          <w:rFonts w:hint="eastAsia"/>
          <w:bCs w:val="0"/>
          <w:color w:val="000000" w:themeColor="text1"/>
          <w:sz w:val="24"/>
          <w14:textFill>
            <w14:solidFill>
              <w14:schemeClr w14:val="tx1"/>
            </w14:solidFill>
          </w14:textFill>
        </w:rPr>
        <w:t>电网建设与改</w:t>
      </w:r>
      <w:r>
        <w:rPr>
          <w:rFonts w:hint="eastAsia" w:ascii="宋体" w:hAnsi="宋体" w:cs="宋体"/>
          <w:bCs w:val="0"/>
          <w:color w:val="000000" w:themeColor="text1"/>
          <w:sz w:val="24"/>
          <w14:textFill>
            <w14:solidFill>
              <w14:schemeClr w14:val="tx1"/>
            </w14:solidFill>
          </w14:textFill>
        </w:rPr>
        <w:t>造”鼓励</w:t>
      </w:r>
      <w:r>
        <w:rPr>
          <w:bCs w:val="0"/>
          <w:color w:val="000000" w:themeColor="text1"/>
          <w:sz w:val="24"/>
          <w14:textFill>
            <w14:solidFill>
              <w14:schemeClr w14:val="tx1"/>
            </w14:solidFill>
          </w14:textFill>
        </w:rPr>
        <w:t>类项目，符合国家产业政策。</w:t>
      </w:r>
    </w:p>
    <w:p w14:paraId="0214764C">
      <w:pPr>
        <w:pStyle w:val="56"/>
        <w:spacing w:line="360" w:lineRule="auto"/>
        <w:ind w:firstLine="480" w:firstLineChars="200"/>
        <w:jc w:val="both"/>
        <w:rPr>
          <w:bCs w:val="0"/>
          <w:color w:val="000000" w:themeColor="text1"/>
          <w:sz w:val="24"/>
          <w14:textFill>
            <w14:solidFill>
              <w14:schemeClr w14:val="tx1"/>
            </w14:solidFill>
          </w14:textFill>
        </w:rPr>
      </w:pPr>
      <w:r>
        <w:rPr>
          <w:rFonts w:hint="eastAsia"/>
          <w:bCs w:val="0"/>
          <w:color w:val="000000" w:themeColor="text1"/>
          <w:sz w:val="24"/>
          <w14:textFill>
            <w14:solidFill>
              <w14:schemeClr w14:val="tx1"/>
            </w14:solidFill>
          </w14:textFill>
        </w:rPr>
        <w:t>（2）与《新疆维吾尔自治区“十四五”电力发展规划》相符性</w:t>
      </w:r>
    </w:p>
    <w:p w14:paraId="5C32209D">
      <w:pPr>
        <w:pStyle w:val="56"/>
        <w:spacing w:line="360" w:lineRule="auto"/>
        <w:ind w:firstLine="480" w:firstLineChars="200"/>
        <w:jc w:val="both"/>
        <w:rPr>
          <w:bCs w:val="0"/>
          <w:color w:val="000000" w:themeColor="text1"/>
          <w:sz w:val="24"/>
          <w14:textFill>
            <w14:solidFill>
              <w14:schemeClr w14:val="tx1"/>
            </w14:solidFill>
          </w14:textFill>
        </w:rPr>
      </w:pPr>
      <w:r>
        <w:rPr>
          <w:bCs w:val="0"/>
          <w:color w:val="000000" w:themeColor="text1"/>
          <w:sz w:val="24"/>
          <w14:textFill>
            <w14:solidFill>
              <w14:schemeClr w14:val="tx1"/>
            </w14:solidFill>
          </w14:textFill>
        </w:rPr>
        <w:t>本项目建设可以进一步完善750千伏主网架结构，增强750千伏重要断面输送能力，提升全疆能源资源优化配置能力。符合《新疆维吾尔自治区“十四五”电力发展规划的通知》相关要求。</w:t>
      </w:r>
    </w:p>
    <w:p w14:paraId="56FBF2F7">
      <w:pPr>
        <w:ind w:firstLine="360" w:firstLineChars="150"/>
        <w:rPr>
          <w:color w:val="000000" w:themeColor="text1"/>
          <w14:textFill>
            <w14:solidFill>
              <w14:schemeClr w14:val="tx1"/>
            </w14:solidFill>
          </w14:textFill>
        </w:rPr>
      </w:pPr>
      <w:bookmarkStart w:id="1361" w:name="_Toc19843"/>
      <w:bookmarkStart w:id="1362" w:name="_Toc12903"/>
      <w:bookmarkStart w:id="1363" w:name="_Toc25962"/>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）与《新疆维吾尔自治区主体功能区划》相符性</w:t>
      </w:r>
      <w:bookmarkEnd w:id="1361"/>
      <w:bookmarkEnd w:id="1362"/>
      <w:bookmarkEnd w:id="1363"/>
    </w:p>
    <w:p w14:paraId="1AA4BFA1">
      <w:pPr>
        <w:ind w:firstLine="360" w:firstLineChars="150"/>
        <w:rPr>
          <w:color w:val="000000" w:themeColor="text1"/>
          <w14:textFill>
            <w14:solidFill>
              <w14:schemeClr w14:val="tx1"/>
            </w14:solidFill>
          </w14:textFill>
        </w:rPr>
      </w:pPr>
      <w:r>
        <w:rPr>
          <w:bCs/>
          <w:color w:val="000000" w:themeColor="text1"/>
          <w14:textFill>
            <w14:solidFill>
              <w14:schemeClr w14:val="tx1"/>
            </w14:solidFill>
          </w14:textFill>
        </w:rPr>
        <w:t>本工程建设区域属于</w:t>
      </w:r>
      <w:r>
        <w:rPr>
          <w:rFonts w:hint="eastAsia"/>
          <w:bCs/>
          <w:color w:val="000000" w:themeColor="text1"/>
          <w14:textFill>
            <w14:solidFill>
              <w14:schemeClr w14:val="tx1"/>
            </w14:solidFill>
          </w14:textFill>
        </w:rPr>
        <w:t>巴音郭楞蒙古自治州若羌县</w:t>
      </w:r>
      <w:r>
        <w:rPr>
          <w:bCs/>
          <w:color w:val="000000" w:themeColor="text1"/>
          <w14:textFill>
            <w14:solidFill>
              <w14:schemeClr w14:val="tx1"/>
            </w14:solidFill>
          </w14:textFill>
        </w:rPr>
        <w:t>，</w:t>
      </w:r>
      <w:r>
        <w:rPr>
          <w:color w:val="000000" w:themeColor="text1"/>
          <w:kern w:val="0"/>
          <w14:textFill>
            <w14:solidFill>
              <w14:schemeClr w14:val="tx1"/>
            </w14:solidFill>
          </w14:textFill>
        </w:rPr>
        <w:t>工程评价范围内不涉及</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建设项目环境影响评价分类管理名录（2021年版）</w:t>
      </w:r>
      <w:r>
        <w:rPr>
          <w:rFonts w:hint="eastAsia"/>
          <w:color w:val="000000" w:themeColor="text1"/>
          <w:kern w:val="0"/>
          <w14:textFill>
            <w14:solidFill>
              <w14:schemeClr w14:val="tx1"/>
            </w14:solidFill>
          </w14:textFill>
        </w:rPr>
        <w:t>》中第三条（一）中的全部区域；第三条（三）中的以居住、医疗卫生、文化教育、科研、行政办公等为主要功能的区域</w:t>
      </w:r>
      <w:r>
        <w:rPr>
          <w:bCs/>
          <w:color w:val="000000" w:themeColor="text1"/>
          <w14:textFill>
            <w14:solidFill>
              <w14:schemeClr w14:val="tx1"/>
            </w14:solidFill>
          </w14:textFill>
        </w:rPr>
        <w:t>。所在</w:t>
      </w:r>
      <w:r>
        <w:rPr>
          <w:rFonts w:hint="eastAsia"/>
          <w:bCs/>
          <w:color w:val="000000" w:themeColor="text1"/>
          <w14:textFill>
            <w14:solidFill>
              <w14:schemeClr w14:val="tx1"/>
            </w14:solidFill>
          </w14:textFill>
        </w:rPr>
        <w:t>地区</w:t>
      </w:r>
      <w:r>
        <w:rPr>
          <w:bCs/>
          <w:color w:val="000000" w:themeColor="text1"/>
          <w14:textFill>
            <w14:solidFill>
              <w14:schemeClr w14:val="tx1"/>
            </w14:solidFill>
          </w14:textFill>
        </w:rPr>
        <w:t>属于国家级重点生态功能区，项目建设符合</w:t>
      </w:r>
      <w:r>
        <w:rPr>
          <w:color w:val="000000" w:themeColor="text1"/>
          <w14:textFill>
            <w14:solidFill>
              <w14:schemeClr w14:val="tx1"/>
            </w14:solidFill>
          </w14:textFill>
        </w:rPr>
        <w:t>《新疆维吾尔自治区主体功能区划》。</w:t>
      </w:r>
    </w:p>
    <w:p w14:paraId="3D584B6C">
      <w:pPr>
        <w:ind w:left="480" w:leftChars="200" w:firstLine="0" w:firstLineChars="0"/>
        <w:rPr>
          <w:rFonts w:hint="eastAsia" w:eastAsia="宋体"/>
          <w:color w:val="000000" w:themeColor="text1"/>
          <w:lang w:val="en-US" w:eastAsia="zh-CN"/>
          <w14:textFill>
            <w14:solidFill>
              <w14:schemeClr w14:val="tx1"/>
            </w14:solidFill>
          </w14:textFill>
        </w:rPr>
      </w:pPr>
      <w:bookmarkStart w:id="1364" w:name="_Toc11324"/>
      <w:bookmarkStart w:id="1365" w:name="_Toc25218"/>
      <w:bookmarkStart w:id="1366" w:name="_Toc7770"/>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）与《新疆生态功能区划》</w:t>
      </w:r>
      <w:bookmarkEnd w:id="1364"/>
      <w:bookmarkEnd w:id="1365"/>
      <w:bookmarkEnd w:id="1366"/>
      <w:r>
        <w:rPr>
          <w:rFonts w:hint="eastAsia"/>
          <w:color w:val="000000" w:themeColor="text1"/>
          <w:lang w:val="en-US" w:eastAsia="zh-CN"/>
          <w14:textFill>
            <w14:solidFill>
              <w14:schemeClr w14:val="tx1"/>
            </w14:solidFill>
          </w14:textFill>
        </w:rPr>
        <w:t>相符性</w:t>
      </w:r>
    </w:p>
    <w:p w14:paraId="7F523018">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本项目所在区域属于Ⅴ 帕米尔—昆仑山—阿尔金山荒漠干旱草原生态区—Ⅴ3 阿尔金山荒漠草原生物多样性保护生态亚区—</w:t>
      </w:r>
      <w:r>
        <w:rPr>
          <w:rFonts w:hint="eastAsia"/>
          <w:color w:val="000000" w:themeColor="text1"/>
          <w14:textFill>
            <w14:solidFill>
              <w14:schemeClr w14:val="tx1"/>
            </w14:solidFill>
          </w14:textFill>
        </w:rPr>
        <w:t>76．阿尔金山荒漠草原及野骆驼保护生态功能区</w:t>
      </w:r>
      <w:r>
        <w:rPr>
          <w:color w:val="000000" w:themeColor="text1"/>
          <w14:textFill>
            <w14:solidFill>
              <w14:schemeClr w14:val="tx1"/>
            </w14:solidFill>
          </w14:textFill>
        </w:rPr>
        <w:t>，项目建设与《新疆生态功能区划》的生态功能定位不冲突。</w:t>
      </w:r>
    </w:p>
    <w:p w14:paraId="0F0BFBF6">
      <w:pPr>
        <w:ind w:firstLine="360" w:firstLineChars="150"/>
        <w:rPr>
          <w:color w:val="000000" w:themeColor="text1"/>
          <w14:textFill>
            <w14:solidFill>
              <w14:schemeClr w14:val="tx1"/>
            </w14:solidFill>
          </w14:textFill>
        </w:rPr>
      </w:pPr>
      <w:bookmarkStart w:id="1367" w:name="_Toc6401"/>
      <w:bookmarkStart w:id="1368" w:name="_Toc17250"/>
      <w:bookmarkStart w:id="1369" w:name="_Toc17218"/>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与</w:t>
      </w:r>
      <w:bookmarkEnd w:id="1367"/>
      <w:bookmarkEnd w:id="1368"/>
      <w:bookmarkEnd w:id="1369"/>
      <w:r>
        <w:rPr>
          <w:rFonts w:hint="eastAsia" w:ascii="宋体" w:hAnsi="宋体" w:cs="宋体"/>
          <w:color w:val="000000" w:themeColor="text1"/>
          <w14:textFill>
            <w14:solidFill>
              <w14:schemeClr w14:val="tx1"/>
            </w14:solidFill>
          </w14:textFill>
        </w:rPr>
        <w:t>生态环境分区管控相符性分析</w:t>
      </w:r>
    </w:p>
    <w:p w14:paraId="59CDCDEE">
      <w:pPr>
        <w:pStyle w:val="56"/>
        <w:spacing w:line="360" w:lineRule="auto"/>
        <w:ind w:firstLine="480" w:firstLineChars="200"/>
        <w:jc w:val="both"/>
        <w:rPr>
          <w:rStyle w:val="57"/>
          <w:rFonts w:hint="eastAsia" w:ascii="宋体" w:hAnsi="宋体" w:cs="宋体"/>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生态环境分区将生态保护红线、环境质量底线、资源</w:t>
      </w:r>
      <w:r>
        <w:rPr>
          <w:color w:val="000000" w:themeColor="text1"/>
          <w:sz w:val="24"/>
          <w14:textFill>
            <w14:solidFill>
              <w14:schemeClr w14:val="tx1"/>
            </w14:solidFill>
          </w14:textFill>
        </w:rPr>
        <w:t>利用上线落实到不同的环境管控单元，并建立</w:t>
      </w:r>
      <w:r>
        <w:rPr>
          <w:rFonts w:hint="eastAsia"/>
          <w:color w:val="000000" w:themeColor="text1"/>
          <w:sz w:val="24"/>
          <w14:textFill>
            <w14:solidFill>
              <w14:schemeClr w14:val="tx1"/>
            </w14:solidFill>
          </w14:textFill>
        </w:rPr>
        <w:t>生态环境准入清单</w:t>
      </w:r>
      <w:r>
        <w:rPr>
          <w:color w:val="000000" w:themeColor="text1"/>
          <w:sz w:val="24"/>
          <w14:textFill>
            <w14:solidFill>
              <w14:schemeClr w14:val="tx1"/>
            </w14:solidFill>
          </w14:textFill>
        </w:rPr>
        <w:t>的环境分区管控体系。</w:t>
      </w:r>
      <w:r>
        <w:rPr>
          <w:rFonts w:hint="eastAsia"/>
          <w:color w:val="000000" w:themeColor="text1"/>
          <w:sz w:val="24"/>
          <w14:textFill>
            <w14:solidFill>
              <w14:schemeClr w14:val="tx1"/>
            </w14:solidFill>
          </w14:textFill>
        </w:rPr>
        <w:t>本项目新建线路属于</w:t>
      </w:r>
      <w:r>
        <w:rPr>
          <w:color w:val="000000" w:themeColor="text1"/>
          <w:sz w:val="24"/>
          <w14:textFill>
            <w14:solidFill>
              <w14:schemeClr w14:val="tx1"/>
            </w14:solidFill>
          </w14:textFill>
        </w:rPr>
        <w:t>巴音郭楞蒙古自治州</w:t>
      </w:r>
      <w:r>
        <w:rPr>
          <w:rFonts w:hint="eastAsia"/>
          <w:color w:val="000000" w:themeColor="text1"/>
          <w:sz w:val="24"/>
          <w14:textFill>
            <w14:solidFill>
              <w14:schemeClr w14:val="tx1"/>
            </w14:solidFill>
          </w14:textFill>
        </w:rPr>
        <w:t>若羌县一般管控单元</w:t>
      </w:r>
      <w:r>
        <w:rPr>
          <w:rFonts w:hint="eastAsia" w:ascii="宋体" w:hAnsi="宋体" w:cs="宋体"/>
          <w:color w:val="000000" w:themeColor="text1"/>
          <w:sz w:val="24"/>
          <w14:textFill>
            <w14:solidFill>
              <w14:schemeClr w14:val="tx1"/>
            </w14:solidFill>
          </w14:textFill>
        </w:rPr>
        <w:t>。本工程建设与生态环境分区管控要求是相符的。</w:t>
      </w:r>
    </w:p>
    <w:bookmarkEnd w:id="1343"/>
    <w:bookmarkEnd w:id="1344"/>
    <w:bookmarkEnd w:id="1345"/>
    <w:bookmarkEnd w:id="1357"/>
    <w:p w14:paraId="4761FAD4">
      <w:pPr>
        <w:pStyle w:val="3"/>
        <w:keepNext/>
        <w:keepLines/>
        <w:tabs>
          <w:tab w:val="clear" w:pos="420"/>
          <w:tab w:val="clear" w:pos="907"/>
          <w:tab w:val="clear" w:pos="1267"/>
        </w:tabs>
        <w:adjustRightInd/>
        <w:spacing w:before="156" w:beforeLines="50" w:after="156" w:afterLines="50"/>
        <w:rPr>
          <w:color w:val="000000" w:themeColor="text1"/>
          <w:sz w:val="28"/>
          <w:szCs w:val="32"/>
          <w14:textFill>
            <w14:solidFill>
              <w14:schemeClr w14:val="tx1"/>
            </w14:solidFill>
          </w14:textFill>
        </w:rPr>
      </w:pPr>
      <w:bookmarkStart w:id="1370" w:name="_Toc14809"/>
      <w:bookmarkStart w:id="1371" w:name="_Toc17299"/>
      <w:bookmarkStart w:id="1372" w:name="_Toc10418"/>
      <w:bookmarkStart w:id="1373" w:name="_Toc29206"/>
      <w:bookmarkStart w:id="1374" w:name="_Toc29589"/>
      <w:bookmarkStart w:id="1375" w:name="_Toc30839"/>
      <w:bookmarkStart w:id="1376" w:name="_Toc7969"/>
      <w:bookmarkStart w:id="1377" w:name="_Toc21265"/>
      <w:bookmarkStart w:id="1378" w:name="_Toc30812"/>
      <w:bookmarkStart w:id="1379" w:name="_Toc16566"/>
      <w:r>
        <w:rPr>
          <w:color w:val="000000" w:themeColor="text1"/>
          <w:sz w:val="28"/>
          <w:szCs w:val="32"/>
          <w14:textFill>
            <w14:solidFill>
              <w14:schemeClr w14:val="tx1"/>
            </w14:solidFill>
          </w14:textFill>
        </w:rPr>
        <w:t>9.4主要环境影响</w:t>
      </w:r>
      <w:bookmarkEnd w:id="1370"/>
      <w:bookmarkEnd w:id="1371"/>
      <w:bookmarkEnd w:id="1372"/>
      <w:bookmarkEnd w:id="1373"/>
      <w:bookmarkEnd w:id="1374"/>
      <w:bookmarkEnd w:id="1375"/>
      <w:bookmarkEnd w:id="1376"/>
      <w:bookmarkEnd w:id="1377"/>
      <w:bookmarkEnd w:id="1378"/>
      <w:bookmarkEnd w:id="1379"/>
    </w:p>
    <w:p w14:paraId="14E068EA">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380" w:name="_Toc12272"/>
      <w:bookmarkStart w:id="1381" w:name="_Toc14162"/>
      <w:bookmarkStart w:id="1382" w:name="_Toc28263"/>
      <w:bookmarkStart w:id="1383" w:name="_Toc27426"/>
      <w:bookmarkStart w:id="1384" w:name="_Toc27280"/>
      <w:bookmarkStart w:id="1385" w:name="_Toc24276"/>
      <w:bookmarkStart w:id="1386" w:name="_Toc7310"/>
      <w:bookmarkStart w:id="1387" w:name="_Toc22965"/>
      <w:bookmarkStart w:id="1388" w:name="_Toc32701"/>
      <w:bookmarkStart w:id="1389" w:name="_Toc30721"/>
      <w:bookmarkStart w:id="1390" w:name="_Toc22135"/>
      <w:r>
        <w:rPr>
          <w:bCs/>
          <w:color w:val="000000" w:themeColor="text1"/>
          <w:sz w:val="28"/>
          <w:szCs w:val="32"/>
          <w14:textFill>
            <w14:solidFill>
              <w14:schemeClr w14:val="tx1"/>
            </w14:solidFill>
          </w14:textFill>
        </w:rPr>
        <w:t>9.4.1电磁环境影响</w:t>
      </w:r>
      <w:bookmarkEnd w:id="1380"/>
      <w:bookmarkEnd w:id="1381"/>
      <w:bookmarkEnd w:id="1382"/>
      <w:bookmarkEnd w:id="1383"/>
      <w:bookmarkEnd w:id="1384"/>
      <w:bookmarkEnd w:id="1385"/>
      <w:bookmarkEnd w:id="1386"/>
      <w:bookmarkEnd w:id="1387"/>
      <w:bookmarkEnd w:id="1388"/>
      <w:bookmarkEnd w:id="1389"/>
      <w:bookmarkEnd w:id="1390"/>
    </w:p>
    <w:p w14:paraId="0025A0F1">
      <w:pPr>
        <w:ind w:firstLine="480"/>
        <w:rPr>
          <w:color w:val="000000" w:themeColor="text1"/>
          <w14:textFill>
            <w14:solidFill>
              <w14:schemeClr w14:val="tx1"/>
            </w14:solidFill>
          </w14:textFill>
        </w:rPr>
      </w:pPr>
      <w:r>
        <w:rPr>
          <w:color w:val="000000" w:themeColor="text1"/>
          <w14:textFill>
            <w14:solidFill>
              <w14:schemeClr w14:val="tx1"/>
            </w14:solidFill>
          </w14:textFill>
        </w:rPr>
        <w:t>（1）单回线路</w:t>
      </w:r>
    </w:p>
    <w:p w14:paraId="3E9BFF6A">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当线路经过非居民区将最低线高抬升至</w:t>
      </w:r>
      <w:r>
        <w:rPr>
          <w:rFonts w:hint="eastAsia"/>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7.1</w:t>
      </w:r>
      <w:r>
        <w:rPr>
          <w:color w:val="000000" w:themeColor="text1"/>
          <w14:textFill>
            <w14:solidFill>
              <w14:schemeClr w14:val="tx1"/>
            </w14:solidFill>
          </w14:textFill>
        </w:rPr>
        <w:t>m，工频电场强度、磁感应强度符合《电磁环境控制限值》（GB8702-2014）中≤10kV/m</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≤100μT控制限值。</w:t>
      </w:r>
    </w:p>
    <w:p w14:paraId="01A25264">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当线路经过居民区将最低线高抬升至</w:t>
      </w:r>
      <w:r>
        <w:rPr>
          <w:rFonts w:hint="eastAsia"/>
          <w:color w:val="000000" w:themeColor="text1"/>
          <w:lang w:val="en-US" w:eastAsia="zh-CN"/>
          <w14:textFill>
            <w14:solidFill>
              <w14:schemeClr w14:val="tx1"/>
            </w14:solidFill>
          </w14:textFill>
        </w:rPr>
        <w:t>30.6</w:t>
      </w:r>
      <w:r>
        <w:rPr>
          <w:color w:val="000000" w:themeColor="text1"/>
          <w14:textFill>
            <w14:solidFill>
              <w14:schemeClr w14:val="tx1"/>
            </w14:solidFill>
          </w14:textFill>
        </w:rPr>
        <w:t>m，工频电场强度、磁感应强度符合《电磁环境控制限值》（GB8702-2014）中≤4kV/m、≤100μT公众曝露控制限值。</w:t>
      </w:r>
    </w:p>
    <w:p w14:paraId="4B3F6FC3">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并行</w:t>
      </w:r>
      <w:r>
        <w:rPr>
          <w:color w:val="000000" w:themeColor="text1"/>
          <w14:textFill>
            <w14:solidFill>
              <w14:schemeClr w14:val="tx1"/>
            </w14:solidFill>
          </w14:textFill>
        </w:rPr>
        <w:t>单回线路</w:t>
      </w:r>
    </w:p>
    <w:p w14:paraId="5BAF76D6">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当线路经过非居民区将最低线高抬升至</w:t>
      </w:r>
      <w:r>
        <w:rPr>
          <w:rFonts w:hint="eastAsia"/>
          <w:color w:val="000000" w:themeColor="text1"/>
          <w:lang w:val="en-US" w:eastAsia="zh-CN"/>
          <w14:textFill>
            <w14:solidFill>
              <w14:schemeClr w14:val="tx1"/>
            </w14:solidFill>
          </w14:textFill>
        </w:rPr>
        <w:t>17.2</w:t>
      </w:r>
      <w:r>
        <w:rPr>
          <w:color w:val="000000" w:themeColor="text1"/>
          <w14:textFill>
            <w14:solidFill>
              <w14:schemeClr w14:val="tx1"/>
            </w14:solidFill>
          </w14:textFill>
        </w:rPr>
        <w:t>m，工频电场强度、磁感应强度符合《电磁环境控制限值》（GB8702-2014）中≤10kV/m</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≤100μT控制限值。</w:t>
      </w:r>
    </w:p>
    <w:p w14:paraId="756EE3BA">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当线路经过居民区将最低线高抬升至3</w:t>
      </w:r>
      <w:r>
        <w:rPr>
          <w:rFonts w:hint="eastAsia"/>
          <w:color w:val="000000" w:themeColor="text1"/>
          <w:lang w:val="en-US" w:eastAsia="zh-CN"/>
          <w14:textFill>
            <w14:solidFill>
              <w14:schemeClr w14:val="tx1"/>
            </w14:solidFill>
          </w14:textFill>
        </w:rPr>
        <w:t>0.9</w:t>
      </w:r>
      <w:r>
        <w:rPr>
          <w:color w:val="000000" w:themeColor="text1"/>
          <w14:textFill>
            <w14:solidFill>
              <w14:schemeClr w14:val="tx1"/>
            </w14:solidFill>
          </w14:textFill>
        </w:rPr>
        <w:t>m，工频电场强度、磁感应强度符合《电磁环境控制限值》（GB8702-2014）中≤4kV/m、≤100μT公众曝露控制限值。</w:t>
      </w:r>
    </w:p>
    <w:p w14:paraId="3A235DAB">
      <w:pPr>
        <w:ind w:firstLine="480"/>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）同塔双回线路</w:t>
      </w:r>
    </w:p>
    <w:p w14:paraId="79CD2FC6">
      <w:pPr>
        <w:ind w:firstLine="480"/>
        <w:rPr>
          <w:color w:val="000000" w:themeColor="text1"/>
          <w14:textFill>
            <w14:solidFill>
              <w14:schemeClr w14:val="tx1"/>
            </w14:solidFill>
          </w14:textFill>
        </w:rPr>
      </w:pPr>
      <w:r>
        <w:rPr>
          <w:color w:val="000000" w:themeColor="text1"/>
          <w14:textFill>
            <w14:solidFill>
              <w14:schemeClr w14:val="tx1"/>
            </w14:solidFill>
          </w14:textFill>
        </w:rPr>
        <w:t>当线路经过非居民区将最低线高抬升至16.</w:t>
      </w:r>
      <w:r>
        <w:rPr>
          <w:rFonts w:hint="eastAsia"/>
          <w:color w:val="000000" w:themeColor="text1"/>
          <w:lang w:val="en-US" w:eastAsia="zh-CN"/>
          <w14:textFill>
            <w14:solidFill>
              <w14:schemeClr w14:val="tx1"/>
            </w14:solidFill>
          </w14:textFill>
        </w:rPr>
        <w:t>5</w:t>
      </w:r>
      <w:r>
        <w:rPr>
          <w:color w:val="000000" w:themeColor="text1"/>
          <w14:textFill>
            <w14:solidFill>
              <w14:schemeClr w14:val="tx1"/>
            </w14:solidFill>
          </w14:textFill>
        </w:rPr>
        <w:t>m，工频电场强度、磁感应强度符合《电磁环境控制限值》（GB8702-2014）中≤10kV/m</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≤100μT控制限值。</w:t>
      </w:r>
    </w:p>
    <w:p w14:paraId="4FAECA25">
      <w:pPr>
        <w:widowControl/>
        <w:ind w:firstLine="480"/>
        <w:jc w:val="left"/>
        <w:rPr>
          <w:bCs/>
          <w:snapToGrid w:val="0"/>
          <w:color w:val="000000" w:themeColor="text1"/>
          <w14:textFill>
            <w14:solidFill>
              <w14:schemeClr w14:val="tx1"/>
            </w14:solidFill>
          </w14:textFill>
        </w:rPr>
      </w:pPr>
      <w:r>
        <w:rPr>
          <w:color w:val="000000" w:themeColor="text1"/>
          <w14:textFill>
            <w14:solidFill>
              <w14:schemeClr w14:val="tx1"/>
            </w14:solidFill>
          </w14:textFill>
        </w:rPr>
        <w:t>当线路经过居民区将最低线高抬升至3</w:t>
      </w:r>
      <w:r>
        <w:rPr>
          <w:rFonts w:hint="eastAsia"/>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m，工频电场强度、磁感应强度符合《电磁环境控制限值》（GB8702-2014）中≤4kV/m、≤100μT公众曝露控制限值。</w:t>
      </w:r>
    </w:p>
    <w:p w14:paraId="7F8DDA29">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391" w:name="_Toc14368"/>
      <w:bookmarkStart w:id="1392" w:name="_Toc28635"/>
      <w:bookmarkStart w:id="1393" w:name="_Toc14677"/>
      <w:bookmarkStart w:id="1394" w:name="_Toc30870"/>
      <w:bookmarkStart w:id="1395" w:name="_Toc25979"/>
      <w:bookmarkStart w:id="1396" w:name="_Toc22430"/>
      <w:bookmarkStart w:id="1397" w:name="_Toc1701"/>
      <w:bookmarkStart w:id="1398" w:name="_Toc25565"/>
      <w:bookmarkStart w:id="1399" w:name="_Toc25533"/>
      <w:bookmarkStart w:id="1400" w:name="_Toc24908"/>
      <w:bookmarkStart w:id="1401" w:name="_Toc22478"/>
      <w:r>
        <w:rPr>
          <w:bCs/>
          <w:color w:val="000000" w:themeColor="text1"/>
          <w:sz w:val="28"/>
          <w:szCs w:val="32"/>
          <w14:textFill>
            <w14:solidFill>
              <w14:schemeClr w14:val="tx1"/>
            </w14:solidFill>
          </w14:textFill>
        </w:rPr>
        <w:t>9.4.2声环境影响</w:t>
      </w:r>
      <w:bookmarkEnd w:id="1391"/>
      <w:bookmarkEnd w:id="1392"/>
      <w:bookmarkEnd w:id="1393"/>
      <w:bookmarkEnd w:id="1394"/>
      <w:bookmarkEnd w:id="1395"/>
      <w:bookmarkEnd w:id="1396"/>
      <w:bookmarkEnd w:id="1397"/>
      <w:bookmarkEnd w:id="1398"/>
      <w:bookmarkEnd w:id="1399"/>
      <w:bookmarkEnd w:id="1400"/>
      <w:bookmarkEnd w:id="1401"/>
    </w:p>
    <w:p w14:paraId="7FF7463C">
      <w:pPr>
        <w:widowControl/>
        <w:ind w:firstLine="48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lang w:bidi="ar"/>
          <w14:textFill>
            <w14:solidFill>
              <w14:schemeClr w14:val="tx1"/>
            </w14:solidFill>
          </w14:textFill>
        </w:rPr>
        <w:t>本工程750kV输电线路建成运行后产生的噪声贡献值对线路沿线的声环境影响较小，</w:t>
      </w:r>
      <w:r>
        <w:rPr>
          <w:rFonts w:hint="eastAsia" w:ascii="宋体" w:hAnsi="宋体" w:cs="宋体"/>
          <w:color w:val="000000" w:themeColor="text1"/>
          <w:kern w:val="0"/>
          <w:lang w:bidi="ar"/>
          <w14:textFill>
            <w14:solidFill>
              <w14:schemeClr w14:val="tx1"/>
            </w14:solidFill>
          </w14:textFill>
        </w:rPr>
        <w:t>线路运行后能够满足本工程线路区域</w:t>
      </w:r>
      <w:r>
        <w:rPr>
          <w:rFonts w:hint="eastAsia" w:ascii="宋体" w:hAnsi="宋体" w:cs="宋体"/>
          <w:color w:val="000000" w:themeColor="text1"/>
          <w:kern w:val="0"/>
          <w:lang w:val="en-US" w:eastAsia="zh-CN" w:bidi="ar"/>
          <w14:textFill>
            <w14:solidFill>
              <w14:schemeClr w14:val="tx1"/>
            </w14:solidFill>
          </w14:textFill>
        </w:rPr>
        <w:t>相应的</w:t>
      </w:r>
      <w:r>
        <w:rPr>
          <w:rFonts w:hint="eastAsia" w:ascii="宋体" w:hAnsi="宋体" w:cs="宋体"/>
          <w:color w:val="000000" w:themeColor="text1"/>
          <w:kern w:val="0"/>
          <w:lang w:bidi="ar"/>
          <w14:textFill>
            <w14:solidFill>
              <w14:schemeClr w14:val="tx1"/>
            </w14:solidFill>
          </w14:textFill>
        </w:rPr>
        <w:t>声环境评价标准要求。</w:t>
      </w:r>
    </w:p>
    <w:p w14:paraId="4C4E6900">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402" w:name="_Toc13782"/>
      <w:bookmarkStart w:id="1403" w:name="_Toc20677"/>
      <w:bookmarkStart w:id="1404" w:name="_Toc11745"/>
      <w:bookmarkStart w:id="1405" w:name="_Toc21452"/>
      <w:bookmarkStart w:id="1406" w:name="_Toc16550"/>
      <w:bookmarkStart w:id="1407" w:name="_Toc26689"/>
      <w:bookmarkStart w:id="1408" w:name="_Toc6744"/>
      <w:bookmarkStart w:id="1409" w:name="_Toc14848"/>
      <w:bookmarkStart w:id="1410" w:name="_Toc12524"/>
      <w:bookmarkStart w:id="1411" w:name="_Toc21878"/>
      <w:bookmarkStart w:id="1412" w:name="_Toc13046"/>
      <w:bookmarkStart w:id="1413" w:name="_Toc432167075"/>
      <w:bookmarkStart w:id="1414" w:name="_Toc432141397"/>
      <w:bookmarkStart w:id="1415" w:name="_Toc23081"/>
      <w:bookmarkStart w:id="1416" w:name="_Toc26853"/>
      <w:r>
        <w:rPr>
          <w:bCs/>
          <w:color w:val="000000" w:themeColor="text1"/>
          <w:sz w:val="28"/>
          <w:szCs w:val="32"/>
          <w14:textFill>
            <w14:solidFill>
              <w14:schemeClr w14:val="tx1"/>
            </w14:solidFill>
          </w14:textFill>
        </w:rPr>
        <w:t>9.4.3地表水环境影响</w:t>
      </w:r>
      <w:bookmarkEnd w:id="1402"/>
      <w:bookmarkEnd w:id="1403"/>
      <w:bookmarkEnd w:id="1404"/>
      <w:bookmarkEnd w:id="1405"/>
      <w:bookmarkEnd w:id="1406"/>
      <w:bookmarkEnd w:id="1407"/>
      <w:bookmarkEnd w:id="1408"/>
      <w:bookmarkEnd w:id="1409"/>
      <w:bookmarkEnd w:id="1410"/>
      <w:bookmarkEnd w:id="1411"/>
      <w:bookmarkEnd w:id="1412"/>
    </w:p>
    <w:p w14:paraId="771F12EB">
      <w:pPr>
        <w:autoSpaceDE w:val="0"/>
        <w:autoSpaceDN w:val="0"/>
        <w:adjustRightInd w:val="0"/>
        <w:ind w:firstLine="480"/>
        <w:rPr>
          <w:color w:val="000000" w:themeColor="text1"/>
          <w:lang w:val="zh-CN"/>
          <w14:textFill>
            <w14:solidFill>
              <w14:schemeClr w14:val="tx1"/>
            </w14:solidFill>
          </w14:textFill>
        </w:rPr>
      </w:pPr>
      <w:r>
        <w:rPr>
          <w:color w:val="000000" w:themeColor="text1"/>
          <w14:textFill>
            <w14:solidFill>
              <w14:schemeClr w14:val="tx1"/>
            </w14:solidFill>
          </w14:textFill>
        </w:rPr>
        <w:t>运营期期无废污水产生，故本项目输电线路运营期对水环境无影响。</w:t>
      </w:r>
    </w:p>
    <w:p w14:paraId="7E25AD1D">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417" w:name="_Toc21639"/>
      <w:bookmarkStart w:id="1418" w:name="_Toc25584"/>
      <w:bookmarkStart w:id="1419" w:name="_Toc3087"/>
      <w:bookmarkStart w:id="1420" w:name="_Toc7775"/>
      <w:bookmarkStart w:id="1421" w:name="_Toc25781"/>
      <w:bookmarkStart w:id="1422" w:name="_Toc25892"/>
      <w:bookmarkStart w:id="1423" w:name="_Toc19357"/>
      <w:bookmarkStart w:id="1424" w:name="_Toc12301"/>
      <w:bookmarkStart w:id="1425" w:name="_Toc869"/>
      <w:bookmarkStart w:id="1426" w:name="_Toc20033"/>
      <w:bookmarkStart w:id="1427" w:name="_Toc32456"/>
      <w:r>
        <w:rPr>
          <w:bCs/>
          <w:color w:val="000000" w:themeColor="text1"/>
          <w:sz w:val="28"/>
          <w:szCs w:val="32"/>
          <w14:textFill>
            <w14:solidFill>
              <w14:schemeClr w14:val="tx1"/>
            </w14:solidFill>
          </w14:textFill>
        </w:rPr>
        <w:t>9.4.4固体废物环境影响</w:t>
      </w:r>
      <w:bookmarkEnd w:id="1417"/>
      <w:bookmarkEnd w:id="1418"/>
      <w:bookmarkEnd w:id="1419"/>
      <w:bookmarkEnd w:id="1420"/>
      <w:bookmarkEnd w:id="1421"/>
      <w:bookmarkEnd w:id="1422"/>
      <w:bookmarkEnd w:id="1423"/>
      <w:bookmarkEnd w:id="1424"/>
      <w:bookmarkEnd w:id="1425"/>
      <w:bookmarkEnd w:id="1426"/>
      <w:bookmarkEnd w:id="1427"/>
    </w:p>
    <w:p w14:paraId="066F3989">
      <w:pPr>
        <w:widowControl/>
        <w:ind w:firstLine="480"/>
        <w:jc w:val="left"/>
        <w:rPr>
          <w:bCs/>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输电线路</w:t>
      </w:r>
      <w:r>
        <w:rPr>
          <w:rFonts w:hint="eastAsia" w:ascii="宋体" w:hAnsi="宋体" w:cs="宋体"/>
          <w:color w:val="000000" w:themeColor="text1"/>
          <w:kern w:val="0"/>
          <w:lang w:val="en-US" w:eastAsia="zh-CN" w:bidi="ar"/>
          <w14:textFill>
            <w14:solidFill>
              <w14:schemeClr w14:val="tx1"/>
            </w14:solidFill>
          </w14:textFill>
        </w:rPr>
        <w:t>正常</w:t>
      </w:r>
      <w:r>
        <w:rPr>
          <w:rFonts w:hint="eastAsia" w:ascii="宋体" w:hAnsi="宋体" w:cs="宋体"/>
          <w:color w:val="000000" w:themeColor="text1"/>
          <w:kern w:val="0"/>
          <w:lang w:bidi="ar"/>
          <w14:textFill>
            <w14:solidFill>
              <w14:schemeClr w14:val="tx1"/>
            </w14:solidFill>
          </w14:textFill>
        </w:rPr>
        <w:t>运行期</w:t>
      </w:r>
      <w:r>
        <w:rPr>
          <w:rFonts w:hint="eastAsia" w:ascii="宋体" w:hAnsi="宋体" w:cs="宋体"/>
          <w:color w:val="000000" w:themeColor="text1"/>
          <w:kern w:val="0"/>
          <w:lang w:val="en-US" w:eastAsia="zh-CN" w:bidi="ar"/>
          <w14:textFill>
            <w14:solidFill>
              <w14:schemeClr w14:val="tx1"/>
            </w14:solidFill>
          </w14:textFill>
        </w:rPr>
        <w:t>无</w:t>
      </w:r>
      <w:r>
        <w:rPr>
          <w:rFonts w:hint="eastAsia" w:ascii="宋体" w:hAnsi="宋体" w:cs="宋体"/>
          <w:color w:val="000000" w:themeColor="text1"/>
          <w:kern w:val="0"/>
          <w:lang w:bidi="ar"/>
          <w14:textFill>
            <w14:solidFill>
              <w14:schemeClr w14:val="tx1"/>
            </w14:solidFill>
          </w14:textFill>
        </w:rPr>
        <w:t>一般固体废物产生，检修期间产生的废旧材料进行回收再利用。</w:t>
      </w:r>
    </w:p>
    <w:p w14:paraId="73FEE3F4">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428" w:name="_Toc256"/>
      <w:bookmarkStart w:id="1429" w:name="_Toc8866"/>
      <w:bookmarkStart w:id="1430" w:name="_Toc2833"/>
      <w:bookmarkStart w:id="1431" w:name="_Toc24871"/>
      <w:bookmarkStart w:id="1432" w:name="_Toc12796"/>
      <w:bookmarkStart w:id="1433" w:name="_Toc7783"/>
      <w:bookmarkStart w:id="1434" w:name="_Toc24825"/>
      <w:bookmarkStart w:id="1435" w:name="_Toc13147"/>
      <w:bookmarkStart w:id="1436" w:name="_Toc13981"/>
      <w:bookmarkStart w:id="1437" w:name="_Toc28160"/>
      <w:bookmarkStart w:id="1438" w:name="_Toc3663"/>
      <w:r>
        <w:rPr>
          <w:bCs/>
          <w:color w:val="000000" w:themeColor="text1"/>
          <w:sz w:val="28"/>
          <w:szCs w:val="32"/>
          <w14:textFill>
            <w14:solidFill>
              <w14:schemeClr w14:val="tx1"/>
            </w14:solidFill>
          </w14:textFill>
        </w:rPr>
        <w:t>9.4.5生态环境影响</w:t>
      </w:r>
      <w:bookmarkEnd w:id="1428"/>
      <w:bookmarkEnd w:id="1429"/>
      <w:bookmarkEnd w:id="1430"/>
      <w:bookmarkEnd w:id="1431"/>
      <w:bookmarkEnd w:id="1432"/>
      <w:bookmarkEnd w:id="1433"/>
      <w:bookmarkEnd w:id="1434"/>
      <w:bookmarkEnd w:id="1435"/>
      <w:bookmarkEnd w:id="1436"/>
      <w:bookmarkEnd w:id="1437"/>
      <w:bookmarkEnd w:id="1438"/>
    </w:p>
    <w:p w14:paraId="147C07C5">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本项目永久占地共</w:t>
      </w:r>
      <w:r>
        <w:rPr>
          <w:rFonts w:hint="eastAsia"/>
          <w:color w:val="000000" w:themeColor="text1"/>
          <w:kern w:val="0"/>
          <w:highlight w:val="none"/>
          <w:lang w:eastAsia="zh-CN" w:bidi="ar"/>
          <w14:textFill>
            <w14:solidFill>
              <w14:schemeClr w14:val="tx1"/>
            </w14:solidFill>
          </w14:textFill>
        </w:rPr>
        <w:t>26040</w:t>
      </w:r>
      <w:r>
        <w:rPr>
          <w:color w:val="000000" w:themeColor="text1"/>
          <w:kern w:val="0"/>
          <w:highlight w:val="none"/>
          <w:lang w:bidi="ar"/>
          <w14:textFill>
            <w14:solidFill>
              <w14:schemeClr w14:val="tx1"/>
            </w14:solidFill>
          </w14:textFill>
        </w:rPr>
        <w:t>m</w:t>
      </w:r>
      <w:r>
        <w:rPr>
          <w:rFonts w:hint="eastAsia"/>
          <w:color w:val="000000" w:themeColor="text1"/>
          <w:kern w:val="0"/>
          <w:highlight w:val="none"/>
          <w:vertAlign w:val="superscript"/>
          <w:lang w:bidi="ar"/>
          <w14:textFill>
            <w14:solidFill>
              <w14:schemeClr w14:val="tx1"/>
            </w14:solidFill>
          </w14:textFill>
        </w:rPr>
        <w:t>2</w:t>
      </w:r>
      <w:r>
        <w:rPr>
          <w:rFonts w:hint="eastAsia" w:ascii="宋体" w:hAnsi="宋体" w:cs="宋体"/>
          <w:color w:val="000000" w:themeColor="text1"/>
          <w:kern w:val="0"/>
          <w:highlight w:val="none"/>
          <w:lang w:bidi="ar"/>
          <w14:textFill>
            <w14:solidFill>
              <w14:schemeClr w14:val="tx1"/>
            </w14:solidFill>
          </w14:textFill>
        </w:rPr>
        <w:t>，施工临时占地</w:t>
      </w:r>
      <w:r>
        <w:rPr>
          <w:rFonts w:hint="eastAsia"/>
          <w:color w:val="000000" w:themeColor="text1"/>
          <w:kern w:val="0"/>
          <w:highlight w:val="none"/>
          <w:lang w:eastAsia="zh-CN" w:bidi="ar"/>
          <w14:textFill>
            <w14:solidFill>
              <w14:schemeClr w14:val="tx1"/>
            </w14:solidFill>
          </w14:textFill>
        </w:rPr>
        <w:t>334960</w:t>
      </w:r>
      <w:r>
        <w:rPr>
          <w:color w:val="000000" w:themeColor="text1"/>
          <w:kern w:val="0"/>
          <w:highlight w:val="none"/>
          <w:lang w:bidi="ar"/>
          <w14:textFill>
            <w14:solidFill>
              <w14:schemeClr w14:val="tx1"/>
            </w14:solidFill>
          </w14:textFill>
        </w:rPr>
        <w:t>m</w:t>
      </w:r>
      <w:r>
        <w:rPr>
          <w:rFonts w:hint="eastAsia"/>
          <w:color w:val="000000" w:themeColor="text1"/>
          <w:kern w:val="0"/>
          <w:highlight w:val="none"/>
          <w:vertAlign w:val="superscript"/>
          <w:lang w:bidi="ar"/>
          <w14:textFill>
            <w14:solidFill>
              <w14:schemeClr w14:val="tx1"/>
            </w14:solidFill>
          </w14:textFill>
        </w:rPr>
        <w:t>2</w:t>
      </w:r>
      <w:r>
        <w:rPr>
          <w:rFonts w:hint="eastAsia" w:ascii="宋体" w:hAnsi="宋体" w:cs="宋体"/>
          <w:color w:val="000000" w:themeColor="text1"/>
          <w:kern w:val="0"/>
          <w:highlight w:val="none"/>
          <w:lang w:bidi="ar"/>
          <w14:textFill>
            <w14:solidFill>
              <w14:schemeClr w14:val="tx1"/>
            </w14:solidFill>
          </w14:textFill>
        </w:rPr>
        <w:t>，</w:t>
      </w:r>
      <w:r>
        <w:rPr>
          <w:rFonts w:hint="eastAsia" w:ascii="宋体" w:hAnsi="宋体" w:cs="宋体"/>
          <w:color w:val="000000" w:themeColor="text1"/>
          <w:kern w:val="0"/>
          <w:lang w:bidi="ar"/>
          <w14:textFill>
            <w14:solidFill>
              <w14:schemeClr w14:val="tx1"/>
            </w14:solidFill>
          </w14:textFill>
        </w:rPr>
        <w:t>占地将导致植被的损失，造成植被的破坏，但这些植物均为常见的种类。同时占地将动物生境的扰动，造成部分动物生境的损失，影响保护区部分动植物的正常生活和生长。</w:t>
      </w:r>
    </w:p>
    <w:p w14:paraId="7542DB6B">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工程建设对评价区陆生植物的影响主要来源于施工期工程占地、施工扰动等因素。工程占地主要为其他草地及</w:t>
      </w:r>
      <w:r>
        <w:rPr>
          <w:rFonts w:hint="eastAsia" w:ascii="宋体" w:hAnsi="宋体" w:cs="宋体"/>
          <w:color w:val="000000" w:themeColor="text1"/>
          <w:kern w:val="0"/>
          <w:lang w:val="en-US" w:eastAsia="zh-CN" w:bidi="ar"/>
          <w14:textFill>
            <w14:solidFill>
              <w14:schemeClr w14:val="tx1"/>
            </w14:solidFill>
          </w14:textFill>
        </w:rPr>
        <w:t>裸地</w:t>
      </w:r>
      <w:r>
        <w:rPr>
          <w:rFonts w:hint="eastAsia" w:ascii="宋体" w:hAnsi="宋体" w:cs="宋体"/>
          <w:color w:val="000000" w:themeColor="text1"/>
          <w:kern w:val="0"/>
          <w:lang w:bidi="ar"/>
          <w14:textFill>
            <w14:solidFill>
              <w14:schemeClr w14:val="tx1"/>
            </w14:solidFill>
          </w14:textFill>
        </w:rPr>
        <w:t>，占地面积小，在有效地实施保护措施后，工程对植物多样性的影响较小。工程建设对工程影响区动物的影响主要表现在两方面：一方面，工程占地、施工机械和施工人员活动直接侵占工程影响区野生动物生境或对其个体造成直接伤害；另一方面，工程施工将对生态环境造成一定程度的污染，从而间接地影响到该区域野生动物的栖息。工程局部建设时间较短，且工程周围有相似生境较多，在采取相关保护措施后，严格控制工程施工和运营期的影响范围，工程对动物的影响可以控制在比较低的水平。本工程的建设对评价区自然系统生物量影响较小，对评价区自然生态系统的恢复稳定性、异质性和阻抗稳定性几乎不产生影响。</w:t>
      </w:r>
    </w:p>
    <w:p w14:paraId="20E88352">
      <w:pPr>
        <w:widowControl/>
        <w:ind w:firstLine="480"/>
        <w:jc w:val="left"/>
        <w:rPr>
          <w:bCs/>
          <w:snapToGrid w:val="0"/>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本工程属于国家基础设施，输电线路不属于污染环境、破坏资源或者景观的生产设施，也不会排放污染物。在施工和运行过程中将采取积极有效的生态影响防护措施，从生态环境影响角度而言，本工程是可行的。</w:t>
      </w:r>
    </w:p>
    <w:bookmarkEnd w:id="1413"/>
    <w:bookmarkEnd w:id="1414"/>
    <w:bookmarkEnd w:id="1415"/>
    <w:bookmarkEnd w:id="1416"/>
    <w:p w14:paraId="1302A68D">
      <w:pPr>
        <w:pStyle w:val="3"/>
        <w:keepNext/>
        <w:keepLines/>
        <w:tabs>
          <w:tab w:val="clear" w:pos="420"/>
          <w:tab w:val="clear" w:pos="907"/>
          <w:tab w:val="clear" w:pos="1267"/>
        </w:tabs>
        <w:adjustRightInd/>
        <w:spacing w:before="156" w:beforeLines="50" w:after="156" w:afterLines="50"/>
        <w:rPr>
          <w:color w:val="000000" w:themeColor="text1"/>
          <w:sz w:val="28"/>
          <w:szCs w:val="32"/>
          <w14:textFill>
            <w14:solidFill>
              <w14:schemeClr w14:val="tx1"/>
            </w14:solidFill>
          </w14:textFill>
        </w:rPr>
      </w:pPr>
      <w:bookmarkStart w:id="1439" w:name="_Toc22163"/>
      <w:bookmarkStart w:id="1440" w:name="_Toc1625"/>
      <w:bookmarkStart w:id="1441" w:name="_Toc24462"/>
      <w:bookmarkStart w:id="1442" w:name="_Toc16428"/>
      <w:bookmarkStart w:id="1443" w:name="_Toc28817"/>
      <w:bookmarkStart w:id="1444" w:name="_Toc9932"/>
      <w:bookmarkStart w:id="1445" w:name="_Toc30772"/>
      <w:bookmarkStart w:id="1446" w:name="_Toc5878"/>
      <w:bookmarkStart w:id="1447" w:name="_Toc21809"/>
      <w:bookmarkStart w:id="1448" w:name="_Toc370"/>
      <w:bookmarkStart w:id="1449" w:name="_Toc1195"/>
      <w:r>
        <w:rPr>
          <w:color w:val="000000" w:themeColor="text1"/>
          <w:sz w:val="28"/>
          <w:szCs w:val="32"/>
          <w14:textFill>
            <w14:solidFill>
              <w14:schemeClr w14:val="tx1"/>
            </w14:solidFill>
          </w14:textFill>
        </w:rPr>
        <w:t>9.5环境保护措施</w:t>
      </w:r>
      <w:bookmarkEnd w:id="1439"/>
      <w:bookmarkEnd w:id="1440"/>
      <w:bookmarkEnd w:id="1441"/>
      <w:bookmarkEnd w:id="1442"/>
      <w:bookmarkEnd w:id="1443"/>
      <w:bookmarkEnd w:id="1444"/>
      <w:bookmarkEnd w:id="1445"/>
      <w:bookmarkEnd w:id="1446"/>
      <w:bookmarkEnd w:id="1447"/>
      <w:bookmarkEnd w:id="1448"/>
      <w:bookmarkEnd w:id="1449"/>
    </w:p>
    <w:p w14:paraId="67BC26D1">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450" w:name="_Toc13061"/>
      <w:bookmarkStart w:id="1451" w:name="_Toc28362"/>
      <w:bookmarkStart w:id="1452" w:name="_Toc16183"/>
      <w:bookmarkStart w:id="1453" w:name="_Toc13698"/>
      <w:bookmarkStart w:id="1454" w:name="_Toc779"/>
      <w:bookmarkStart w:id="1455" w:name="_Toc18855"/>
      <w:bookmarkStart w:id="1456" w:name="_Toc26974"/>
      <w:bookmarkStart w:id="1457" w:name="_Toc26963"/>
      <w:bookmarkStart w:id="1458" w:name="_Toc27"/>
      <w:bookmarkStart w:id="1459" w:name="_Toc26113"/>
      <w:r>
        <w:rPr>
          <w:bCs/>
          <w:color w:val="000000" w:themeColor="text1"/>
          <w:sz w:val="28"/>
          <w:szCs w:val="32"/>
          <w14:textFill>
            <w14:solidFill>
              <w14:schemeClr w14:val="tx1"/>
            </w14:solidFill>
          </w14:textFill>
        </w:rPr>
        <w:t>9.5.1设计阶段环境保护措施</w:t>
      </w:r>
      <w:bookmarkEnd w:id="1450"/>
      <w:bookmarkEnd w:id="1451"/>
      <w:bookmarkEnd w:id="1452"/>
      <w:bookmarkEnd w:id="1453"/>
      <w:bookmarkEnd w:id="1454"/>
      <w:bookmarkEnd w:id="1455"/>
      <w:bookmarkEnd w:id="1456"/>
      <w:bookmarkEnd w:id="1457"/>
      <w:bookmarkEnd w:id="1458"/>
      <w:bookmarkEnd w:id="1459"/>
    </w:p>
    <w:p w14:paraId="382A1796">
      <w:pPr>
        <w:ind w:firstLine="360" w:firstLineChars="150"/>
        <w:rPr>
          <w:color w:val="000000" w:themeColor="text1"/>
          <w14:textFill>
            <w14:solidFill>
              <w14:schemeClr w14:val="tx1"/>
            </w14:solidFill>
          </w14:textFill>
        </w:rPr>
      </w:pPr>
      <w:bookmarkStart w:id="1460" w:name="_Toc11661"/>
      <w:r>
        <w:rPr>
          <w:rFonts w:hint="eastAsia"/>
          <w:color w:val="000000" w:themeColor="text1"/>
          <w14:textFill>
            <w14:solidFill>
              <w14:schemeClr w14:val="tx1"/>
            </w14:solidFill>
          </w14:textFill>
        </w:rPr>
        <w:t>（1）</w:t>
      </w:r>
      <w:r>
        <w:rPr>
          <w:color w:val="000000" w:themeColor="text1"/>
          <w14:textFill>
            <w14:solidFill>
              <w14:schemeClr w14:val="tx1"/>
            </w14:solidFill>
          </w14:textFill>
        </w:rPr>
        <w:t>电磁环境</w:t>
      </w:r>
      <w:r>
        <w:rPr>
          <w:rFonts w:hint="eastAsia"/>
          <w:color w:val="000000" w:themeColor="text1"/>
          <w14:textFill>
            <w14:solidFill>
              <w14:schemeClr w14:val="tx1"/>
            </w14:solidFill>
          </w14:textFill>
        </w:rPr>
        <w:t>、声环境</w:t>
      </w:r>
      <w:r>
        <w:rPr>
          <w:color w:val="000000" w:themeColor="text1"/>
          <w14:textFill>
            <w14:solidFill>
              <w14:schemeClr w14:val="tx1"/>
            </w14:solidFill>
          </w14:textFill>
        </w:rPr>
        <w:t>保护措施</w:t>
      </w:r>
      <w:bookmarkEnd w:id="1460"/>
    </w:p>
    <w:p w14:paraId="41D7B267">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合理地选择分裂子导线的线径、分裂根数、分裂间距、并合理地控制导线对地的距离，保证线路的电磁环境满足相关规定，减少因电磁场产生的环境问题。线路经过牧草地、畜禽饲养地、道路等场所时，并行单回路导线、同塔双回线路最小对地高度需抬高至</w:t>
      </w:r>
      <w:r>
        <w:rPr>
          <w:rFonts w:hint="eastAsia"/>
          <w:color w:val="000000" w:themeColor="text1"/>
          <w:kern w:val="0"/>
          <w:lang w:val="en-US" w:eastAsia="zh-CN" w:bidi="ar"/>
          <w14:textFill>
            <w14:solidFill>
              <w14:schemeClr w14:val="tx1"/>
            </w14:solidFill>
          </w14:textFill>
        </w:rPr>
        <w:t>17.2</w:t>
      </w:r>
      <w:r>
        <w:rPr>
          <w:color w:val="000000" w:themeColor="text1"/>
          <w:kern w:val="0"/>
          <w:lang w:bidi="ar"/>
          <w14:textFill>
            <w14:solidFill>
              <w14:schemeClr w14:val="tx1"/>
            </w14:solidFill>
          </w14:textFill>
        </w:rPr>
        <w:t>m</w:t>
      </w:r>
      <w:r>
        <w:rPr>
          <w:rFonts w:hint="eastAsia"/>
          <w:color w:val="000000" w:themeColor="text1"/>
          <w:kern w:val="0"/>
          <w:lang w:bidi="ar"/>
          <w14:textFill>
            <w14:solidFill>
              <w14:schemeClr w14:val="tx1"/>
            </w14:solidFill>
          </w14:textFill>
        </w:rPr>
        <w:t>、16.</w:t>
      </w:r>
      <w:r>
        <w:rPr>
          <w:rFonts w:hint="eastAsia"/>
          <w:color w:val="000000" w:themeColor="text1"/>
          <w:kern w:val="0"/>
          <w:lang w:val="en-US" w:eastAsia="zh-CN" w:bidi="ar"/>
          <w14:textFill>
            <w14:solidFill>
              <w14:schemeClr w14:val="tx1"/>
            </w14:solidFill>
          </w14:textFill>
        </w:rPr>
        <w:t>5</w:t>
      </w:r>
      <w:r>
        <w:rPr>
          <w:rFonts w:hint="eastAsia"/>
          <w:color w:val="000000" w:themeColor="text1"/>
          <w:kern w:val="0"/>
          <w:lang w:bidi="ar"/>
          <w14:textFill>
            <w14:solidFill>
              <w14:schemeClr w14:val="tx1"/>
            </w14:solidFill>
          </w14:textFill>
        </w:rPr>
        <w:t>m</w:t>
      </w:r>
      <w:r>
        <w:rPr>
          <w:rFonts w:hint="eastAsia" w:ascii="宋体" w:hAnsi="宋体" w:cs="宋体"/>
          <w:color w:val="000000" w:themeColor="text1"/>
          <w:kern w:val="0"/>
          <w:lang w:bidi="ar"/>
          <w14:textFill>
            <w14:solidFill>
              <w14:schemeClr w14:val="tx1"/>
            </w14:solidFill>
          </w14:textFill>
        </w:rPr>
        <w:t>；后期根据具体塔型进一步优化线路对地高度，确保线路评价范围内敏感点满足</w:t>
      </w:r>
      <w:r>
        <w:rPr>
          <w:color w:val="000000" w:themeColor="text1"/>
          <w:kern w:val="0"/>
          <w:lang w:bidi="ar"/>
          <w14:textFill>
            <w14:solidFill>
              <w14:schemeClr w14:val="tx1"/>
            </w14:solidFill>
          </w14:textFill>
        </w:rPr>
        <w:t>4000V/m</w:t>
      </w:r>
      <w:r>
        <w:rPr>
          <w:rFonts w:hint="eastAsia" w:ascii="宋体" w:hAnsi="宋体" w:cs="宋体"/>
          <w:color w:val="000000" w:themeColor="text1"/>
          <w:kern w:val="0"/>
          <w:lang w:bidi="ar"/>
          <w14:textFill>
            <w14:solidFill>
              <w14:schemeClr w14:val="tx1"/>
            </w14:solidFill>
          </w14:textFill>
        </w:rPr>
        <w:t>工频电场强度要求。</w:t>
      </w:r>
    </w:p>
    <w:p w14:paraId="0AE3FC40">
      <w:pPr>
        <w:ind w:firstLine="360" w:firstLineChars="150"/>
        <w:rPr>
          <w:color w:val="000000" w:themeColor="text1"/>
          <w14:textFill>
            <w14:solidFill>
              <w14:schemeClr w14:val="tx1"/>
            </w14:solidFill>
          </w14:textFill>
        </w:rPr>
      </w:pPr>
      <w:bookmarkStart w:id="1461" w:name="_Toc28064"/>
      <w:r>
        <w:rPr>
          <w:rFonts w:hint="eastAsia"/>
          <w:bCs/>
          <w:color w:val="000000" w:themeColor="text1"/>
          <w14:textFill>
            <w14:solidFill>
              <w14:schemeClr w14:val="tx1"/>
            </w14:solidFill>
          </w14:textFill>
        </w:rPr>
        <w:t>（2）</w:t>
      </w:r>
      <w:r>
        <w:rPr>
          <w:color w:val="000000" w:themeColor="text1"/>
          <w14:textFill>
            <w14:solidFill>
              <w14:schemeClr w14:val="tx1"/>
            </w14:solidFill>
          </w14:textFill>
        </w:rPr>
        <w:t>其他保护措施</w:t>
      </w:r>
      <w:bookmarkEnd w:id="1461"/>
    </w:p>
    <w:p w14:paraId="6750ED21">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①设计时，应继续优化线路路径及塔位，尽量选择植被稀疏处及生态价值较低的土地立塔，最大限度减轻植被破坏，降低生态影响。</w:t>
      </w:r>
    </w:p>
    <w:p w14:paraId="26A5E893">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②进一步优化塔型及基础设计，减少线路走廊宽度，减少永久占地。</w:t>
      </w:r>
    </w:p>
    <w:p w14:paraId="45D82439">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462" w:name="_Toc15045"/>
      <w:bookmarkStart w:id="1463" w:name="_Toc10901"/>
      <w:bookmarkStart w:id="1464" w:name="_Toc21782"/>
      <w:bookmarkStart w:id="1465" w:name="_Toc11295"/>
      <w:bookmarkStart w:id="1466" w:name="_Toc7948"/>
      <w:bookmarkStart w:id="1467" w:name="_Toc19207"/>
      <w:bookmarkStart w:id="1468" w:name="_Toc6771"/>
      <w:bookmarkStart w:id="1469" w:name="_Toc29988"/>
      <w:bookmarkStart w:id="1470" w:name="_Toc1715"/>
      <w:bookmarkStart w:id="1471" w:name="_Toc30644"/>
      <w:bookmarkStart w:id="1472" w:name="_Toc11920"/>
      <w:bookmarkStart w:id="1473" w:name="_Toc8798"/>
      <w:r>
        <w:rPr>
          <w:bCs/>
          <w:color w:val="000000" w:themeColor="text1"/>
          <w:sz w:val="28"/>
          <w:szCs w:val="32"/>
          <w14:textFill>
            <w14:solidFill>
              <w14:schemeClr w14:val="tx1"/>
            </w14:solidFill>
          </w14:textFill>
        </w:rPr>
        <w:t>9.5.2施工期环境保护措施</w:t>
      </w:r>
      <w:bookmarkEnd w:id="1462"/>
      <w:bookmarkEnd w:id="1463"/>
      <w:bookmarkEnd w:id="1464"/>
      <w:bookmarkEnd w:id="1465"/>
      <w:bookmarkEnd w:id="1466"/>
      <w:bookmarkEnd w:id="1467"/>
      <w:bookmarkEnd w:id="1468"/>
      <w:bookmarkEnd w:id="1469"/>
      <w:bookmarkEnd w:id="1470"/>
      <w:bookmarkEnd w:id="1471"/>
      <w:bookmarkEnd w:id="1472"/>
      <w:bookmarkEnd w:id="1473"/>
    </w:p>
    <w:p w14:paraId="0FF269DD">
      <w:pPr>
        <w:ind w:firstLine="480"/>
        <w:rPr>
          <w:color w:val="000000" w:themeColor="text1"/>
          <w14:textFill>
            <w14:solidFill>
              <w14:schemeClr w14:val="tx1"/>
            </w14:solidFill>
          </w14:textFill>
        </w:rPr>
      </w:pPr>
      <w:bookmarkStart w:id="1474" w:name="_Toc26527"/>
      <w:r>
        <w:rPr>
          <w:rFonts w:hint="eastAsia"/>
          <w:color w:val="000000" w:themeColor="text1"/>
          <w14:textFill>
            <w14:solidFill>
              <w14:schemeClr w14:val="tx1"/>
            </w14:solidFill>
          </w14:textFill>
        </w:rPr>
        <w:t>（1）</w:t>
      </w:r>
      <w:r>
        <w:rPr>
          <w:color w:val="000000" w:themeColor="text1"/>
          <w14:textFill>
            <w14:solidFill>
              <w14:schemeClr w14:val="tx1"/>
            </w14:solidFill>
          </w14:textFill>
        </w:rPr>
        <w:t>污水</w:t>
      </w:r>
      <w:bookmarkEnd w:id="1474"/>
    </w:p>
    <w:p w14:paraId="61D3FDE1">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加强施工管理，做到文明施工。施工营地设置移动式环保厕所，废污水定期收集后交由当地环卫处置，防止生活污水外排。</w:t>
      </w:r>
    </w:p>
    <w:p w14:paraId="1CBF7C3A">
      <w:pPr>
        <w:ind w:firstLine="480"/>
        <w:rPr>
          <w:color w:val="000000" w:themeColor="text1"/>
          <w14:textFill>
            <w14:solidFill>
              <w14:schemeClr w14:val="tx1"/>
            </w14:solidFill>
          </w14:textFill>
        </w:rPr>
      </w:pPr>
      <w:bookmarkStart w:id="1475" w:name="_Toc12772"/>
      <w:r>
        <w:rPr>
          <w:rFonts w:hint="eastAsia"/>
          <w:color w:val="000000" w:themeColor="text1"/>
          <w14:textFill>
            <w14:solidFill>
              <w14:schemeClr w14:val="tx1"/>
            </w14:solidFill>
          </w14:textFill>
        </w:rPr>
        <w:t>（2）</w:t>
      </w:r>
      <w:r>
        <w:rPr>
          <w:color w:val="000000" w:themeColor="text1"/>
          <w14:textFill>
            <w14:solidFill>
              <w14:schemeClr w14:val="tx1"/>
            </w14:solidFill>
          </w14:textFill>
        </w:rPr>
        <w:t>噪声</w:t>
      </w:r>
      <w:bookmarkEnd w:id="1475"/>
    </w:p>
    <w:p w14:paraId="790D8E97">
      <w:pPr>
        <w:widowControl/>
        <w:ind w:firstLine="480"/>
        <w:jc w:val="left"/>
        <w:rPr>
          <w:rFonts w:hint="eastAsia" w:ascii="宋体" w:hAnsi="宋体" w:cs="宋体"/>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①优化输电线路的导线特性，如提高表面光洁度等，以减小日后运行期的电磁、声环境影响。</w:t>
      </w:r>
    </w:p>
    <w:p w14:paraId="182428AD">
      <w:pPr>
        <w:pStyle w:val="11"/>
        <w:ind w:firstLine="480"/>
        <w:rPr>
          <w:rFonts w:ascii="Times New Roman" w:hAnsi="Times New Roman"/>
          <w:color w:val="000000" w:themeColor="text1"/>
          <w14:textFill>
            <w14:solidFill>
              <w14:schemeClr w14:val="tx1"/>
            </w14:solidFill>
          </w14:textFill>
        </w:rPr>
      </w:pPr>
      <w:r>
        <w:rPr>
          <w:rFonts w:hint="eastAsia" w:hAnsi="宋体" w:cs="宋体"/>
          <w:color w:val="000000" w:themeColor="text1"/>
          <w:kern w:val="0"/>
          <w:szCs w:val="24"/>
          <w:lang w:bidi="ar"/>
          <w14:textFill>
            <w14:solidFill>
              <w14:schemeClr w14:val="tx1"/>
            </w14:solidFill>
          </w14:textFill>
        </w:rPr>
        <w:t>②严格按照设计及本环评报告中规定的导线线高及间距进行线路架设。</w:t>
      </w:r>
    </w:p>
    <w:p w14:paraId="3E392507">
      <w:pPr>
        <w:ind w:firstLine="480"/>
        <w:rPr>
          <w:color w:val="000000" w:themeColor="text1"/>
          <w14:textFill>
            <w14:solidFill>
              <w14:schemeClr w14:val="tx1"/>
            </w14:solidFill>
          </w14:textFill>
        </w:rPr>
      </w:pPr>
      <w:bookmarkStart w:id="1476" w:name="_Toc6470"/>
      <w:r>
        <w:rPr>
          <w:rFonts w:hint="eastAsia"/>
          <w:color w:val="000000" w:themeColor="text1"/>
          <w14:textFill>
            <w14:solidFill>
              <w14:schemeClr w14:val="tx1"/>
            </w14:solidFill>
          </w14:textFill>
        </w:rPr>
        <w:t>（3）</w:t>
      </w:r>
      <w:r>
        <w:rPr>
          <w:color w:val="000000" w:themeColor="text1"/>
          <w14:textFill>
            <w14:solidFill>
              <w14:schemeClr w14:val="tx1"/>
            </w14:solidFill>
          </w14:textFill>
        </w:rPr>
        <w:t>大气环境</w:t>
      </w:r>
      <w:bookmarkEnd w:id="1476"/>
    </w:p>
    <w:p w14:paraId="314E4F8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①塔基基础开挖过程中，应定时、及时洒水使施工区域保持一定的湿度；对施工场地内松散、干涸的表土，也应定时、及时洒水。</w:t>
      </w:r>
    </w:p>
    <w:p w14:paraId="244D49DB">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②施工临时堆土应集中、合理堆放，遇干燥天气时应对其进行遮盖。</w:t>
      </w:r>
    </w:p>
    <w:p w14:paraId="4417144D">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③施工材料及建筑垃圾在运输时用布覆盖。严禁运输车辆装载过满，不得超出车厢板高度，并采取遮盖、密闭措施防止沿途抛洒、散落。</w:t>
      </w:r>
    </w:p>
    <w:p w14:paraId="44729B39">
      <w:pPr>
        <w:pStyle w:val="11"/>
        <w:ind w:firstLine="480"/>
        <w:rPr>
          <w:rFonts w:ascii="Times New Roman" w:hAnsi="Times New Roman"/>
          <w:color w:val="000000" w:themeColor="text1"/>
          <w14:textFill>
            <w14:solidFill>
              <w14:schemeClr w14:val="tx1"/>
            </w14:solidFill>
          </w14:textFill>
        </w:rPr>
      </w:pPr>
      <w:r>
        <w:rPr>
          <w:rFonts w:hint="eastAsia" w:hAnsi="宋体" w:cs="宋体"/>
          <w:color w:val="000000" w:themeColor="text1"/>
          <w:kern w:val="0"/>
          <w:szCs w:val="24"/>
          <w:lang w:bidi="ar"/>
          <w14:textFill>
            <w14:solidFill>
              <w14:schemeClr w14:val="tx1"/>
            </w14:solidFill>
          </w14:textFill>
        </w:rPr>
        <w:t>④车辆及时冲洗，限制车速，对附近的运输道路定期洒水，使其保持一定的湿度，防止道路扬尘。</w:t>
      </w:r>
    </w:p>
    <w:p w14:paraId="7BB9BDF5">
      <w:pPr>
        <w:ind w:firstLine="480"/>
        <w:rPr>
          <w:color w:val="000000" w:themeColor="text1"/>
          <w14:textFill>
            <w14:solidFill>
              <w14:schemeClr w14:val="tx1"/>
            </w14:solidFill>
          </w14:textFill>
        </w:rPr>
      </w:pPr>
      <w:bookmarkStart w:id="1477" w:name="_Toc24976"/>
      <w:r>
        <w:rPr>
          <w:rFonts w:hint="eastAsia"/>
          <w:color w:val="000000" w:themeColor="text1"/>
          <w14:textFill>
            <w14:solidFill>
              <w14:schemeClr w14:val="tx1"/>
            </w14:solidFill>
          </w14:textFill>
        </w:rPr>
        <w:t>（4）</w:t>
      </w:r>
      <w:r>
        <w:rPr>
          <w:color w:val="000000" w:themeColor="text1"/>
          <w14:textFill>
            <w14:solidFill>
              <w14:schemeClr w14:val="tx1"/>
            </w14:solidFill>
          </w14:textFill>
        </w:rPr>
        <w:t>固体废弃物</w:t>
      </w:r>
      <w:bookmarkEnd w:id="1477"/>
    </w:p>
    <w:p w14:paraId="1FB9618F">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生活垃圾集中起来运至附近固定的场所存放，禁止随地堆放。</w:t>
      </w:r>
    </w:p>
    <w:p w14:paraId="25E060AD">
      <w:pPr>
        <w:pStyle w:val="11"/>
        <w:ind w:firstLine="480"/>
        <w:rPr>
          <w:rFonts w:ascii="Times New Roman" w:hAnsi="Times New Roman"/>
          <w:color w:val="000000" w:themeColor="text1"/>
          <w14:textFill>
            <w14:solidFill>
              <w14:schemeClr w14:val="tx1"/>
            </w14:solidFill>
          </w14:textFill>
        </w:rPr>
      </w:pPr>
      <w:r>
        <w:rPr>
          <w:rFonts w:hint="eastAsia" w:hAnsi="宋体" w:cs="宋体"/>
          <w:color w:val="000000" w:themeColor="text1"/>
          <w:kern w:val="0"/>
          <w:szCs w:val="24"/>
          <w:lang w:bidi="ar"/>
          <w14:textFill>
            <w14:solidFill>
              <w14:schemeClr w14:val="tx1"/>
            </w14:solidFill>
          </w14:textFill>
        </w:rPr>
        <w:t>本项目无弃方产生，施工产生的土方用于塔坑回填及就近摊平。</w:t>
      </w:r>
    </w:p>
    <w:p w14:paraId="2BE98964">
      <w:pPr>
        <w:pStyle w:val="11"/>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建筑垃圾由施工单位及时清运至指定场所处理。</w:t>
      </w:r>
    </w:p>
    <w:p w14:paraId="3948922D">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施工结束后，临时场地不许堆放固体废物，对临时场地按之前地貌进行恢复。</w:t>
      </w:r>
    </w:p>
    <w:p w14:paraId="301CA1D0">
      <w:pPr>
        <w:ind w:firstLine="480"/>
        <w:rPr>
          <w:color w:val="000000" w:themeColor="text1"/>
          <w14:textFill>
            <w14:solidFill>
              <w14:schemeClr w14:val="tx1"/>
            </w14:solidFill>
          </w14:textFill>
        </w:rPr>
      </w:pPr>
      <w:bookmarkStart w:id="1478" w:name="_Toc19153"/>
      <w:r>
        <w:rPr>
          <w:rFonts w:hint="eastAsia"/>
          <w:color w:val="000000" w:themeColor="text1"/>
          <w14:textFill>
            <w14:solidFill>
              <w14:schemeClr w14:val="tx1"/>
            </w14:solidFill>
          </w14:textFill>
        </w:rPr>
        <w:t>（5）</w:t>
      </w:r>
      <w:r>
        <w:rPr>
          <w:color w:val="000000" w:themeColor="text1"/>
          <w14:textFill>
            <w14:solidFill>
              <w14:schemeClr w14:val="tx1"/>
            </w14:solidFill>
          </w14:textFill>
        </w:rPr>
        <w:t>环境管理</w:t>
      </w:r>
      <w:bookmarkEnd w:id="1478"/>
    </w:p>
    <w:p w14:paraId="55787DC1">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成立专门的环保组织体系，对施工人员进行文明施工和环境保护培训，加强施工期的环境管理和环境监控工作。</w:t>
      </w:r>
    </w:p>
    <w:p w14:paraId="0A7D431D">
      <w:pPr>
        <w:ind w:firstLine="480"/>
        <w:rPr>
          <w:color w:val="000000" w:themeColor="text1"/>
          <w14:textFill>
            <w14:solidFill>
              <w14:schemeClr w14:val="tx1"/>
            </w14:solidFill>
          </w14:textFill>
        </w:rPr>
      </w:pPr>
      <w:bookmarkStart w:id="1479" w:name="_Toc9371"/>
      <w:r>
        <w:rPr>
          <w:rFonts w:hint="eastAsia"/>
          <w:color w:val="000000" w:themeColor="text1"/>
          <w14:textFill>
            <w14:solidFill>
              <w14:schemeClr w14:val="tx1"/>
            </w14:solidFill>
          </w14:textFill>
        </w:rPr>
        <w:t>（6）</w:t>
      </w:r>
      <w:r>
        <w:rPr>
          <w:color w:val="000000" w:themeColor="text1"/>
          <w14:textFill>
            <w14:solidFill>
              <w14:schemeClr w14:val="tx1"/>
            </w14:solidFill>
          </w14:textFill>
        </w:rPr>
        <w:t>生态环境</w:t>
      </w:r>
      <w:bookmarkEnd w:id="1479"/>
    </w:p>
    <w:p w14:paraId="02845587">
      <w:pPr>
        <w:pStyle w:val="11"/>
        <w:ind w:firstLine="480"/>
        <w:rPr>
          <w:rFonts w:ascii="Times New Roman" w:hAnsi="Times New Roman"/>
          <w:color w:val="000000" w:themeColor="text1"/>
          <w14:textFill>
            <w14:solidFill>
              <w14:schemeClr w14:val="tx1"/>
            </w14:solidFill>
          </w14:textFill>
        </w:rPr>
      </w:pPr>
      <w:bookmarkStart w:id="1480" w:name="_Toc15957"/>
      <w:r>
        <w:rPr>
          <w:rFonts w:ascii="Times New Roman" w:hAnsi="Times New Roman"/>
          <w:color w:val="000000" w:themeColor="text1"/>
          <w14:textFill>
            <w14:solidFill>
              <w14:schemeClr w14:val="tx1"/>
            </w14:solidFill>
          </w14:textFill>
        </w:rPr>
        <w:t>1）工程措施</w:t>
      </w:r>
      <w:bookmarkEnd w:id="1480"/>
    </w:p>
    <w:p w14:paraId="29D1D30B">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①</w:t>
      </w:r>
      <w:r>
        <w:rPr>
          <w:rFonts w:hint="eastAsia" w:ascii="Times New Roman" w:hAnsi="Times New Roman"/>
          <w:color w:val="000000" w:themeColor="text1"/>
          <w14:textFill>
            <w14:solidFill>
              <w14:schemeClr w14:val="tx1"/>
            </w14:solidFill>
          </w14:textFill>
        </w:rPr>
        <w:t>加大</w:t>
      </w:r>
      <w:r>
        <w:rPr>
          <w:rFonts w:ascii="Times New Roman" w:hAnsi="Times New Roman"/>
          <w:color w:val="000000" w:themeColor="text1"/>
          <w14:textFill>
            <w14:solidFill>
              <w14:schemeClr w14:val="tx1"/>
            </w14:solidFill>
          </w14:textFill>
        </w:rPr>
        <w:t>土石方的调配力度，进行充分的移挖作填，尽量做到挖填平衡；</w:t>
      </w:r>
    </w:p>
    <w:p w14:paraId="719A0CE9">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②合理组织工程施工，施工区域相对集中，减少施工用地；</w:t>
      </w:r>
    </w:p>
    <w:p w14:paraId="3DEE352A">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③施工开挖面及时平整，将视需要采取不同的治理措施，临时堆土安全堆放；</w:t>
      </w:r>
    </w:p>
    <w:p w14:paraId="767A6319">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④项目建设过程中，剥离的表土和开挖出的土石方堆放时在堆土坡脚堆码两排双层土袋进行挡护，顶面用塑料布遮挡，用剥离的表土装入编织袋挡护剩余的剥离表土和基础开挖出的土石方。</w:t>
      </w:r>
    </w:p>
    <w:p w14:paraId="5038A3ED">
      <w:pPr>
        <w:pStyle w:val="11"/>
        <w:ind w:firstLine="480"/>
        <w:rPr>
          <w:rFonts w:ascii="Times New Roman" w:hAnsi="Times New Roman"/>
          <w:color w:val="000000" w:themeColor="text1"/>
          <w14:textFill>
            <w14:solidFill>
              <w14:schemeClr w14:val="tx1"/>
            </w14:solidFill>
          </w14:textFill>
        </w:rPr>
      </w:pPr>
      <w:bookmarkStart w:id="1481" w:name="_Toc7797"/>
      <w:r>
        <w:rPr>
          <w:rFonts w:ascii="Times New Roman" w:hAnsi="Times New Roman"/>
          <w:color w:val="000000" w:themeColor="text1"/>
          <w14:textFill>
            <w14:solidFill>
              <w14:schemeClr w14:val="tx1"/>
            </w14:solidFill>
          </w14:textFill>
        </w:rPr>
        <w:t>2）植被保护措施</w:t>
      </w:r>
      <w:bookmarkEnd w:id="1481"/>
    </w:p>
    <w:p w14:paraId="27F5A007">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①合理安排工期，抓紧时间完成施工内容，减少雨季施工。规范施工方式：施工过程中，应合理组织，选择科学的施工方式，减少临时占地面积。施工时应在工期安排上合理有序，先设置拦挡措施，后进行工程建设；施工工序布设紧凑合理，避免因工序不当而造成大面积地表裸露。</w:t>
      </w:r>
    </w:p>
    <w:p w14:paraId="1508F9B9">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②在施工边界设置防护网，严格控制施工作业的范围，施工人员和机械不得在规定区域外随意活动和行驶，固定机械与车辆行驶路线；施工材料有序堆放，减少对周围生态的破坏；严格按设计的占地面积、样式要求开挖，避免大规模开挖。</w:t>
      </w:r>
    </w:p>
    <w:p w14:paraId="1460E522">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③施工结束后，应及时清理施工现场，对施工过程中产生的废弃物，应集中收集装袋，并在结束施工时带出施工区域，不得随意丢弃。</w:t>
      </w:r>
    </w:p>
    <w:p w14:paraId="6443024C">
      <w:pPr>
        <w:pStyle w:val="11"/>
        <w:ind w:firstLine="480"/>
        <w:rPr>
          <w:rFonts w:ascii="Times New Roman" w:hAnsi="Times New Roman"/>
          <w:color w:val="000000" w:themeColor="text1"/>
          <w14:textFill>
            <w14:solidFill>
              <w14:schemeClr w14:val="tx1"/>
            </w14:solidFill>
          </w14:textFill>
        </w:rPr>
      </w:pPr>
      <w:bookmarkStart w:id="1482" w:name="_Toc25824"/>
      <w:r>
        <w:rPr>
          <w:rFonts w:ascii="Times New Roman" w:hAnsi="Times New Roman"/>
          <w:color w:val="000000" w:themeColor="text1"/>
          <w14:textFill>
            <w14:solidFill>
              <w14:schemeClr w14:val="tx1"/>
            </w14:solidFill>
          </w14:textFill>
        </w:rPr>
        <w:t>3）野生动物保护措施</w:t>
      </w:r>
      <w:bookmarkEnd w:id="1482"/>
    </w:p>
    <w:p w14:paraId="79BBF93E">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①施工期采用影响小的施工方法和设备，减少高噪和高强振动设备的使用，并尽量避免多种高噪声机械设备同时作业；施工过程中运输车辆严禁鸣笛；振动较大的固定机械设备应加装减振机座，同时加强各类施工设备的维护和保养，保持其更好的运转，以便从根本上降低噪声源强；对强噪声施工机械采取临时性的噪声隔挡措施。</w:t>
      </w:r>
    </w:p>
    <w:p w14:paraId="3B55C559">
      <w:pPr>
        <w:pStyle w:val="11"/>
        <w:ind w:firstLine="48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②开工后要抓紧时间完成，迅速撤离，减少施工噪声和人员活动对野生动物的惊扰。</w:t>
      </w:r>
    </w:p>
    <w:p w14:paraId="6480AAB1">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483" w:name="_Toc27194"/>
      <w:bookmarkStart w:id="1484" w:name="_Toc17089"/>
      <w:bookmarkStart w:id="1485" w:name="_Toc21783"/>
      <w:bookmarkStart w:id="1486" w:name="_Toc15512"/>
      <w:bookmarkStart w:id="1487" w:name="_Toc5088"/>
      <w:bookmarkStart w:id="1488" w:name="_Toc14326"/>
      <w:bookmarkStart w:id="1489" w:name="_Toc28547"/>
      <w:bookmarkStart w:id="1490" w:name="_Toc23813"/>
      <w:bookmarkStart w:id="1491" w:name="_Toc13690"/>
      <w:bookmarkStart w:id="1492" w:name="_Toc4566"/>
      <w:bookmarkStart w:id="1493" w:name="_Toc14029"/>
      <w:r>
        <w:rPr>
          <w:bCs/>
          <w:color w:val="000000" w:themeColor="text1"/>
          <w:sz w:val="28"/>
          <w:szCs w:val="32"/>
          <w14:textFill>
            <w14:solidFill>
              <w14:schemeClr w14:val="tx1"/>
            </w14:solidFill>
          </w14:textFill>
        </w:rPr>
        <w:t>9.5.3运行期环境保护措施</w:t>
      </w:r>
      <w:bookmarkEnd w:id="1483"/>
      <w:bookmarkEnd w:id="1484"/>
      <w:bookmarkEnd w:id="1485"/>
      <w:bookmarkEnd w:id="1486"/>
      <w:bookmarkEnd w:id="1487"/>
      <w:bookmarkEnd w:id="1488"/>
      <w:bookmarkEnd w:id="1489"/>
      <w:bookmarkEnd w:id="1490"/>
      <w:bookmarkEnd w:id="1491"/>
      <w:bookmarkEnd w:id="1492"/>
      <w:bookmarkEnd w:id="1493"/>
    </w:p>
    <w:p w14:paraId="37212D74">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w:t>
      </w:r>
      <w:r>
        <w:rPr>
          <w:color w:val="000000" w:themeColor="text1"/>
          <w:kern w:val="0"/>
          <w:lang w:bidi="ar"/>
          <w14:textFill>
            <w14:solidFill>
              <w14:schemeClr w14:val="tx1"/>
            </w14:solidFill>
          </w14:textFill>
        </w:rPr>
        <w:t>1</w:t>
      </w:r>
      <w:r>
        <w:rPr>
          <w:rFonts w:hint="eastAsia" w:ascii="宋体" w:hAnsi="宋体" w:cs="宋体"/>
          <w:color w:val="000000" w:themeColor="text1"/>
          <w:kern w:val="0"/>
          <w:lang w:bidi="ar"/>
          <w14:textFill>
            <w14:solidFill>
              <w14:schemeClr w14:val="tx1"/>
            </w14:solidFill>
          </w14:textFill>
        </w:rPr>
        <w:t>）电磁环境、声环境保护措施</w:t>
      </w:r>
    </w:p>
    <w:p w14:paraId="0ED99D3A">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①加强电磁环境、声环境监测，及时发现问题并按照相关要求进行处理。</w:t>
      </w:r>
    </w:p>
    <w:p w14:paraId="4D7164A1">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②在架空线路附近及杆塔处设立警示和防护指示标志，严禁在带电架构下方长时间停留，加强对当地群众的有关高压输电方面的环境宣传工作，帮助群众建立环境保护意识和自我安全防护意识。</w:t>
      </w:r>
    </w:p>
    <w:p w14:paraId="122E54ED">
      <w:pPr>
        <w:ind w:firstLine="480"/>
        <w:rPr>
          <w:color w:val="000000" w:themeColor="text1"/>
          <w14:textFill>
            <w14:solidFill>
              <w14:schemeClr w14:val="tx1"/>
            </w14:solidFill>
          </w14:textFill>
        </w:rPr>
      </w:pPr>
      <w:bookmarkStart w:id="1494" w:name="_Toc21248"/>
      <w:r>
        <w:rPr>
          <w:rFonts w:hint="eastAsia"/>
          <w:color w:val="000000" w:themeColor="text1"/>
          <w14:textFill>
            <w14:solidFill>
              <w14:schemeClr w14:val="tx1"/>
            </w14:solidFill>
          </w14:textFill>
        </w:rPr>
        <w:t>（2）</w:t>
      </w:r>
      <w:r>
        <w:rPr>
          <w:color w:val="000000" w:themeColor="text1"/>
          <w14:textFill>
            <w14:solidFill>
              <w14:schemeClr w14:val="tx1"/>
            </w14:solidFill>
          </w14:textFill>
        </w:rPr>
        <w:t>运行管理和宣传教育</w:t>
      </w:r>
      <w:bookmarkEnd w:id="1494"/>
    </w:p>
    <w:p w14:paraId="167CB2CF">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①加强对当地群众进行有关输电线路和设备方面的宣传工作，做好公众沟通工作。</w:t>
      </w:r>
    </w:p>
    <w:p w14:paraId="48E47735">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②设立各种警告、防护标识，避免意外事故发生。</w:t>
      </w:r>
    </w:p>
    <w:p w14:paraId="7FBDF515">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③依法进行运行期的环境管理和环境监测工作。</w:t>
      </w:r>
    </w:p>
    <w:p w14:paraId="357015C0">
      <w:pPr>
        <w:widowControl/>
        <w:ind w:firstLine="480"/>
        <w:jc w:val="left"/>
        <w:rPr>
          <w:color w:val="000000" w:themeColor="text1"/>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④加强对线路巡检人员的环境教育工作，提高其环保意识；巡检过程中应关注环保问题。</w:t>
      </w:r>
    </w:p>
    <w:p w14:paraId="27FF289D">
      <w:pPr>
        <w:pStyle w:val="3"/>
        <w:keepNext/>
        <w:keepLines/>
        <w:tabs>
          <w:tab w:val="clear" w:pos="420"/>
          <w:tab w:val="clear" w:pos="907"/>
          <w:tab w:val="clear" w:pos="1267"/>
        </w:tabs>
        <w:adjustRightInd/>
        <w:spacing w:before="156" w:beforeLines="50" w:after="156" w:afterLines="50"/>
        <w:rPr>
          <w:color w:val="000000" w:themeColor="text1"/>
          <w:sz w:val="28"/>
          <w:szCs w:val="32"/>
          <w14:textFill>
            <w14:solidFill>
              <w14:schemeClr w14:val="tx1"/>
            </w14:solidFill>
          </w14:textFill>
        </w:rPr>
      </w:pPr>
      <w:bookmarkStart w:id="1495" w:name="_Toc19062"/>
      <w:bookmarkStart w:id="1496" w:name="_Toc24348"/>
      <w:bookmarkStart w:id="1497" w:name="_Toc952"/>
      <w:bookmarkStart w:id="1498" w:name="_Toc28377"/>
      <w:bookmarkStart w:id="1499" w:name="_Toc6995"/>
      <w:bookmarkStart w:id="1500" w:name="_Toc4687"/>
      <w:bookmarkStart w:id="1501" w:name="_Toc25732"/>
      <w:bookmarkStart w:id="1502" w:name="_Toc11572"/>
      <w:bookmarkStart w:id="1503" w:name="_Toc7693"/>
      <w:bookmarkStart w:id="1504" w:name="_Toc27329"/>
      <w:bookmarkStart w:id="1505" w:name="_Toc24763"/>
      <w:r>
        <w:rPr>
          <w:color w:val="000000" w:themeColor="text1"/>
          <w:sz w:val="28"/>
          <w:szCs w:val="32"/>
          <w14:textFill>
            <w14:solidFill>
              <w14:schemeClr w14:val="tx1"/>
            </w14:solidFill>
          </w14:textFill>
        </w:rPr>
        <w:t>9.6环境保护措施经济、技术论证</w:t>
      </w:r>
      <w:bookmarkEnd w:id="1495"/>
      <w:bookmarkEnd w:id="1496"/>
      <w:bookmarkEnd w:id="1497"/>
      <w:bookmarkEnd w:id="1498"/>
      <w:bookmarkEnd w:id="1499"/>
      <w:bookmarkEnd w:id="1500"/>
      <w:bookmarkEnd w:id="1501"/>
      <w:bookmarkEnd w:id="1502"/>
      <w:bookmarkEnd w:id="1503"/>
      <w:bookmarkEnd w:id="1504"/>
      <w:bookmarkEnd w:id="1505"/>
    </w:p>
    <w:p w14:paraId="02C5DBEA">
      <w:pPr>
        <w:ind w:firstLine="480"/>
        <w:rPr>
          <w:bCs/>
          <w:color w:val="000000" w:themeColor="text1"/>
          <w14:textFill>
            <w14:solidFill>
              <w14:schemeClr w14:val="tx1"/>
            </w14:solidFill>
          </w14:textFill>
        </w:rPr>
      </w:pPr>
      <w:bookmarkStart w:id="1506" w:name="_Toc152"/>
      <w:r>
        <w:rPr>
          <w:color w:val="000000" w:themeColor="text1"/>
          <w14:textFill>
            <w14:solidFill>
              <w14:schemeClr w14:val="tx1"/>
            </w14:solidFill>
          </w14:textFill>
        </w:rPr>
        <w:t>本期工程所采取的措施技术可行，经济合理，可使工程产生的环境影响符合国家有关环境保护法规、环境保护标准的要求。</w:t>
      </w:r>
      <w:bookmarkEnd w:id="1506"/>
      <w:r>
        <w:rPr>
          <w:bCs/>
          <w:snapToGrid w:val="0"/>
          <w:color w:val="000000" w:themeColor="text1"/>
          <w14:textFill>
            <w14:solidFill>
              <w14:schemeClr w14:val="tx1"/>
            </w14:solidFill>
          </w14:textFill>
        </w:rPr>
        <w:t>本工程总投资约为</w:t>
      </w:r>
      <w:r>
        <w:rPr>
          <w:rFonts w:hint="eastAsia"/>
          <w:bCs/>
          <w:snapToGrid w:val="0"/>
          <w:color w:val="000000" w:themeColor="text1"/>
          <w:lang w:eastAsia="zh-CN"/>
          <w14:textFill>
            <w14:solidFill>
              <w14:schemeClr w14:val="tx1"/>
            </w14:solidFill>
          </w14:textFill>
        </w:rPr>
        <w:t>14162万元</w:t>
      </w:r>
      <w:r>
        <w:rPr>
          <w:bCs/>
          <w:snapToGrid w:val="0"/>
          <w:color w:val="000000" w:themeColor="text1"/>
          <w14:textFill>
            <w14:solidFill>
              <w14:schemeClr w14:val="tx1"/>
            </w14:solidFill>
          </w14:textFill>
        </w:rPr>
        <w:t>，其中环保投资费用为</w:t>
      </w:r>
      <w:r>
        <w:rPr>
          <w:rFonts w:hint="eastAsia"/>
          <w:bCs/>
          <w:snapToGrid w:val="0"/>
          <w:color w:val="000000" w:themeColor="text1"/>
          <w14:textFill>
            <w14:solidFill>
              <w14:schemeClr w14:val="tx1"/>
            </w14:solidFill>
          </w14:textFill>
        </w:rPr>
        <w:t>140</w:t>
      </w:r>
      <w:r>
        <w:rPr>
          <w:bCs/>
          <w:snapToGrid w:val="0"/>
          <w:color w:val="000000" w:themeColor="text1"/>
          <w14:textFill>
            <w14:solidFill>
              <w14:schemeClr w14:val="tx1"/>
            </w14:solidFill>
          </w14:textFill>
        </w:rPr>
        <w:t>万元，占工程总投资</w:t>
      </w:r>
      <w:r>
        <w:rPr>
          <w:rFonts w:hint="eastAsia"/>
          <w:bCs/>
          <w:snapToGrid w:val="0"/>
          <w:color w:val="000000" w:themeColor="text1"/>
          <w:lang w:eastAsia="zh-CN"/>
          <w14:textFill>
            <w14:solidFill>
              <w14:schemeClr w14:val="tx1"/>
            </w14:solidFill>
          </w14:textFill>
        </w:rPr>
        <w:t>0.99%</w:t>
      </w:r>
      <w:r>
        <w:rPr>
          <w:bCs/>
          <w:snapToGrid w:val="0"/>
          <w:color w:val="000000" w:themeColor="text1"/>
          <w14:textFill>
            <w14:solidFill>
              <w14:schemeClr w14:val="tx1"/>
            </w14:solidFill>
          </w14:textFill>
        </w:rPr>
        <w:t>。</w:t>
      </w:r>
    </w:p>
    <w:p w14:paraId="7B92616B">
      <w:pPr>
        <w:pStyle w:val="3"/>
        <w:keepNext/>
        <w:keepLines/>
        <w:tabs>
          <w:tab w:val="clear" w:pos="420"/>
          <w:tab w:val="clear" w:pos="907"/>
          <w:tab w:val="clear" w:pos="1267"/>
        </w:tabs>
        <w:adjustRightInd/>
        <w:spacing w:before="156" w:beforeLines="50" w:after="156" w:afterLines="50"/>
        <w:rPr>
          <w:color w:val="000000" w:themeColor="text1"/>
          <w:sz w:val="28"/>
          <w:szCs w:val="32"/>
          <w14:textFill>
            <w14:solidFill>
              <w14:schemeClr w14:val="tx1"/>
            </w14:solidFill>
          </w14:textFill>
        </w:rPr>
      </w:pPr>
      <w:bookmarkStart w:id="1507" w:name="_Toc5454"/>
      <w:bookmarkStart w:id="1508" w:name="_Toc2721"/>
      <w:bookmarkStart w:id="1509" w:name="_Toc21190"/>
      <w:bookmarkStart w:id="1510" w:name="_Toc8262"/>
      <w:bookmarkStart w:id="1511" w:name="_Toc9937"/>
      <w:bookmarkStart w:id="1512" w:name="_Toc28028"/>
      <w:bookmarkStart w:id="1513" w:name="_Toc32109"/>
      <w:bookmarkStart w:id="1514" w:name="_Toc26673"/>
      <w:bookmarkStart w:id="1515" w:name="_Toc27703"/>
      <w:bookmarkStart w:id="1516" w:name="_Toc4933"/>
      <w:bookmarkStart w:id="1517" w:name="_Toc15160"/>
      <w:r>
        <w:rPr>
          <w:color w:val="000000" w:themeColor="text1"/>
          <w:sz w:val="28"/>
          <w:szCs w:val="32"/>
          <w14:textFill>
            <w14:solidFill>
              <w14:schemeClr w14:val="tx1"/>
            </w14:solidFill>
          </w14:textFill>
        </w:rPr>
        <w:t>9.7公众意见采纳情况</w:t>
      </w:r>
      <w:bookmarkEnd w:id="1507"/>
      <w:bookmarkEnd w:id="1508"/>
      <w:bookmarkEnd w:id="1509"/>
      <w:bookmarkEnd w:id="1510"/>
      <w:bookmarkEnd w:id="1511"/>
      <w:bookmarkEnd w:id="1512"/>
      <w:bookmarkEnd w:id="1513"/>
      <w:bookmarkEnd w:id="1514"/>
      <w:bookmarkEnd w:id="1515"/>
      <w:bookmarkEnd w:id="1516"/>
      <w:bookmarkEnd w:id="1517"/>
    </w:p>
    <w:p w14:paraId="39B035AB">
      <w:pPr>
        <w:adjustRightInd w:val="0"/>
        <w:snapToGrid w:val="0"/>
        <w:ind w:firstLine="480"/>
        <w:rPr>
          <w:color w:val="000000" w:themeColor="text1"/>
          <w14:textFill>
            <w14:solidFill>
              <w14:schemeClr w14:val="tx1"/>
            </w14:solidFill>
          </w14:textFill>
        </w:rPr>
      </w:pPr>
      <w:r>
        <w:rPr>
          <w:color w:val="000000" w:themeColor="text1"/>
          <w14:textFill>
            <w14:solidFill>
              <w14:schemeClr w14:val="tx1"/>
            </w14:solidFill>
          </w14:textFill>
        </w:rPr>
        <w:t>根据中华人民共和国生态环境部令第4号《环境影响评价公众参与办法</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要求，建设单位于202</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年</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月</w:t>
      </w:r>
      <w:r>
        <w:rPr>
          <w:rFonts w:hint="eastAsia"/>
          <w:color w:val="000000" w:themeColor="text1"/>
          <w14:textFill>
            <w14:solidFill>
              <w14:schemeClr w14:val="tx1"/>
            </w14:solidFill>
          </w14:textFill>
        </w:rPr>
        <w:t>13</w:t>
      </w:r>
      <w:r>
        <w:rPr>
          <w:color w:val="000000" w:themeColor="text1"/>
          <w14:textFill>
            <w14:solidFill>
              <w14:schemeClr w14:val="tx1"/>
            </w14:solidFill>
          </w14:textFill>
        </w:rPr>
        <w:t>日在国网新疆电力有限公司网站（http://www.xj.sgcc.com.cn/）采用网络形式进行了第一次公示（首次公示）。</w:t>
      </w:r>
    </w:p>
    <w:p w14:paraId="3807ABFA">
      <w:pPr>
        <w:widowControl/>
        <w:ind w:firstLine="480"/>
        <w:jc w:val="left"/>
        <w:rPr>
          <w:color w:val="000000" w:themeColor="text1"/>
          <w:highlight w:val="none"/>
          <w14:textFill>
            <w14:solidFill>
              <w14:schemeClr w14:val="tx1"/>
            </w14:solidFill>
          </w14:textFill>
        </w:rPr>
      </w:pPr>
      <w:r>
        <w:rPr>
          <w:rFonts w:hint="eastAsia"/>
          <w:color w:val="000000" w:themeColor="text1"/>
          <w14:textFill>
            <w14:solidFill>
              <w14:schemeClr w14:val="tx1"/>
            </w14:solidFill>
          </w14:textFill>
        </w:rPr>
        <w:t>在环境影响报告书初稿（征求意见稿）完成后</w:t>
      </w:r>
      <w:r>
        <w:rPr>
          <w:color w:val="000000" w:themeColor="text1"/>
          <w14:textFill>
            <w14:solidFill>
              <w14:schemeClr w14:val="tx1"/>
            </w14:solidFill>
          </w14:textFill>
        </w:rPr>
        <w:t>于</w:t>
      </w:r>
      <w:r>
        <w:rPr>
          <w:rFonts w:hint="eastAsia"/>
          <w:color w:val="000000" w:themeColor="text1"/>
          <w14:textFill>
            <w14:solidFill>
              <w14:schemeClr w14:val="tx1"/>
            </w14:solidFill>
          </w14:textFill>
        </w:rPr>
        <w:t>2025</w:t>
      </w:r>
      <w:r>
        <w:rPr>
          <w:color w:val="000000" w:themeColor="text1"/>
          <w14:textFill>
            <w14:solidFill>
              <w14:schemeClr w14:val="tx1"/>
            </w14:solidFill>
          </w14:textFill>
        </w:rPr>
        <w:t>年</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月</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日在新疆电力有限公司网站（http://www.xj.sgcc.com.cn/）</w:t>
      </w:r>
      <w:r>
        <w:rPr>
          <w:rFonts w:hint="eastAsia"/>
          <w:color w:val="000000" w:themeColor="text1"/>
          <w14:textFill>
            <w14:solidFill>
              <w14:schemeClr w14:val="tx1"/>
            </w14:solidFill>
          </w14:textFill>
        </w:rPr>
        <w:t>采用网络形式进行了第二次公示（征求意见稿公示），</w:t>
      </w:r>
      <w:r>
        <w:rPr>
          <w:rFonts w:hint="eastAsia"/>
          <w:color w:val="000000" w:themeColor="text1"/>
          <w:highlight w:val="none"/>
          <w14:textFill>
            <w14:solidFill>
              <w14:schemeClr w14:val="tx1"/>
            </w14:solidFill>
          </w14:textFill>
        </w:rPr>
        <w:t>并在巴音郭楞日报发布了两次报纸公示，</w:t>
      </w:r>
      <w:r>
        <w:rPr>
          <w:color w:val="000000" w:themeColor="text1"/>
          <w:highlight w:val="none"/>
          <w14:textFill>
            <w14:solidFill>
              <w14:schemeClr w14:val="tx1"/>
            </w14:solidFill>
          </w14:textFill>
        </w:rPr>
        <w:t>同时在本工程</w:t>
      </w:r>
      <w:r>
        <w:rPr>
          <w:rFonts w:hint="eastAsia"/>
          <w:color w:val="000000" w:themeColor="text1"/>
          <w:highlight w:val="none"/>
          <w14:textFill>
            <w14:solidFill>
              <w14:schemeClr w14:val="tx1"/>
            </w14:solidFill>
          </w14:textFill>
        </w:rPr>
        <w:t>所在地</w:t>
      </w:r>
      <w:r>
        <w:rPr>
          <w:color w:val="000000" w:themeColor="text1"/>
          <w:highlight w:val="none"/>
          <w14:textFill>
            <w14:solidFill>
              <w14:schemeClr w14:val="tx1"/>
            </w14:solidFill>
          </w14:textFill>
        </w:rPr>
        <w:t>进行了现场张贴。</w:t>
      </w:r>
    </w:p>
    <w:p w14:paraId="195D5AE8">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在公示期间，均未收到区域公众关于项目的意见。</w:t>
      </w:r>
    </w:p>
    <w:p w14:paraId="2D753BE4">
      <w:pPr>
        <w:pStyle w:val="3"/>
        <w:keepNext/>
        <w:keepLines/>
        <w:tabs>
          <w:tab w:val="clear" w:pos="420"/>
          <w:tab w:val="clear" w:pos="907"/>
          <w:tab w:val="clear" w:pos="1267"/>
        </w:tabs>
        <w:adjustRightInd/>
        <w:spacing w:before="156" w:beforeLines="50" w:after="156" w:afterLines="50"/>
        <w:rPr>
          <w:color w:val="000000" w:themeColor="text1"/>
          <w:sz w:val="28"/>
          <w:szCs w:val="32"/>
          <w14:textFill>
            <w14:solidFill>
              <w14:schemeClr w14:val="tx1"/>
            </w14:solidFill>
          </w14:textFill>
        </w:rPr>
      </w:pPr>
      <w:bookmarkStart w:id="1518" w:name="_Toc22540"/>
      <w:bookmarkStart w:id="1519" w:name="_Toc19406"/>
      <w:bookmarkStart w:id="1520" w:name="_Toc21462"/>
      <w:bookmarkStart w:id="1521" w:name="_Toc1182"/>
      <w:bookmarkStart w:id="1522" w:name="_Toc6327"/>
      <w:bookmarkStart w:id="1523" w:name="_Toc28993"/>
      <w:bookmarkStart w:id="1524" w:name="_Toc32461"/>
      <w:bookmarkStart w:id="1525" w:name="_Toc8269"/>
      <w:bookmarkStart w:id="1526" w:name="_Toc14025"/>
      <w:bookmarkStart w:id="1527" w:name="_Toc27700"/>
      <w:bookmarkStart w:id="1528" w:name="_Toc373"/>
      <w:r>
        <w:rPr>
          <w:color w:val="000000" w:themeColor="text1"/>
          <w:sz w:val="28"/>
          <w:szCs w:val="32"/>
          <w14:textFill>
            <w14:solidFill>
              <w14:schemeClr w14:val="tx1"/>
            </w14:solidFill>
          </w14:textFill>
        </w:rPr>
        <w:t>9.8总结论与建议</w:t>
      </w:r>
      <w:bookmarkEnd w:id="1518"/>
      <w:bookmarkEnd w:id="1519"/>
      <w:bookmarkEnd w:id="1520"/>
      <w:bookmarkEnd w:id="1521"/>
      <w:bookmarkEnd w:id="1522"/>
      <w:bookmarkEnd w:id="1523"/>
      <w:bookmarkEnd w:id="1524"/>
      <w:bookmarkEnd w:id="1525"/>
      <w:bookmarkEnd w:id="1526"/>
      <w:bookmarkEnd w:id="1527"/>
      <w:bookmarkEnd w:id="1528"/>
    </w:p>
    <w:p w14:paraId="058769DB">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529" w:name="_Toc20317"/>
      <w:bookmarkStart w:id="1530" w:name="_Toc29113"/>
      <w:bookmarkStart w:id="1531" w:name="_Toc31613"/>
      <w:bookmarkStart w:id="1532" w:name="_Toc24394"/>
      <w:bookmarkStart w:id="1533" w:name="_Toc24219"/>
      <w:bookmarkStart w:id="1534" w:name="_Toc27450"/>
      <w:bookmarkStart w:id="1535" w:name="_Toc2488"/>
      <w:bookmarkStart w:id="1536" w:name="_Toc17476"/>
      <w:bookmarkStart w:id="1537" w:name="_Toc13701"/>
      <w:bookmarkStart w:id="1538" w:name="_Toc31383"/>
      <w:bookmarkStart w:id="1539" w:name="_Toc17285"/>
      <w:r>
        <w:rPr>
          <w:bCs/>
          <w:color w:val="000000" w:themeColor="text1"/>
          <w:sz w:val="28"/>
          <w:szCs w:val="32"/>
          <w14:textFill>
            <w14:solidFill>
              <w14:schemeClr w14:val="tx1"/>
            </w14:solidFill>
          </w14:textFill>
        </w:rPr>
        <w:t>9.8.1总结论</w:t>
      </w:r>
      <w:bookmarkEnd w:id="1529"/>
      <w:bookmarkEnd w:id="1530"/>
      <w:bookmarkEnd w:id="1531"/>
      <w:bookmarkEnd w:id="1532"/>
      <w:bookmarkEnd w:id="1533"/>
      <w:bookmarkEnd w:id="1534"/>
      <w:bookmarkEnd w:id="1535"/>
      <w:bookmarkEnd w:id="1536"/>
      <w:bookmarkEnd w:id="1537"/>
      <w:bookmarkEnd w:id="1538"/>
      <w:bookmarkEnd w:id="1539"/>
    </w:p>
    <w:p w14:paraId="36F4A9BC">
      <w:pPr>
        <w:ind w:firstLine="480"/>
        <w:rPr>
          <w:color w:val="000000" w:themeColor="text1"/>
          <w14:textFill>
            <w14:solidFill>
              <w14:schemeClr w14:val="tx1"/>
            </w14:solidFill>
          </w14:textFill>
        </w:rPr>
      </w:pPr>
      <w:r>
        <w:rPr>
          <w:color w:val="000000" w:themeColor="text1"/>
          <w14:textFill>
            <w14:solidFill>
              <w14:schemeClr w14:val="tx1"/>
            </w14:solidFill>
          </w14:textFill>
        </w:rPr>
        <w:t>本项目在设计、施工、运行阶段将按照国家相关环境保护要求，分别采取一系列环境保护措施来减小工程的环境影响，在严格执行设计中已有、本环评新增的环境保护措施后，可将工程建设对环境的影响控制在国家环保标准要求的范围内，使建设项目建设对环境的影响满足国家相关标准要求。</w:t>
      </w:r>
    </w:p>
    <w:p w14:paraId="63206D75">
      <w:pPr>
        <w:ind w:firstLine="480"/>
        <w:rPr>
          <w:color w:val="000000" w:themeColor="text1"/>
          <w14:textFill>
            <w14:solidFill>
              <w14:schemeClr w14:val="tx1"/>
            </w14:solidFill>
          </w14:textFill>
        </w:rPr>
      </w:pPr>
      <w:r>
        <w:rPr>
          <w:color w:val="000000" w:themeColor="text1"/>
          <w14:textFill>
            <w14:solidFill>
              <w14:schemeClr w14:val="tx1"/>
            </w14:solidFill>
          </w14:textFill>
        </w:rPr>
        <w:t>从</w:t>
      </w:r>
      <w:r>
        <w:rPr>
          <w:rFonts w:hint="eastAsia"/>
          <w:color w:val="000000" w:themeColor="text1"/>
          <w:lang w:val="en-US" w:eastAsia="zh-CN"/>
          <w14:textFill>
            <w14:solidFill>
              <w14:schemeClr w14:val="tx1"/>
            </w14:solidFill>
          </w14:textFill>
        </w:rPr>
        <w:t>生态</w:t>
      </w:r>
      <w:r>
        <w:rPr>
          <w:color w:val="000000" w:themeColor="text1"/>
          <w14:textFill>
            <w14:solidFill>
              <w14:schemeClr w14:val="tx1"/>
            </w14:solidFill>
          </w14:textFill>
        </w:rPr>
        <w:t>环境保护的角度看，本项目的建设是可行的。</w:t>
      </w:r>
    </w:p>
    <w:p w14:paraId="6E140B60">
      <w:pPr>
        <w:pStyle w:val="4"/>
        <w:keepNext/>
        <w:keepLines/>
        <w:tabs>
          <w:tab w:val="clear" w:pos="907"/>
          <w:tab w:val="clear" w:pos="1034"/>
        </w:tabs>
        <w:adjustRightInd/>
        <w:spacing w:before="156" w:beforeLines="50" w:after="156" w:afterLines="50"/>
        <w:ind w:firstLine="0" w:firstLineChars="0"/>
        <w:jc w:val="both"/>
        <w:rPr>
          <w:bCs/>
          <w:color w:val="000000" w:themeColor="text1"/>
          <w:sz w:val="28"/>
          <w:szCs w:val="32"/>
          <w14:textFill>
            <w14:solidFill>
              <w14:schemeClr w14:val="tx1"/>
            </w14:solidFill>
          </w14:textFill>
        </w:rPr>
      </w:pPr>
      <w:bookmarkStart w:id="1540" w:name="_Toc2845"/>
      <w:bookmarkStart w:id="1541" w:name="_Toc10159"/>
      <w:bookmarkStart w:id="1542" w:name="_Toc21450"/>
      <w:bookmarkStart w:id="1543" w:name="_Toc723"/>
      <w:bookmarkStart w:id="1544" w:name="_Toc10201"/>
      <w:bookmarkStart w:id="1545" w:name="_Toc21419"/>
      <w:bookmarkStart w:id="1546" w:name="_Toc2320"/>
      <w:bookmarkStart w:id="1547" w:name="_Toc21340"/>
      <w:bookmarkStart w:id="1548" w:name="_Toc14117"/>
      <w:bookmarkStart w:id="1549" w:name="_Toc8756"/>
      <w:bookmarkStart w:id="1550" w:name="_Toc24084"/>
      <w:r>
        <w:rPr>
          <w:bCs/>
          <w:color w:val="000000" w:themeColor="text1"/>
          <w:sz w:val="28"/>
          <w:szCs w:val="32"/>
          <w14:textFill>
            <w14:solidFill>
              <w14:schemeClr w14:val="tx1"/>
            </w14:solidFill>
          </w14:textFill>
        </w:rPr>
        <w:t>9.8.2建议</w:t>
      </w:r>
      <w:bookmarkEnd w:id="1540"/>
      <w:bookmarkEnd w:id="1541"/>
      <w:bookmarkEnd w:id="1542"/>
      <w:bookmarkEnd w:id="1543"/>
      <w:bookmarkEnd w:id="1544"/>
      <w:bookmarkEnd w:id="1545"/>
      <w:bookmarkEnd w:id="1546"/>
      <w:bookmarkEnd w:id="1547"/>
      <w:bookmarkEnd w:id="1548"/>
      <w:bookmarkEnd w:id="1549"/>
      <w:bookmarkEnd w:id="1550"/>
    </w:p>
    <w:p w14:paraId="120554F8">
      <w:pPr>
        <w:ind w:firstLine="480"/>
        <w:rPr>
          <w:color w:val="000000" w:themeColor="text1"/>
          <w14:textFill>
            <w14:solidFill>
              <w14:schemeClr w14:val="tx1"/>
            </w14:solidFill>
          </w14:textFill>
        </w:rPr>
      </w:pPr>
      <w:r>
        <w:rPr>
          <w:color w:val="000000" w:themeColor="text1"/>
          <w14:textFill>
            <w14:solidFill>
              <w14:schemeClr w14:val="tx1"/>
            </w14:solidFill>
          </w14:textFill>
        </w:rPr>
        <w:t>落实本报告书所制定的环境保护措施，提出建议如下：</w:t>
      </w:r>
    </w:p>
    <w:p w14:paraId="71996191">
      <w:pPr>
        <w:ind w:firstLine="480"/>
        <w:rPr>
          <w:color w:val="000000" w:themeColor="text1"/>
          <w14:textFill>
            <w14:solidFill>
              <w14:schemeClr w14:val="tx1"/>
            </w14:solidFill>
          </w14:textFill>
        </w:rPr>
      </w:pPr>
      <w:r>
        <w:rPr>
          <w:color w:val="000000" w:themeColor="text1"/>
          <w14:textFill>
            <w14:solidFill>
              <w14:schemeClr w14:val="tx1"/>
            </w14:solidFill>
          </w14:textFill>
        </w:rPr>
        <w:t>（1）建设单位做好环境保护措施实施的管理与监督工作，对环境保护措施的实施进度、质量和资金进行监控管理，保证质量。</w:t>
      </w:r>
    </w:p>
    <w:p w14:paraId="2440EFB7">
      <w:pPr>
        <w:ind w:firstLine="480"/>
        <w:rPr>
          <w:b/>
          <w:color w:val="000000" w:themeColor="text1"/>
          <w14:textFill>
            <w14:solidFill>
              <w14:schemeClr w14:val="tx1"/>
            </w14:solidFill>
          </w14:textFill>
        </w:rPr>
      </w:pPr>
      <w:r>
        <w:rPr>
          <w:color w:val="000000" w:themeColor="text1"/>
          <w14:textFill>
            <w14:solidFill>
              <w14:schemeClr w14:val="tx1"/>
            </w14:solidFill>
          </w14:textFill>
        </w:rPr>
        <w:t>（2）本环评要求运营单位加强线路运营管理，合理配置线路负荷，避免出现线路过载状况发生</w:t>
      </w:r>
      <w:r>
        <w:rPr>
          <w:rFonts w:hint="eastAsia"/>
          <w:color w:val="000000" w:themeColor="text1"/>
          <w14:textFill>
            <w14:solidFill>
              <w14:schemeClr w14:val="tx1"/>
            </w14:solidFill>
          </w14:textFill>
        </w:rPr>
        <w:t>。</w:t>
      </w:r>
    </w:p>
    <w:p w14:paraId="6A38F2A7">
      <w:pPr>
        <w:ind w:firstLine="480"/>
        <w:rPr>
          <w:bCs/>
          <w:color w:val="000000" w:themeColor="text1"/>
          <w:lang w:bidi="ar"/>
          <w14:textFill>
            <w14:solidFill>
              <w14:schemeClr w14:val="tx1"/>
            </w14:solidFill>
          </w14:textFill>
        </w:rPr>
      </w:pPr>
    </w:p>
    <w:p w14:paraId="25C1F332">
      <w:pPr>
        <w:ind w:firstLine="480"/>
        <w:rPr>
          <w:bCs/>
          <w:color w:val="000000" w:themeColor="text1"/>
          <w:lang w:bidi="ar"/>
          <w14:textFill>
            <w14:solidFill>
              <w14:schemeClr w14:val="tx1"/>
            </w14:solidFill>
          </w14:textFill>
        </w:rPr>
      </w:pPr>
    </w:p>
    <w:p w14:paraId="1C9B88AD">
      <w:pPr>
        <w:ind w:firstLine="480"/>
        <w:rPr>
          <w:bCs/>
          <w:color w:val="000000" w:themeColor="text1"/>
          <w:lang w:bidi="ar"/>
          <w14:textFill>
            <w14:solidFill>
              <w14:schemeClr w14:val="tx1"/>
            </w14:solidFill>
          </w14:textFill>
        </w:rPr>
      </w:pPr>
    </w:p>
    <w:p w14:paraId="15D72194">
      <w:pPr>
        <w:ind w:firstLine="480"/>
        <w:rPr>
          <w:bCs/>
          <w:color w:val="000000" w:themeColor="text1"/>
          <w:lang w:bidi="ar"/>
          <w14:textFill>
            <w14:solidFill>
              <w14:schemeClr w14:val="tx1"/>
            </w14:solidFill>
          </w14:textFill>
        </w:rPr>
      </w:pPr>
    </w:p>
    <w:p w14:paraId="792FDE3D">
      <w:pPr>
        <w:ind w:firstLine="480"/>
        <w:rPr>
          <w:bCs/>
          <w:color w:val="000000" w:themeColor="text1"/>
          <w:lang w:bidi="ar"/>
          <w14:textFill>
            <w14:solidFill>
              <w14:schemeClr w14:val="tx1"/>
            </w14:solidFill>
          </w14:textFill>
        </w:rPr>
      </w:pPr>
    </w:p>
    <w:p w14:paraId="3C6DC232">
      <w:pPr>
        <w:ind w:firstLine="480"/>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2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TimesNewRomanPS-BoldMT">
    <w:altName w:val="Segoe Print"/>
    <w:panose1 w:val="00000000000000000000"/>
    <w:charset w:val="00"/>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11868">
    <w:pPr>
      <w:tabs>
        <w:tab w:val="center" w:pos="4153"/>
        <w:tab w:val="right" w:pos="8306"/>
      </w:tabs>
      <w:ind w:firstLine="360"/>
      <w:jc w:val="center"/>
      <w:rPr>
        <w:sz w:val="18"/>
        <w:szCs w:val="18"/>
      </w:rPr>
    </w:pPr>
  </w:p>
  <w:p w14:paraId="2AA1F9EA">
    <w:pPr>
      <w:tabs>
        <w:tab w:val="center" w:pos="4153"/>
        <w:tab w:val="right" w:pos="8306"/>
      </w:tabs>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EE623">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76DED">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BE8B9">
    <w:pPr>
      <w:tabs>
        <w:tab w:val="center" w:pos="4153"/>
        <w:tab w:val="right" w:pos="8306"/>
      </w:tabs>
      <w:ind w:firstLine="360"/>
      <w:jc w:val="center"/>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FADAC">
                          <w:pPr>
                            <w:tabs>
                              <w:tab w:val="center" w:pos="4153"/>
                              <w:tab w:val="right" w:pos="8306"/>
                            </w:tabs>
                            <w:ind w:firstLine="360"/>
                            <w:jc w:val="cente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43</w:t>
                          </w:r>
                          <w:r>
                            <w:rPr>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G99MEBAACP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k5FrQLg9Jixc+smoI9RUDOdUGE07lRfh8b1kPfxH2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5EG99MEBAACPAwAADgAAAAAAAAABACAAAAAeAQAAZHJzL2Uyb0RvYy54bWxQSwUG&#10;AAAAAAYABgBZAQAAUQUAAAAA&#10;">
              <v:fill on="f" focussize="0,0"/>
              <v:stroke on="f"/>
              <v:imagedata o:title=""/>
              <o:lock v:ext="edit" aspectratio="f"/>
              <v:textbox inset="0mm,0mm,0mm,0mm" style="mso-fit-shape-to-text:t;">
                <w:txbxContent>
                  <w:p w14:paraId="2C6FADAC">
                    <w:pPr>
                      <w:tabs>
                        <w:tab w:val="center" w:pos="4153"/>
                        <w:tab w:val="right" w:pos="8306"/>
                      </w:tabs>
                      <w:ind w:firstLine="360"/>
                      <w:jc w:val="cente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43</w:t>
                    </w:r>
                    <w:r>
                      <w:rPr>
                        <w:sz w:val="18"/>
                        <w:szCs w:val="18"/>
                      </w:rPr>
                      <w:fldChar w:fldCharType="end"/>
                    </w:r>
                  </w:p>
                </w:txbxContent>
              </v:textbox>
            </v:shape>
          </w:pict>
        </mc:Fallback>
      </mc:AlternateContent>
    </w:r>
  </w:p>
  <w:p w14:paraId="248BFFD6">
    <w:pPr>
      <w:tabs>
        <w:tab w:val="center" w:pos="4153"/>
        <w:tab w:val="right" w:pos="8306"/>
      </w:tabs>
      <w:ind w:firstLine="4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23D5A">
    <w:pPr>
      <w:tabs>
        <w:tab w:val="center" w:pos="4153"/>
        <w:tab w:val="right" w:pos="8306"/>
      </w:tabs>
      <w:ind w:firstLine="360"/>
      <w:jc w:val="center"/>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CF480">
                          <w:pPr>
                            <w:tabs>
                              <w:tab w:val="center" w:pos="4153"/>
                              <w:tab w:val="right" w:pos="8306"/>
                            </w:tabs>
                            <w:ind w:firstLine="360"/>
                            <w:jc w:val="cente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43</w:t>
                          </w:r>
                          <w:r>
                            <w:rPr>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6HyKsIBAACP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xcA8K7Q8LCpZ+MOkJNxXBOhdG0U3kR/ryXrKf/a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h8irCAQAAjwMAAA4AAAAAAAAAAQAgAAAAHgEAAGRycy9lMm9Eb2MueG1sUEsF&#10;BgAAAAAGAAYAWQEAAFIFAAAAAA==&#10;">
              <v:fill on="f" focussize="0,0"/>
              <v:stroke on="f"/>
              <v:imagedata o:title=""/>
              <o:lock v:ext="edit" aspectratio="f"/>
              <v:textbox inset="0mm,0mm,0mm,0mm" style="mso-fit-shape-to-text:t;">
                <w:txbxContent>
                  <w:p w14:paraId="1D7CF480">
                    <w:pPr>
                      <w:tabs>
                        <w:tab w:val="center" w:pos="4153"/>
                        <w:tab w:val="right" w:pos="8306"/>
                      </w:tabs>
                      <w:ind w:firstLine="360"/>
                      <w:jc w:val="cente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43</w:t>
                    </w:r>
                    <w:r>
                      <w:rPr>
                        <w:sz w:val="18"/>
                        <w:szCs w:val="18"/>
                      </w:rPr>
                      <w:fldChar w:fldCharType="end"/>
                    </w:r>
                  </w:p>
                </w:txbxContent>
              </v:textbox>
            </v:shape>
          </w:pict>
        </mc:Fallback>
      </mc:AlternateContent>
    </w:r>
  </w:p>
  <w:p w14:paraId="1AD88A2D">
    <w:pPr>
      <w:tabs>
        <w:tab w:val="center" w:pos="4153"/>
        <w:tab w:val="right" w:pos="8306"/>
      </w:tabs>
      <w:ind w:firstLine="4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170C9">
    <w:pPr>
      <w:tabs>
        <w:tab w:val="center" w:pos="4153"/>
        <w:tab w:val="right" w:pos="8306"/>
      </w:tabs>
      <w:ind w:firstLine="360"/>
      <w:jc w:val="center"/>
      <w:rPr>
        <w:sz w:val="18"/>
        <w:szCs w:val="18"/>
      </w:rPr>
    </w:pPr>
    <w:r>
      <w:rPr>
        <w:sz w:val="18"/>
        <w:szCs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BD15DF">
                          <w:pPr>
                            <w:tabs>
                              <w:tab w:val="center" w:pos="4153"/>
                              <w:tab w:val="right" w:pos="8306"/>
                            </w:tabs>
                            <w:ind w:firstLine="360"/>
                            <w:jc w:val="cente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43</w:t>
                          </w:r>
                          <w:r>
                            <w:rPr>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SPh1TCAQAAjwMAAA4AAAAAAAAAAQAgAAAAHgEAAGRycy9lMm9Eb2MueG1sUEsF&#10;BgAAAAAGAAYAWQEAAFIFAAAAAA==&#10;">
              <v:fill on="f" focussize="0,0"/>
              <v:stroke on="f"/>
              <v:imagedata o:title=""/>
              <o:lock v:ext="edit" aspectratio="f"/>
              <v:textbox inset="0mm,0mm,0mm,0mm" style="mso-fit-shape-to-text:t;">
                <w:txbxContent>
                  <w:p w14:paraId="24BD15DF">
                    <w:pPr>
                      <w:tabs>
                        <w:tab w:val="center" w:pos="4153"/>
                        <w:tab w:val="right" w:pos="8306"/>
                      </w:tabs>
                      <w:ind w:firstLine="360"/>
                      <w:jc w:val="cente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43</w:t>
                    </w:r>
                    <w:r>
                      <w:rPr>
                        <w:sz w:val="18"/>
                        <w:szCs w:val="18"/>
                      </w:rPr>
                      <w:fldChar w:fldCharType="end"/>
                    </w:r>
                  </w:p>
                </w:txbxContent>
              </v:textbox>
            </v:shape>
          </w:pict>
        </mc:Fallback>
      </mc:AlternateContent>
    </w:r>
  </w:p>
  <w:p w14:paraId="4C90A7F6">
    <w:pPr>
      <w:widowControl/>
      <w:ind w:firstLine="0" w:firstLineChars="0"/>
      <w:jc w:val="lef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0BCD0">
    <w:pPr>
      <w:tabs>
        <w:tab w:val="center" w:pos="4153"/>
        <w:tab w:val="right" w:pos="8306"/>
      </w:tabs>
      <w:ind w:firstLine="360"/>
      <w:jc w:val="center"/>
      <w:rPr>
        <w:sz w:val="18"/>
        <w:szCs w:val="18"/>
      </w:rPr>
    </w:pPr>
    <w:r>
      <w:rPr>
        <w:sz w:val="18"/>
        <w:szCs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EDEF28">
                          <w:pPr>
                            <w:tabs>
                              <w:tab w:val="center" w:pos="4153"/>
                              <w:tab w:val="right" w:pos="8306"/>
                            </w:tabs>
                            <w:ind w:firstLine="360"/>
                            <w:jc w:val="cente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43</w:t>
                          </w:r>
                          <w:r>
                            <w:rPr>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T7IsIBAACP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NWKEsctTvzy/dvlx6/Lz68E&#10;fShQH6DGvMeAmWm49wOuzewHdGbeg4o2f5ERwTjKe77KK4dERH60Xq7XFYYExuYL4rOn5yFCeiu9&#10;JdloaMT5FVn56T2kMXVOydWcf9DGlBka95cDMbOH5d7HHrOVhv0wEdr79ox8ehx9Qx1uOiXmnUNl&#10;85bMRpyN/WTkGhDujgkLl34y6gg1FcM5FUbTTuVF+PNesp7+o+1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Pr0+yLCAQAAjwMAAA4AAAAAAAAAAQAgAAAAHgEAAGRycy9lMm9Eb2MueG1sUEsF&#10;BgAAAAAGAAYAWQEAAFIFAAAAAA==&#10;">
              <v:fill on="f" focussize="0,0"/>
              <v:stroke on="f"/>
              <v:imagedata o:title=""/>
              <o:lock v:ext="edit" aspectratio="f"/>
              <v:textbox inset="0mm,0mm,0mm,0mm" style="mso-fit-shape-to-text:t;">
                <w:txbxContent>
                  <w:p w14:paraId="74EDEF28">
                    <w:pPr>
                      <w:tabs>
                        <w:tab w:val="center" w:pos="4153"/>
                        <w:tab w:val="right" w:pos="8306"/>
                      </w:tabs>
                      <w:ind w:firstLine="360"/>
                      <w:jc w:val="center"/>
                    </w:pP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43</w:t>
                    </w:r>
                    <w:r>
                      <w:rPr>
                        <w:sz w:val="1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C9FC0">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EA904">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ED169">
    <w:pPr>
      <w:pStyle w:val="1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27E17">
    <w:pPr>
      <w:pStyle w:val="14"/>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B71EA">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136D1"/>
    <w:multiLevelType w:val="singleLevel"/>
    <w:tmpl w:val="B51136D1"/>
    <w:lvl w:ilvl="0" w:tentative="0">
      <w:start w:val="1"/>
      <w:numFmt w:val="decimal"/>
      <w:suff w:val="nothing"/>
      <w:lvlText w:val="（%1）"/>
      <w:lvlJc w:val="left"/>
    </w:lvl>
  </w:abstractNum>
  <w:abstractNum w:abstractNumId="1">
    <w:nsid w:val="FD940CC8"/>
    <w:multiLevelType w:val="singleLevel"/>
    <w:tmpl w:val="FD940CC8"/>
    <w:lvl w:ilvl="0" w:tentative="0">
      <w:start w:val="1"/>
      <w:numFmt w:val="decimal"/>
      <w:suff w:val="nothing"/>
      <w:lvlText w:val="（%1）"/>
      <w:lvlJc w:val="left"/>
    </w:lvl>
  </w:abstractNum>
  <w:abstractNum w:abstractNumId="2">
    <w:nsid w:val="3066262A"/>
    <w:multiLevelType w:val="singleLevel"/>
    <w:tmpl w:val="3066262A"/>
    <w:lvl w:ilvl="0" w:tentative="0">
      <w:start w:val="1"/>
      <w:numFmt w:val="decimal"/>
      <w:suff w:val="nothing"/>
      <w:lvlText w:val="（%1）"/>
      <w:lvlJc w:val="left"/>
    </w:lvl>
  </w:abstractNum>
  <w:abstractNum w:abstractNumId="3">
    <w:nsid w:val="333F2FB9"/>
    <w:multiLevelType w:val="singleLevel"/>
    <w:tmpl w:val="333F2FB9"/>
    <w:lvl w:ilvl="0" w:tentative="0">
      <w:start w:val="1"/>
      <w:numFmt w:val="decimal"/>
      <w:suff w:val="nothing"/>
      <w:lvlText w:val="（%1）"/>
      <w:lvlJc w:val="left"/>
    </w:lvl>
  </w:abstractNum>
  <w:abstractNum w:abstractNumId="4">
    <w:nsid w:val="52394CEF"/>
    <w:multiLevelType w:val="singleLevel"/>
    <w:tmpl w:val="52394CEF"/>
    <w:lvl w:ilvl="0" w:tentative="0">
      <w:start w:val="1"/>
      <w:numFmt w:val="decimal"/>
      <w:suff w:val="nothing"/>
      <w:lvlText w:val="（%1）"/>
      <w:lvlJc w:val="left"/>
    </w:lvl>
  </w:abstractNum>
  <w:abstractNum w:abstractNumId="5">
    <w:nsid w:val="5D6466C3"/>
    <w:multiLevelType w:val="singleLevel"/>
    <w:tmpl w:val="5D6466C3"/>
    <w:lvl w:ilvl="0" w:tentative="0">
      <w:start w:val="1"/>
      <w:numFmt w:val="decimal"/>
      <w:suff w:val="nothing"/>
      <w:lvlText w:val="（%1）"/>
      <w:lvlJc w:val="left"/>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yZjc0MTI3N2JlMjY5MjA4NGZjNGYxMjkzYzdiYzMifQ=="/>
  </w:docVars>
  <w:rsids>
    <w:rsidRoot w:val="03354C9F"/>
    <w:rsid w:val="00013967"/>
    <w:rsid w:val="000936A8"/>
    <w:rsid w:val="001844EB"/>
    <w:rsid w:val="00261355"/>
    <w:rsid w:val="00276E33"/>
    <w:rsid w:val="002F3FA5"/>
    <w:rsid w:val="0038474A"/>
    <w:rsid w:val="004A7C7F"/>
    <w:rsid w:val="0050517C"/>
    <w:rsid w:val="005F11DA"/>
    <w:rsid w:val="00713EF4"/>
    <w:rsid w:val="0085534D"/>
    <w:rsid w:val="00A46B6B"/>
    <w:rsid w:val="00AA3EEA"/>
    <w:rsid w:val="00B66475"/>
    <w:rsid w:val="00B667ED"/>
    <w:rsid w:val="00C9458A"/>
    <w:rsid w:val="01DD59FB"/>
    <w:rsid w:val="02B2487B"/>
    <w:rsid w:val="02BF1E09"/>
    <w:rsid w:val="031E55FC"/>
    <w:rsid w:val="03340FE4"/>
    <w:rsid w:val="03354C9F"/>
    <w:rsid w:val="0376275E"/>
    <w:rsid w:val="038A7030"/>
    <w:rsid w:val="039F16A6"/>
    <w:rsid w:val="048C58F0"/>
    <w:rsid w:val="05CD33A0"/>
    <w:rsid w:val="05E963E0"/>
    <w:rsid w:val="06BC2E1F"/>
    <w:rsid w:val="06F20B86"/>
    <w:rsid w:val="075B22B2"/>
    <w:rsid w:val="07663D68"/>
    <w:rsid w:val="07BB022E"/>
    <w:rsid w:val="07C03DF5"/>
    <w:rsid w:val="07F30137"/>
    <w:rsid w:val="08435355"/>
    <w:rsid w:val="084F3D0D"/>
    <w:rsid w:val="08966904"/>
    <w:rsid w:val="08BB45BC"/>
    <w:rsid w:val="08ED3957"/>
    <w:rsid w:val="095A04BB"/>
    <w:rsid w:val="096634CF"/>
    <w:rsid w:val="0A1A4CD7"/>
    <w:rsid w:val="0A8B082C"/>
    <w:rsid w:val="0A8C3446"/>
    <w:rsid w:val="0B3348DE"/>
    <w:rsid w:val="0B7C5866"/>
    <w:rsid w:val="0BD84D27"/>
    <w:rsid w:val="0C571744"/>
    <w:rsid w:val="0CD43E9E"/>
    <w:rsid w:val="0D2B05BE"/>
    <w:rsid w:val="0DA82E77"/>
    <w:rsid w:val="0E6828F9"/>
    <w:rsid w:val="0E752711"/>
    <w:rsid w:val="0E7B5DF6"/>
    <w:rsid w:val="0EB675B9"/>
    <w:rsid w:val="0EB923BD"/>
    <w:rsid w:val="0F011EEA"/>
    <w:rsid w:val="0F0C3199"/>
    <w:rsid w:val="0F0F5662"/>
    <w:rsid w:val="0FA15B6D"/>
    <w:rsid w:val="0FC85F3C"/>
    <w:rsid w:val="0FD67286"/>
    <w:rsid w:val="1068327B"/>
    <w:rsid w:val="107C2B00"/>
    <w:rsid w:val="10856808"/>
    <w:rsid w:val="10C21375"/>
    <w:rsid w:val="112A4910"/>
    <w:rsid w:val="113C0730"/>
    <w:rsid w:val="113D64B6"/>
    <w:rsid w:val="11912B16"/>
    <w:rsid w:val="11DE6BAD"/>
    <w:rsid w:val="123A79A5"/>
    <w:rsid w:val="123F209A"/>
    <w:rsid w:val="12A61E39"/>
    <w:rsid w:val="12C1299C"/>
    <w:rsid w:val="12C343B2"/>
    <w:rsid w:val="13094C55"/>
    <w:rsid w:val="14141DB0"/>
    <w:rsid w:val="14822799"/>
    <w:rsid w:val="14AE2056"/>
    <w:rsid w:val="14AE3227"/>
    <w:rsid w:val="14EF468F"/>
    <w:rsid w:val="157A1DEF"/>
    <w:rsid w:val="15C47E49"/>
    <w:rsid w:val="15DE21BD"/>
    <w:rsid w:val="15F12DDD"/>
    <w:rsid w:val="16077400"/>
    <w:rsid w:val="16500E55"/>
    <w:rsid w:val="16973199"/>
    <w:rsid w:val="17647EC8"/>
    <w:rsid w:val="17BF26F5"/>
    <w:rsid w:val="1804388A"/>
    <w:rsid w:val="180E373B"/>
    <w:rsid w:val="18337365"/>
    <w:rsid w:val="18492C82"/>
    <w:rsid w:val="18BB3557"/>
    <w:rsid w:val="18BF6FB2"/>
    <w:rsid w:val="19193365"/>
    <w:rsid w:val="195A15FF"/>
    <w:rsid w:val="1A331A78"/>
    <w:rsid w:val="1A412CB8"/>
    <w:rsid w:val="1A6135D7"/>
    <w:rsid w:val="1AB66C95"/>
    <w:rsid w:val="1B1A33C4"/>
    <w:rsid w:val="1B1B5506"/>
    <w:rsid w:val="1B4C272F"/>
    <w:rsid w:val="1B505038"/>
    <w:rsid w:val="1B507D50"/>
    <w:rsid w:val="1B6805D3"/>
    <w:rsid w:val="1B862C71"/>
    <w:rsid w:val="1B882794"/>
    <w:rsid w:val="1BA63D15"/>
    <w:rsid w:val="1BC34470"/>
    <w:rsid w:val="1C351AFB"/>
    <w:rsid w:val="1C676F3A"/>
    <w:rsid w:val="1C79186D"/>
    <w:rsid w:val="1CA053B7"/>
    <w:rsid w:val="1D0B38C7"/>
    <w:rsid w:val="1DB025C5"/>
    <w:rsid w:val="1E010746"/>
    <w:rsid w:val="1EFF2FED"/>
    <w:rsid w:val="20251DD7"/>
    <w:rsid w:val="203F76EF"/>
    <w:rsid w:val="20C61C74"/>
    <w:rsid w:val="20D6677B"/>
    <w:rsid w:val="20E21E67"/>
    <w:rsid w:val="211E4EF1"/>
    <w:rsid w:val="216504B6"/>
    <w:rsid w:val="21EC3B40"/>
    <w:rsid w:val="21EF55AB"/>
    <w:rsid w:val="22631AF5"/>
    <w:rsid w:val="22982947"/>
    <w:rsid w:val="22A10291"/>
    <w:rsid w:val="23603972"/>
    <w:rsid w:val="239D6F21"/>
    <w:rsid w:val="23BA2425"/>
    <w:rsid w:val="24012D13"/>
    <w:rsid w:val="24A2638F"/>
    <w:rsid w:val="25035EB8"/>
    <w:rsid w:val="252F58DB"/>
    <w:rsid w:val="25665FAB"/>
    <w:rsid w:val="25E03AA2"/>
    <w:rsid w:val="25F501E4"/>
    <w:rsid w:val="26306192"/>
    <w:rsid w:val="26312EC9"/>
    <w:rsid w:val="263E105F"/>
    <w:rsid w:val="26696859"/>
    <w:rsid w:val="28235E4A"/>
    <w:rsid w:val="287431A0"/>
    <w:rsid w:val="28762C95"/>
    <w:rsid w:val="289F3E97"/>
    <w:rsid w:val="28BE21E0"/>
    <w:rsid w:val="28DC5E28"/>
    <w:rsid w:val="29187854"/>
    <w:rsid w:val="29BF210F"/>
    <w:rsid w:val="2A3D7746"/>
    <w:rsid w:val="2A4C0D5D"/>
    <w:rsid w:val="2A8C65EC"/>
    <w:rsid w:val="2ABB20B4"/>
    <w:rsid w:val="2AD970ED"/>
    <w:rsid w:val="2B002327"/>
    <w:rsid w:val="2B035C23"/>
    <w:rsid w:val="2B37734F"/>
    <w:rsid w:val="2CA7016E"/>
    <w:rsid w:val="2CC4165C"/>
    <w:rsid w:val="2CEB658B"/>
    <w:rsid w:val="2CFD2C01"/>
    <w:rsid w:val="2D127490"/>
    <w:rsid w:val="2D230C52"/>
    <w:rsid w:val="2D276581"/>
    <w:rsid w:val="2DEC6899"/>
    <w:rsid w:val="2E216586"/>
    <w:rsid w:val="2E755142"/>
    <w:rsid w:val="2E8F0C06"/>
    <w:rsid w:val="2ECB6A58"/>
    <w:rsid w:val="2F2579B9"/>
    <w:rsid w:val="2F720AE9"/>
    <w:rsid w:val="2F88755E"/>
    <w:rsid w:val="2FE200E6"/>
    <w:rsid w:val="2FE309C7"/>
    <w:rsid w:val="306B4369"/>
    <w:rsid w:val="308F0036"/>
    <w:rsid w:val="30937E91"/>
    <w:rsid w:val="30CE6E46"/>
    <w:rsid w:val="30DD0919"/>
    <w:rsid w:val="30F1651D"/>
    <w:rsid w:val="31AA1EB2"/>
    <w:rsid w:val="31C3143B"/>
    <w:rsid w:val="31E16315"/>
    <w:rsid w:val="322F0113"/>
    <w:rsid w:val="3242407B"/>
    <w:rsid w:val="328062C5"/>
    <w:rsid w:val="337B0E24"/>
    <w:rsid w:val="34762460"/>
    <w:rsid w:val="34B77A35"/>
    <w:rsid w:val="34CF61DA"/>
    <w:rsid w:val="35087FFD"/>
    <w:rsid w:val="350F489D"/>
    <w:rsid w:val="35B244CD"/>
    <w:rsid w:val="362C5B80"/>
    <w:rsid w:val="36363415"/>
    <w:rsid w:val="36DF23E3"/>
    <w:rsid w:val="374D2435"/>
    <w:rsid w:val="37AE4279"/>
    <w:rsid w:val="380341AD"/>
    <w:rsid w:val="386C44FB"/>
    <w:rsid w:val="386D0E02"/>
    <w:rsid w:val="388D4D7E"/>
    <w:rsid w:val="38936763"/>
    <w:rsid w:val="38974E23"/>
    <w:rsid w:val="38AD71CE"/>
    <w:rsid w:val="38B33C29"/>
    <w:rsid w:val="38D876D4"/>
    <w:rsid w:val="38EB1DB3"/>
    <w:rsid w:val="397F371D"/>
    <w:rsid w:val="39DB699D"/>
    <w:rsid w:val="3A192D6D"/>
    <w:rsid w:val="3A220ABD"/>
    <w:rsid w:val="3AFF6407"/>
    <w:rsid w:val="3B5473C9"/>
    <w:rsid w:val="3B76085A"/>
    <w:rsid w:val="3B7D6B01"/>
    <w:rsid w:val="3BB369FD"/>
    <w:rsid w:val="3C0632AD"/>
    <w:rsid w:val="3C0A668A"/>
    <w:rsid w:val="3C586DF0"/>
    <w:rsid w:val="3C703554"/>
    <w:rsid w:val="3C752089"/>
    <w:rsid w:val="3D1912D6"/>
    <w:rsid w:val="3D74475E"/>
    <w:rsid w:val="3D972726"/>
    <w:rsid w:val="3DBE18A2"/>
    <w:rsid w:val="3E820B75"/>
    <w:rsid w:val="3EBD534C"/>
    <w:rsid w:val="3ECE2DA5"/>
    <w:rsid w:val="3F306000"/>
    <w:rsid w:val="3F3B1B3D"/>
    <w:rsid w:val="3F5465F5"/>
    <w:rsid w:val="3F7E38C5"/>
    <w:rsid w:val="3FC736FB"/>
    <w:rsid w:val="3FF016A6"/>
    <w:rsid w:val="4045485F"/>
    <w:rsid w:val="40627BD7"/>
    <w:rsid w:val="406E5F66"/>
    <w:rsid w:val="40784565"/>
    <w:rsid w:val="40E44F98"/>
    <w:rsid w:val="40E95C2E"/>
    <w:rsid w:val="40FE2CBD"/>
    <w:rsid w:val="411F3DA9"/>
    <w:rsid w:val="418F6761"/>
    <w:rsid w:val="41C12336"/>
    <w:rsid w:val="41E74680"/>
    <w:rsid w:val="42373F3E"/>
    <w:rsid w:val="42DD6902"/>
    <w:rsid w:val="43AE4585"/>
    <w:rsid w:val="43D60441"/>
    <w:rsid w:val="4413597E"/>
    <w:rsid w:val="44906321"/>
    <w:rsid w:val="44ED03A1"/>
    <w:rsid w:val="44F37FEE"/>
    <w:rsid w:val="45B03EC5"/>
    <w:rsid w:val="45FA4487"/>
    <w:rsid w:val="461733C0"/>
    <w:rsid w:val="46337FE1"/>
    <w:rsid w:val="46695AEE"/>
    <w:rsid w:val="477772D0"/>
    <w:rsid w:val="477854F8"/>
    <w:rsid w:val="481C651B"/>
    <w:rsid w:val="489060D2"/>
    <w:rsid w:val="48DF5182"/>
    <w:rsid w:val="49BC54C3"/>
    <w:rsid w:val="4A345076"/>
    <w:rsid w:val="4A6F0787"/>
    <w:rsid w:val="4A8D1239"/>
    <w:rsid w:val="4AF60EA8"/>
    <w:rsid w:val="4B074E64"/>
    <w:rsid w:val="4B4746FF"/>
    <w:rsid w:val="4B644064"/>
    <w:rsid w:val="4BE3142D"/>
    <w:rsid w:val="4C200D7C"/>
    <w:rsid w:val="4C4D4AF8"/>
    <w:rsid w:val="4CE7696C"/>
    <w:rsid w:val="4CF03E01"/>
    <w:rsid w:val="4DBA440F"/>
    <w:rsid w:val="4E0273DF"/>
    <w:rsid w:val="4E2E41E6"/>
    <w:rsid w:val="4E4361B3"/>
    <w:rsid w:val="4EBD070A"/>
    <w:rsid w:val="4F102BE2"/>
    <w:rsid w:val="4F247D92"/>
    <w:rsid w:val="4F26672E"/>
    <w:rsid w:val="4F7655DB"/>
    <w:rsid w:val="50221A39"/>
    <w:rsid w:val="502D7210"/>
    <w:rsid w:val="50936639"/>
    <w:rsid w:val="50CE0B87"/>
    <w:rsid w:val="514F2999"/>
    <w:rsid w:val="51960CEF"/>
    <w:rsid w:val="51C1377E"/>
    <w:rsid w:val="52070FB5"/>
    <w:rsid w:val="52800280"/>
    <w:rsid w:val="537F6BB2"/>
    <w:rsid w:val="53AA58BF"/>
    <w:rsid w:val="54607885"/>
    <w:rsid w:val="546704F0"/>
    <w:rsid w:val="54824DFC"/>
    <w:rsid w:val="54931302"/>
    <w:rsid w:val="54BF5FD3"/>
    <w:rsid w:val="54D40874"/>
    <w:rsid w:val="55052414"/>
    <w:rsid w:val="55474DEA"/>
    <w:rsid w:val="55865C4C"/>
    <w:rsid w:val="559828E0"/>
    <w:rsid w:val="55A35789"/>
    <w:rsid w:val="55CF2D81"/>
    <w:rsid w:val="56427575"/>
    <w:rsid w:val="568630E0"/>
    <w:rsid w:val="56901769"/>
    <w:rsid w:val="56AE581D"/>
    <w:rsid w:val="57096B01"/>
    <w:rsid w:val="578F36AA"/>
    <w:rsid w:val="57A96DAE"/>
    <w:rsid w:val="58B53AB4"/>
    <w:rsid w:val="58D520FD"/>
    <w:rsid w:val="58E94730"/>
    <w:rsid w:val="593A6F98"/>
    <w:rsid w:val="595B6AA6"/>
    <w:rsid w:val="595F113B"/>
    <w:rsid w:val="59C16A55"/>
    <w:rsid w:val="5A416B5F"/>
    <w:rsid w:val="5A5837A1"/>
    <w:rsid w:val="5ACB4289"/>
    <w:rsid w:val="5AF727FF"/>
    <w:rsid w:val="5B1F21AC"/>
    <w:rsid w:val="5B5A4B3C"/>
    <w:rsid w:val="5BA74225"/>
    <w:rsid w:val="5BCA2D2A"/>
    <w:rsid w:val="5BCF382F"/>
    <w:rsid w:val="5BED37EE"/>
    <w:rsid w:val="5C446CDE"/>
    <w:rsid w:val="5C6B26F2"/>
    <w:rsid w:val="5CA758E9"/>
    <w:rsid w:val="5CB028E7"/>
    <w:rsid w:val="5CFD4C88"/>
    <w:rsid w:val="5D0336DD"/>
    <w:rsid w:val="5D086F45"/>
    <w:rsid w:val="5D744C7B"/>
    <w:rsid w:val="5DBE73FE"/>
    <w:rsid w:val="5E0F62DC"/>
    <w:rsid w:val="5E2C0F7D"/>
    <w:rsid w:val="5E443FAD"/>
    <w:rsid w:val="5E7275CA"/>
    <w:rsid w:val="5E9237FC"/>
    <w:rsid w:val="5EA1155D"/>
    <w:rsid w:val="5EE707CF"/>
    <w:rsid w:val="5F3306BE"/>
    <w:rsid w:val="5F942D12"/>
    <w:rsid w:val="5FB54A36"/>
    <w:rsid w:val="5FE200CF"/>
    <w:rsid w:val="5FF6265A"/>
    <w:rsid w:val="604234B2"/>
    <w:rsid w:val="60593614"/>
    <w:rsid w:val="608B7F27"/>
    <w:rsid w:val="60B44CEE"/>
    <w:rsid w:val="61BC39CE"/>
    <w:rsid w:val="621007EC"/>
    <w:rsid w:val="627C143B"/>
    <w:rsid w:val="628817CF"/>
    <w:rsid w:val="62AE5E99"/>
    <w:rsid w:val="62B30B79"/>
    <w:rsid w:val="63B23767"/>
    <w:rsid w:val="63C14FC9"/>
    <w:rsid w:val="641F5987"/>
    <w:rsid w:val="645B745D"/>
    <w:rsid w:val="64833355"/>
    <w:rsid w:val="64C6282F"/>
    <w:rsid w:val="64D30846"/>
    <w:rsid w:val="650C42E4"/>
    <w:rsid w:val="654A3BBE"/>
    <w:rsid w:val="65CF6CC4"/>
    <w:rsid w:val="65D81267"/>
    <w:rsid w:val="66417024"/>
    <w:rsid w:val="66646D63"/>
    <w:rsid w:val="66700C86"/>
    <w:rsid w:val="667B33A1"/>
    <w:rsid w:val="66AF5623"/>
    <w:rsid w:val="66B14E8A"/>
    <w:rsid w:val="67570DBD"/>
    <w:rsid w:val="675737E6"/>
    <w:rsid w:val="68032EB0"/>
    <w:rsid w:val="682A7955"/>
    <w:rsid w:val="683A521F"/>
    <w:rsid w:val="68CB4006"/>
    <w:rsid w:val="692C3FBB"/>
    <w:rsid w:val="693A44B1"/>
    <w:rsid w:val="69973E4A"/>
    <w:rsid w:val="69A5071F"/>
    <w:rsid w:val="6A2A5C37"/>
    <w:rsid w:val="6AE73A71"/>
    <w:rsid w:val="6B621882"/>
    <w:rsid w:val="6C0377BF"/>
    <w:rsid w:val="6C53126B"/>
    <w:rsid w:val="6CAA3969"/>
    <w:rsid w:val="6EA20961"/>
    <w:rsid w:val="6ED0363B"/>
    <w:rsid w:val="6F014A92"/>
    <w:rsid w:val="6F457929"/>
    <w:rsid w:val="70A6795C"/>
    <w:rsid w:val="7121322B"/>
    <w:rsid w:val="714B27BD"/>
    <w:rsid w:val="7189187F"/>
    <w:rsid w:val="72175003"/>
    <w:rsid w:val="72210D23"/>
    <w:rsid w:val="72380ACC"/>
    <w:rsid w:val="72C704ED"/>
    <w:rsid w:val="734913B7"/>
    <w:rsid w:val="734E2839"/>
    <w:rsid w:val="737A3659"/>
    <w:rsid w:val="73815756"/>
    <w:rsid w:val="738642C8"/>
    <w:rsid w:val="73925DF3"/>
    <w:rsid w:val="73AA0E77"/>
    <w:rsid w:val="73CF0095"/>
    <w:rsid w:val="73ED33C3"/>
    <w:rsid w:val="74122B5C"/>
    <w:rsid w:val="74347B30"/>
    <w:rsid w:val="74382BEE"/>
    <w:rsid w:val="74C63784"/>
    <w:rsid w:val="74C7199A"/>
    <w:rsid w:val="75124909"/>
    <w:rsid w:val="75AC1FED"/>
    <w:rsid w:val="763D7A1F"/>
    <w:rsid w:val="7641171E"/>
    <w:rsid w:val="7693434F"/>
    <w:rsid w:val="76A038F3"/>
    <w:rsid w:val="76AA71B4"/>
    <w:rsid w:val="76AF1D88"/>
    <w:rsid w:val="76D808ED"/>
    <w:rsid w:val="773F5AF3"/>
    <w:rsid w:val="77464194"/>
    <w:rsid w:val="7770053A"/>
    <w:rsid w:val="77733C50"/>
    <w:rsid w:val="778C40F8"/>
    <w:rsid w:val="779667DF"/>
    <w:rsid w:val="77C93127"/>
    <w:rsid w:val="77E001DF"/>
    <w:rsid w:val="7809333E"/>
    <w:rsid w:val="786A4233"/>
    <w:rsid w:val="78847153"/>
    <w:rsid w:val="78BB63A0"/>
    <w:rsid w:val="790F4F76"/>
    <w:rsid w:val="79541F7F"/>
    <w:rsid w:val="796E4800"/>
    <w:rsid w:val="79954A3C"/>
    <w:rsid w:val="799A2598"/>
    <w:rsid w:val="7A4B6A93"/>
    <w:rsid w:val="7A4D5B40"/>
    <w:rsid w:val="7A794C91"/>
    <w:rsid w:val="7AEE7323"/>
    <w:rsid w:val="7B2E771F"/>
    <w:rsid w:val="7B992988"/>
    <w:rsid w:val="7BA875E4"/>
    <w:rsid w:val="7BDE15A4"/>
    <w:rsid w:val="7C5878E9"/>
    <w:rsid w:val="7CB57EBA"/>
    <w:rsid w:val="7D686730"/>
    <w:rsid w:val="7D6E2F64"/>
    <w:rsid w:val="7E0B7CAB"/>
    <w:rsid w:val="7E3329D1"/>
    <w:rsid w:val="7EAF6DC9"/>
    <w:rsid w:val="7F141322"/>
    <w:rsid w:val="7F5F55F8"/>
    <w:rsid w:val="7F6176E5"/>
    <w:rsid w:val="7F854992"/>
    <w:rsid w:val="7F911B24"/>
    <w:rsid w:val="7FB550DB"/>
    <w:rsid w:val="7FED7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spacing w:before="80" w:beforeLines="80" w:after="80" w:afterLines="80"/>
      <w:ind w:firstLine="0" w:firstLineChars="0"/>
      <w:outlineLvl w:val="0"/>
    </w:pPr>
    <w:rPr>
      <w:b/>
      <w:sz w:val="32"/>
      <w:szCs w:val="20"/>
    </w:rPr>
  </w:style>
  <w:style w:type="paragraph" w:styleId="3">
    <w:name w:val="heading 2"/>
    <w:basedOn w:val="1"/>
    <w:next w:val="1"/>
    <w:qFormat/>
    <w:uiPriority w:val="9"/>
    <w:pPr>
      <w:tabs>
        <w:tab w:val="left" w:pos="420"/>
        <w:tab w:val="left" w:pos="907"/>
        <w:tab w:val="left" w:pos="1267"/>
      </w:tabs>
      <w:adjustRightInd w:val="0"/>
      <w:spacing w:before="60" w:beforeLines="60" w:after="60" w:afterLines="60"/>
      <w:ind w:firstLine="0" w:firstLineChars="0"/>
      <w:outlineLvl w:val="1"/>
    </w:pPr>
    <w:rPr>
      <w:b/>
      <w:bCs/>
      <w:color w:val="000000"/>
      <w:kern w:val="0"/>
      <w:sz w:val="30"/>
      <w:szCs w:val="20"/>
    </w:rPr>
  </w:style>
  <w:style w:type="paragraph" w:styleId="4">
    <w:name w:val="heading 3"/>
    <w:basedOn w:val="1"/>
    <w:next w:val="1"/>
    <w:qFormat/>
    <w:uiPriority w:val="9"/>
    <w:pPr>
      <w:tabs>
        <w:tab w:val="left" w:pos="907"/>
        <w:tab w:val="left" w:pos="1034"/>
      </w:tabs>
      <w:adjustRightInd w:val="0"/>
      <w:jc w:val="left"/>
      <w:outlineLvl w:val="2"/>
    </w:pPr>
    <w:rPr>
      <w:b/>
      <w:kern w:val="0"/>
      <w:sz w:val="30"/>
      <w:szCs w:val="20"/>
    </w:rPr>
  </w:style>
  <w:style w:type="paragraph" w:styleId="5">
    <w:name w:val="heading 4"/>
    <w:basedOn w:val="1"/>
    <w:next w:val="1"/>
    <w:qFormat/>
    <w:uiPriority w:val="0"/>
    <w:pPr>
      <w:keepNext/>
      <w:spacing w:before="20" w:beforeLines="20" w:after="20" w:afterLines="20"/>
      <w:ind w:firstLine="0" w:firstLineChars="0"/>
      <w:jc w:val="left"/>
      <w:outlineLvl w:val="3"/>
    </w:pPr>
    <w:rPr>
      <w:b/>
      <w:bCs/>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宋体" w:hAnsi="Calibri"/>
      <w:sz w:val="28"/>
      <w:szCs w:val="22"/>
    </w:rPr>
  </w:style>
  <w:style w:type="paragraph" w:styleId="7">
    <w:name w:val="caption"/>
    <w:basedOn w:val="1"/>
    <w:next w:val="1"/>
    <w:qFormat/>
    <w:uiPriority w:val="0"/>
    <w:pPr>
      <w:overflowPunct w:val="0"/>
      <w:topLinePunct/>
      <w:autoSpaceDE w:val="0"/>
      <w:autoSpaceDN w:val="0"/>
      <w:adjustRightInd w:val="0"/>
      <w:snapToGrid w:val="0"/>
      <w:spacing w:before="120" w:line="312" w:lineRule="auto"/>
      <w:jc w:val="center"/>
    </w:pPr>
    <w:rPr>
      <w:rFonts w:ascii="Arial" w:hAnsi="Arial" w:eastAsia="黑体" w:cs="Arial"/>
      <w:b/>
      <w:spacing w:val="8"/>
      <w:szCs w:val="22"/>
    </w:rPr>
  </w:style>
  <w:style w:type="paragraph" w:styleId="8">
    <w:name w:val="annotation text"/>
    <w:basedOn w:val="1"/>
    <w:next w:val="1"/>
    <w:link w:val="70"/>
    <w:qFormat/>
    <w:uiPriority w:val="0"/>
    <w:pPr>
      <w:jc w:val="left"/>
    </w:pPr>
  </w:style>
  <w:style w:type="paragraph" w:styleId="9">
    <w:name w:val="Body Text"/>
    <w:basedOn w:val="1"/>
    <w:unhideWhenUsed/>
    <w:qFormat/>
    <w:uiPriority w:val="0"/>
    <w:pPr>
      <w:spacing w:after="120"/>
    </w:pPr>
    <w:rPr>
      <w:szCs w:val="20"/>
    </w:rPr>
  </w:style>
  <w:style w:type="paragraph" w:styleId="10">
    <w:name w:val="Body Text Indent"/>
    <w:basedOn w:val="1"/>
    <w:next w:val="1"/>
    <w:unhideWhenUsed/>
    <w:qFormat/>
    <w:uiPriority w:val="99"/>
    <w:pPr>
      <w:spacing w:after="120"/>
      <w:ind w:left="420" w:leftChars="200"/>
    </w:pPr>
  </w:style>
  <w:style w:type="paragraph" w:styleId="11">
    <w:name w:val="Plain Text"/>
    <w:basedOn w:val="1"/>
    <w:unhideWhenUsed/>
    <w:qFormat/>
    <w:uiPriority w:val="0"/>
    <w:rPr>
      <w:rFonts w:ascii="宋体" w:hAnsi="Courier New"/>
      <w:szCs w:val="20"/>
    </w:rPr>
  </w:style>
  <w:style w:type="paragraph" w:styleId="12">
    <w:name w:val="Body Text Indent 2"/>
    <w:basedOn w:val="1"/>
    <w:qFormat/>
    <w:uiPriority w:val="0"/>
    <w:pPr>
      <w:spacing w:line="480" w:lineRule="exact"/>
      <w:ind w:firstLine="570"/>
    </w:pPr>
    <w:rPr>
      <w:kern w:val="0"/>
      <w:sz w:val="28"/>
    </w:rPr>
  </w:style>
  <w:style w:type="paragraph" w:styleId="13">
    <w:name w:val="footer"/>
    <w:basedOn w:val="1"/>
    <w:qFormat/>
    <w:uiPriority w:val="0"/>
    <w:pPr>
      <w:tabs>
        <w:tab w:val="center" w:pos="4153"/>
        <w:tab w:val="right" w:pos="8306"/>
      </w:tabs>
    </w:pPr>
    <w:rPr>
      <w:rFonts w:ascii="Tahoma" w:hAnsi="Tahoma"/>
      <w:sz w:val="18"/>
      <w:szCs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5">
    <w:name w:val="toc 1"/>
    <w:basedOn w:val="1"/>
    <w:next w:val="1"/>
    <w:qFormat/>
    <w:uiPriority w:val="0"/>
  </w:style>
  <w:style w:type="paragraph" w:styleId="16">
    <w:name w:val="Subtitle"/>
    <w:basedOn w:val="1"/>
    <w:next w:val="1"/>
    <w:qFormat/>
    <w:uiPriority w:val="11"/>
    <w:pPr>
      <w:jc w:val="center"/>
    </w:pPr>
    <w:rPr>
      <w:bCs/>
      <w:kern w:val="28"/>
      <w:szCs w:val="32"/>
    </w:rPr>
  </w:style>
  <w:style w:type="paragraph" w:styleId="17">
    <w:name w:val="List"/>
    <w:basedOn w:val="1"/>
    <w:next w:val="1"/>
    <w:unhideWhenUsed/>
    <w:qFormat/>
    <w:uiPriority w:val="99"/>
    <w:pPr>
      <w:ind w:left="200" w:hanging="200" w:hangingChars="200"/>
    </w:pPr>
    <w:rPr>
      <w:rFonts w:ascii="Arial" w:hAnsi="Arial"/>
    </w:rPr>
  </w:style>
  <w:style w:type="paragraph" w:styleId="18">
    <w:name w:val="footnote text"/>
    <w:basedOn w:val="1"/>
    <w:qFormat/>
    <w:uiPriority w:val="0"/>
    <w:pPr>
      <w:snapToGrid w:val="0"/>
      <w:jc w:val="left"/>
    </w:pPr>
    <w:rPr>
      <w:sz w:val="18"/>
    </w:rPr>
  </w:style>
  <w:style w:type="paragraph" w:styleId="19">
    <w:name w:val="toc 2"/>
    <w:basedOn w:val="1"/>
    <w:next w:val="1"/>
    <w:qFormat/>
    <w:uiPriority w:val="0"/>
    <w:pPr>
      <w:ind w:left="420" w:leftChars="200"/>
    </w:pPr>
  </w:style>
  <w:style w:type="paragraph" w:styleId="20">
    <w:name w:val="Body Text 2"/>
    <w:basedOn w:val="1"/>
    <w:qFormat/>
    <w:uiPriority w:val="0"/>
    <w:rPr>
      <w:sz w:val="13"/>
    </w:rPr>
  </w:style>
  <w:style w:type="paragraph" w:styleId="21">
    <w:name w:val="Normal (Web)"/>
    <w:basedOn w:val="1"/>
    <w:qFormat/>
    <w:uiPriority w:val="0"/>
    <w:pPr>
      <w:spacing w:before="100" w:beforeAutospacing="1" w:after="100" w:afterAutospacing="1"/>
      <w:jc w:val="left"/>
    </w:pPr>
    <w:rPr>
      <w:kern w:val="0"/>
    </w:rPr>
  </w:style>
  <w:style w:type="paragraph" w:styleId="22">
    <w:name w:val="Title"/>
    <w:basedOn w:val="1"/>
    <w:next w:val="1"/>
    <w:qFormat/>
    <w:uiPriority w:val="10"/>
    <w:pPr>
      <w:spacing w:before="240" w:after="60"/>
      <w:ind w:firstLine="562"/>
      <w:jc w:val="center"/>
      <w:outlineLvl w:val="0"/>
    </w:pPr>
    <w:rPr>
      <w:rFonts w:ascii="Arial" w:hAnsi="Arial" w:cs="Arial"/>
      <w:b/>
      <w:bCs/>
      <w:szCs w:val="32"/>
    </w:rPr>
  </w:style>
  <w:style w:type="paragraph" w:styleId="23">
    <w:name w:val="annotation subject"/>
    <w:basedOn w:val="8"/>
    <w:next w:val="8"/>
    <w:link w:val="71"/>
    <w:qFormat/>
    <w:uiPriority w:val="0"/>
    <w:rPr>
      <w:b/>
      <w:bCs/>
    </w:rPr>
  </w:style>
  <w:style w:type="paragraph" w:styleId="24">
    <w:name w:val="Body Text First Indent"/>
    <w:basedOn w:val="9"/>
    <w:next w:val="1"/>
    <w:unhideWhenUsed/>
    <w:qFormat/>
    <w:uiPriority w:val="0"/>
    <w:pPr>
      <w:ind w:firstLine="420"/>
    </w:pPr>
    <w:rPr>
      <w:rFonts w:ascii="宋体" w:hAnsi="Arial"/>
      <w:b/>
      <w:sz w:val="28"/>
    </w:rPr>
  </w:style>
  <w:style w:type="paragraph" w:styleId="25">
    <w:name w:val="Body Text First Indent 2"/>
    <w:basedOn w:val="10"/>
    <w:next w:val="24"/>
    <w:unhideWhenUsed/>
    <w:qFormat/>
    <w:uiPriority w:val="0"/>
    <w:pPr>
      <w:ind w:firstLine="420"/>
    </w:p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Strong"/>
    <w:basedOn w:val="28"/>
    <w:qFormat/>
    <w:uiPriority w:val="0"/>
    <w:rPr>
      <w:b/>
    </w:rPr>
  </w:style>
  <w:style w:type="character" w:styleId="30">
    <w:name w:val="FollowedHyperlink"/>
    <w:unhideWhenUsed/>
    <w:qFormat/>
    <w:uiPriority w:val="0"/>
    <w:rPr>
      <w:color w:val="auto"/>
      <w:sz w:val="24"/>
      <w:u w:val="none"/>
    </w:rPr>
  </w:style>
  <w:style w:type="character" w:styleId="31">
    <w:name w:val="Hyperlink"/>
    <w:unhideWhenUsed/>
    <w:qFormat/>
    <w:uiPriority w:val="99"/>
    <w:rPr>
      <w:color w:val="0000FF"/>
      <w:u w:val="single"/>
    </w:rPr>
  </w:style>
  <w:style w:type="character" w:styleId="32">
    <w:name w:val="annotation reference"/>
    <w:basedOn w:val="28"/>
    <w:qFormat/>
    <w:uiPriority w:val="0"/>
    <w:rPr>
      <w:sz w:val="21"/>
      <w:szCs w:val="21"/>
    </w:rPr>
  </w:style>
  <w:style w:type="character" w:styleId="33">
    <w:name w:val="footnote reference"/>
    <w:basedOn w:val="28"/>
    <w:qFormat/>
    <w:uiPriority w:val="0"/>
    <w:rPr>
      <w:vertAlign w:val="superscript"/>
    </w:rPr>
  </w:style>
  <w:style w:type="paragraph" w:customStyle="1" w:styleId="34">
    <w:name w:val="Default"/>
    <w:basedOn w:val="35"/>
    <w:qFormat/>
    <w:uiPriority w:val="0"/>
    <w:rPr>
      <w:szCs w:val="24"/>
    </w:rPr>
  </w:style>
  <w:style w:type="paragraph" w:styleId="35">
    <w:name w:val="No Spacing"/>
    <w:autoRedefine/>
    <w:qFormat/>
    <w:uiPriority w:val="99"/>
    <w:pPr>
      <w:widowControl w:val="0"/>
      <w:autoSpaceDE w:val="0"/>
      <w:autoSpaceDN w:val="0"/>
    </w:pPr>
    <w:rPr>
      <w:rFonts w:ascii="宋体" w:hAnsi="宋体" w:eastAsia="宋体" w:cs="宋体"/>
      <w:sz w:val="22"/>
      <w:szCs w:val="22"/>
      <w:lang w:val="zh-CN" w:eastAsia="zh-CN" w:bidi="zh-CN"/>
    </w:rPr>
  </w:style>
  <w:style w:type="paragraph" w:customStyle="1" w:styleId="36">
    <w:name w:val="WPSOffice手动目录 1"/>
    <w:qFormat/>
    <w:uiPriority w:val="0"/>
    <w:rPr>
      <w:rFonts w:ascii="Times New Roman" w:hAnsi="Times New Roman" w:eastAsia="宋体" w:cs="Times New Roman"/>
      <w:lang w:val="en-US" w:eastAsia="zh-CN" w:bidi="ar-SA"/>
    </w:rPr>
  </w:style>
  <w:style w:type="paragraph" w:customStyle="1" w:styleId="3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8">
    <w:name w:val="表头"/>
    <w:basedOn w:val="39"/>
    <w:next w:val="1"/>
    <w:qFormat/>
    <w:uiPriority w:val="0"/>
    <w:pPr>
      <w:adjustRightInd w:val="0"/>
      <w:snapToGrid w:val="0"/>
      <w:jc w:val="center"/>
    </w:pPr>
    <w:rPr>
      <w:color w:val="000000"/>
      <w:sz w:val="21"/>
    </w:rPr>
  </w:style>
  <w:style w:type="paragraph" w:customStyle="1" w:styleId="39">
    <w:name w:val="表外"/>
    <w:basedOn w:val="1"/>
    <w:autoRedefine/>
    <w:qFormat/>
    <w:uiPriority w:val="0"/>
    <w:rPr>
      <w:b/>
      <w:sz w:val="32"/>
    </w:rPr>
  </w:style>
  <w:style w:type="paragraph" w:customStyle="1" w:styleId="40">
    <w:name w:val="表格内容"/>
    <w:basedOn w:val="38"/>
    <w:next w:val="1"/>
    <w:qFormat/>
    <w:uiPriority w:val="0"/>
    <w:pPr>
      <w:spacing w:line="240" w:lineRule="auto"/>
      <w:ind w:firstLine="0" w:firstLineChars="0"/>
    </w:pPr>
    <w:rPr>
      <w:szCs w:val="22"/>
    </w:rPr>
  </w:style>
  <w:style w:type="paragraph" w:customStyle="1" w:styleId="41">
    <w:name w:val="表格"/>
    <w:basedOn w:val="17"/>
    <w:next w:val="1"/>
    <w:qFormat/>
    <w:uiPriority w:val="0"/>
    <w:pPr>
      <w:ind w:left="0" w:firstLine="0"/>
      <w:jc w:val="center"/>
    </w:pPr>
    <w:rPr>
      <w:kern w:val="0"/>
      <w:szCs w:val="21"/>
    </w:rPr>
  </w:style>
  <w:style w:type="paragraph" w:customStyle="1" w:styleId="42">
    <w:name w:val="[1]正文"/>
    <w:basedOn w:val="1"/>
    <w:qFormat/>
    <w:uiPriority w:val="0"/>
    <w:pPr>
      <w:autoSpaceDE w:val="0"/>
      <w:autoSpaceDN w:val="0"/>
      <w:ind w:firstLine="200"/>
    </w:pPr>
    <w:rPr>
      <w:color w:val="000000"/>
      <w:kern w:val="0"/>
      <w:lang w:val="zh-CN"/>
    </w:rPr>
  </w:style>
  <w:style w:type="paragraph" w:customStyle="1" w:styleId="43">
    <w:name w:val="样式 样式 正文 + 仿宋_GB2312 自动设置 首行缩进:  2 字符"/>
    <w:basedOn w:val="1"/>
    <w:qFormat/>
    <w:uiPriority w:val="0"/>
    <w:pPr>
      <w:adjustRightInd w:val="0"/>
      <w:snapToGrid w:val="0"/>
      <w:ind w:firstLine="480"/>
      <w:jc w:val="left"/>
    </w:pPr>
    <w:rPr>
      <w:rFonts w:ascii="宋体" w:hAnsi="宋体"/>
      <w:bCs/>
      <w:color w:val="000000"/>
      <w:spacing w:val="-4"/>
      <w:kern w:val="16"/>
      <w:szCs w:val="20"/>
    </w:rPr>
  </w:style>
  <w:style w:type="paragraph" w:customStyle="1" w:styleId="44">
    <w:name w:val="wyc正文"/>
    <w:basedOn w:val="1"/>
    <w:autoRedefine/>
    <w:qFormat/>
    <w:uiPriority w:val="0"/>
    <w:pPr>
      <w:adjustRightInd w:val="0"/>
      <w:ind w:firstLine="480"/>
    </w:pPr>
    <w:rPr>
      <w:bCs/>
      <w:szCs w:val="20"/>
    </w:rPr>
  </w:style>
  <w:style w:type="paragraph" w:customStyle="1" w:styleId="45">
    <w:name w:val="wyc-表头"/>
    <w:basedOn w:val="1"/>
    <w:autoRedefine/>
    <w:qFormat/>
    <w:uiPriority w:val="0"/>
    <w:pPr>
      <w:jc w:val="center"/>
    </w:pPr>
    <w:rPr>
      <w:b/>
      <w:bCs/>
      <w:color w:val="000000"/>
    </w:rPr>
  </w:style>
  <w:style w:type="paragraph" w:customStyle="1" w:styleId="46">
    <w:name w:val="1 表头"/>
    <w:basedOn w:val="1"/>
    <w:autoRedefine/>
    <w:qFormat/>
    <w:uiPriority w:val="0"/>
    <w:pPr>
      <w:adjustRightInd w:val="0"/>
      <w:snapToGrid w:val="0"/>
      <w:jc w:val="center"/>
    </w:pPr>
    <w:rPr>
      <w:b/>
      <w:color w:val="000000"/>
      <w:szCs w:val="21"/>
    </w:rPr>
  </w:style>
  <w:style w:type="paragraph" w:customStyle="1" w:styleId="47">
    <w:name w:val="_Style 50"/>
    <w:basedOn w:val="1"/>
    <w:next w:val="48"/>
    <w:qFormat/>
    <w:uiPriority w:val="99"/>
    <w:pPr>
      <w:ind w:firstLine="420"/>
    </w:pPr>
  </w:style>
  <w:style w:type="paragraph" w:styleId="48">
    <w:name w:val="List Paragraph"/>
    <w:basedOn w:val="1"/>
    <w:qFormat/>
    <w:uiPriority w:val="1"/>
    <w:pPr>
      <w:ind w:left="2013" w:hanging="602"/>
    </w:pPr>
    <w:rPr>
      <w:rFonts w:ascii="宋体" w:hAnsi="宋体" w:cs="宋体"/>
      <w:lang w:val="zh-CN" w:bidi="zh-CN"/>
    </w:rPr>
  </w:style>
  <w:style w:type="paragraph" w:customStyle="1" w:styleId="49">
    <w:name w:val="正文新"/>
    <w:basedOn w:val="6"/>
    <w:qFormat/>
    <w:uiPriority w:val="0"/>
    <w:pPr>
      <w:spacing w:line="460" w:lineRule="exact"/>
      <w:ind w:firstLine="480"/>
    </w:pPr>
  </w:style>
  <w:style w:type="paragraph" w:customStyle="1" w:styleId="50">
    <w:name w:val="1正文段落 Char"/>
    <w:basedOn w:val="1"/>
    <w:qFormat/>
    <w:uiPriority w:val="0"/>
    <w:pPr>
      <w:snapToGrid w:val="0"/>
      <w:spacing w:line="520" w:lineRule="exact"/>
      <w:ind w:firstLine="200"/>
      <w:jc w:val="left"/>
    </w:pPr>
    <w:rPr>
      <w:rFonts w:ascii="Calibri" w:hAnsi="Calibri"/>
      <w:sz w:val="28"/>
      <w:szCs w:val="22"/>
    </w:rPr>
  </w:style>
  <w:style w:type="paragraph" w:customStyle="1" w:styleId="51">
    <w:name w:val="4刘群正文*"/>
    <w:basedOn w:val="1"/>
    <w:qFormat/>
    <w:uiPriority w:val="0"/>
    <w:pPr>
      <w:spacing w:line="520" w:lineRule="exact"/>
      <w:ind w:firstLine="480"/>
    </w:pPr>
    <w:rPr>
      <w:kern w:val="0"/>
      <w:lang w:val="zh-CN"/>
    </w:rPr>
  </w:style>
  <w:style w:type="paragraph" w:customStyle="1" w:styleId="52">
    <w:name w:val="正文修改"/>
    <w:basedOn w:val="1"/>
    <w:qFormat/>
    <w:uiPriority w:val="0"/>
    <w:pPr>
      <w:ind w:firstLine="480"/>
    </w:pPr>
    <w:rPr>
      <w:rFonts w:hAnsi="宋体"/>
      <w:kern w:val="0"/>
    </w:rPr>
  </w:style>
  <w:style w:type="paragraph" w:customStyle="1" w:styleId="53">
    <w:name w:val="表格样式1"/>
    <w:basedOn w:val="1"/>
    <w:qFormat/>
    <w:uiPriority w:val="0"/>
    <w:pPr>
      <w:adjustRightInd w:val="0"/>
      <w:spacing w:line="20" w:lineRule="atLeast"/>
      <w:jc w:val="center"/>
    </w:pPr>
    <w:rPr>
      <w:rFonts w:ascii="宋体"/>
      <w:kern w:val="0"/>
      <w:szCs w:val="20"/>
    </w:rPr>
  </w:style>
  <w:style w:type="paragraph" w:customStyle="1" w:styleId="54">
    <w:name w:val="表名"/>
    <w:basedOn w:val="1"/>
    <w:qFormat/>
    <w:uiPriority w:val="0"/>
    <w:pPr>
      <w:overflowPunct w:val="0"/>
      <w:spacing w:before="120" w:line="300" w:lineRule="exact"/>
    </w:pPr>
    <w:rPr>
      <w:rFonts w:eastAsia="黑体"/>
      <w:sz w:val="28"/>
      <w:szCs w:val="20"/>
    </w:rPr>
  </w:style>
  <w:style w:type="paragraph" w:customStyle="1" w:styleId="55">
    <w:name w:val="表"/>
    <w:basedOn w:val="1"/>
    <w:next w:val="1"/>
    <w:qFormat/>
    <w:uiPriority w:val="0"/>
    <w:pPr>
      <w:adjustRightInd w:val="0"/>
      <w:spacing w:before="120"/>
      <w:jc w:val="center"/>
    </w:pPr>
    <w:rPr>
      <w:rFonts w:ascii="Calibri" w:hAnsi="Calibri"/>
      <w:szCs w:val="22"/>
    </w:rPr>
  </w:style>
  <w:style w:type="paragraph" w:customStyle="1" w:styleId="56">
    <w:name w:val="B正文表格"/>
    <w:qFormat/>
    <w:uiPriority w:val="0"/>
    <w:pPr>
      <w:jc w:val="center"/>
    </w:pPr>
    <w:rPr>
      <w:rFonts w:ascii="Times New Roman" w:hAnsi="Times New Roman" w:eastAsia="宋体" w:cs="Times New Roman"/>
      <w:bCs/>
      <w:kern w:val="2"/>
      <w:sz w:val="21"/>
      <w:szCs w:val="24"/>
      <w:lang w:val="en-US" w:eastAsia="zh-CN" w:bidi="ar-SA"/>
    </w:rPr>
  </w:style>
  <w:style w:type="character" w:customStyle="1" w:styleId="57">
    <w:name w:val="unnamed113"/>
    <w:qFormat/>
    <w:uiPriority w:val="0"/>
    <w:rPr>
      <w:color w:val="000000"/>
      <w:sz w:val="12"/>
      <w:szCs w:val="12"/>
    </w:rPr>
  </w:style>
  <w:style w:type="paragraph" w:customStyle="1" w:styleId="58">
    <w:name w:val="图头"/>
    <w:basedOn w:val="1"/>
    <w:next w:val="1"/>
    <w:qFormat/>
    <w:uiPriority w:val="0"/>
    <w:pPr>
      <w:keepLines/>
      <w:spacing w:after="50" w:afterLines="50" w:line="240" w:lineRule="auto"/>
      <w:ind w:firstLine="0" w:firstLineChars="0"/>
      <w:jc w:val="center"/>
    </w:pPr>
    <w:rPr>
      <w:rFonts w:hint="eastAsia"/>
      <w:b/>
    </w:rPr>
  </w:style>
  <w:style w:type="table" w:customStyle="1" w:styleId="59">
    <w:name w:val="Table Normal"/>
    <w:semiHidden/>
    <w:unhideWhenUsed/>
    <w:qFormat/>
    <w:uiPriority w:val="0"/>
    <w:tblPr>
      <w:tblCellMar>
        <w:top w:w="0" w:type="dxa"/>
        <w:left w:w="0" w:type="dxa"/>
        <w:bottom w:w="0" w:type="dxa"/>
        <w:right w:w="0" w:type="dxa"/>
      </w:tblCellMar>
    </w:tblPr>
  </w:style>
  <w:style w:type="paragraph" w:customStyle="1" w:styleId="60">
    <w:name w:val="文本"/>
    <w:basedOn w:val="1"/>
    <w:qFormat/>
    <w:uiPriority w:val="0"/>
    <w:pPr>
      <w:ind w:firstLine="480"/>
      <w:jc w:val="left"/>
    </w:pPr>
    <w:rPr>
      <w:rFonts w:ascii="Calibri" w:hAnsi="Calibri"/>
    </w:rPr>
  </w:style>
  <w:style w:type="paragraph" w:customStyle="1" w:styleId="61">
    <w:name w:val="封面"/>
    <w:basedOn w:val="1"/>
    <w:qFormat/>
    <w:uiPriority w:val="0"/>
  </w:style>
  <w:style w:type="character" w:customStyle="1" w:styleId="62">
    <w:name w:val="font41"/>
    <w:basedOn w:val="28"/>
    <w:qFormat/>
    <w:uiPriority w:val="0"/>
    <w:rPr>
      <w:rFonts w:hint="default" w:ascii="Times New Roman" w:hAnsi="Times New Roman" w:cs="Times New Roman"/>
      <w:color w:val="000000"/>
      <w:sz w:val="24"/>
      <w:szCs w:val="24"/>
      <w:u w:val="none"/>
    </w:rPr>
  </w:style>
  <w:style w:type="character" w:customStyle="1" w:styleId="63">
    <w:name w:val="font11"/>
    <w:basedOn w:val="28"/>
    <w:qFormat/>
    <w:uiPriority w:val="0"/>
    <w:rPr>
      <w:rFonts w:hint="eastAsia" w:ascii="宋体" w:hAnsi="宋体" w:eastAsia="宋体" w:cs="宋体"/>
      <w:color w:val="000000"/>
      <w:sz w:val="24"/>
      <w:szCs w:val="24"/>
      <w:u w:val="none"/>
    </w:rPr>
  </w:style>
  <w:style w:type="character" w:customStyle="1" w:styleId="64">
    <w:name w:val="font31"/>
    <w:basedOn w:val="28"/>
    <w:qFormat/>
    <w:uiPriority w:val="0"/>
    <w:rPr>
      <w:rFonts w:hint="default" w:ascii="Times New Roman" w:hAnsi="Times New Roman" w:cs="Times New Roman"/>
      <w:color w:val="000000"/>
      <w:sz w:val="24"/>
      <w:szCs w:val="24"/>
      <w:u w:val="none"/>
    </w:rPr>
  </w:style>
  <w:style w:type="character" w:customStyle="1" w:styleId="65">
    <w:name w:val="font21"/>
    <w:basedOn w:val="28"/>
    <w:qFormat/>
    <w:uiPriority w:val="0"/>
    <w:rPr>
      <w:rFonts w:hint="eastAsia" w:ascii="宋体" w:hAnsi="宋体" w:eastAsia="宋体" w:cs="宋体"/>
      <w:color w:val="000000"/>
      <w:sz w:val="24"/>
      <w:szCs w:val="24"/>
      <w:u w:val="none"/>
    </w:rPr>
  </w:style>
  <w:style w:type="character" w:customStyle="1" w:styleId="66">
    <w:name w:val="font51"/>
    <w:basedOn w:val="28"/>
    <w:qFormat/>
    <w:uiPriority w:val="0"/>
    <w:rPr>
      <w:rFonts w:hint="eastAsia" w:ascii="宋体" w:hAnsi="宋体" w:eastAsia="宋体" w:cs="宋体"/>
      <w:color w:val="000000"/>
      <w:sz w:val="24"/>
      <w:szCs w:val="24"/>
      <w:u w:val="none"/>
    </w:rPr>
  </w:style>
  <w:style w:type="paragraph" w:customStyle="1" w:styleId="67">
    <w:name w:val="zw"/>
    <w:basedOn w:val="1"/>
    <w:qFormat/>
    <w:uiPriority w:val="0"/>
    <w:pPr>
      <w:shd w:val="clear" w:color="auto" w:fill="FFFFFF"/>
      <w:adjustRightInd w:val="0"/>
      <w:snapToGrid w:val="0"/>
      <w:ind w:firstLine="480"/>
    </w:pPr>
    <w:rPr>
      <w:snapToGrid w:val="0"/>
    </w:rPr>
  </w:style>
  <w:style w:type="character" w:customStyle="1" w:styleId="68">
    <w:name w:val="font61"/>
    <w:basedOn w:val="28"/>
    <w:qFormat/>
    <w:uiPriority w:val="0"/>
    <w:rPr>
      <w:rFonts w:hint="eastAsia" w:ascii="宋体" w:hAnsi="宋体" w:eastAsia="宋体" w:cs="宋体"/>
      <w:color w:val="000000"/>
      <w:sz w:val="24"/>
      <w:szCs w:val="24"/>
      <w:u w:val="none"/>
    </w:rPr>
  </w:style>
  <w:style w:type="character" w:customStyle="1" w:styleId="69">
    <w:name w:val="font71"/>
    <w:basedOn w:val="28"/>
    <w:qFormat/>
    <w:uiPriority w:val="0"/>
    <w:rPr>
      <w:rFonts w:hint="eastAsia" w:ascii="宋体" w:hAnsi="宋体" w:eastAsia="宋体" w:cs="宋体"/>
      <w:color w:val="000000"/>
      <w:sz w:val="24"/>
      <w:szCs w:val="24"/>
      <w:u w:val="none"/>
    </w:rPr>
  </w:style>
  <w:style w:type="character" w:customStyle="1" w:styleId="70">
    <w:name w:val="批注文字 字符"/>
    <w:basedOn w:val="28"/>
    <w:link w:val="8"/>
    <w:qFormat/>
    <w:uiPriority w:val="0"/>
    <w:rPr>
      <w:kern w:val="2"/>
      <w:sz w:val="24"/>
      <w:szCs w:val="24"/>
    </w:rPr>
  </w:style>
  <w:style w:type="character" w:customStyle="1" w:styleId="71">
    <w:name w:val="批注主题 字符"/>
    <w:basedOn w:val="70"/>
    <w:link w:val="23"/>
    <w:qFormat/>
    <w:uiPriority w:val="0"/>
    <w:rPr>
      <w:b/>
      <w:bCs/>
      <w:kern w:val="2"/>
      <w:sz w:val="24"/>
      <w:szCs w:val="24"/>
    </w:rPr>
  </w:style>
  <w:style w:type="paragraph" w:customStyle="1" w:styleId="72">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8" Type="http://schemas.openxmlformats.org/officeDocument/2006/relationships/fontTable" Target="fontTable.xml"/><Relationship Id="rId87" Type="http://schemas.openxmlformats.org/officeDocument/2006/relationships/customXml" Target="../customXml/item2.xml"/><Relationship Id="rId86" Type="http://schemas.openxmlformats.org/officeDocument/2006/relationships/numbering" Target="numbering.xml"/><Relationship Id="rId85" Type="http://schemas.openxmlformats.org/officeDocument/2006/relationships/customXml" Target="../customXml/item1.xml"/><Relationship Id="rId84" Type="http://schemas.openxmlformats.org/officeDocument/2006/relationships/chart" Target="charts/chart6.xml"/><Relationship Id="rId83" Type="http://schemas.openxmlformats.org/officeDocument/2006/relationships/chart" Target="charts/chart5.xml"/><Relationship Id="rId82" Type="http://schemas.openxmlformats.org/officeDocument/2006/relationships/image" Target="media/image61.png"/><Relationship Id="rId81" Type="http://schemas.openxmlformats.org/officeDocument/2006/relationships/image" Target="media/image60.png"/><Relationship Id="rId80" Type="http://schemas.openxmlformats.org/officeDocument/2006/relationships/image" Target="media/image59.png"/><Relationship Id="rId8" Type="http://schemas.openxmlformats.org/officeDocument/2006/relationships/footer" Target="footer1.xml"/><Relationship Id="rId79" Type="http://schemas.openxmlformats.org/officeDocument/2006/relationships/image" Target="media/image58.png"/><Relationship Id="rId78" Type="http://schemas.openxmlformats.org/officeDocument/2006/relationships/image" Target="media/image57.png"/><Relationship Id="rId77" Type="http://schemas.openxmlformats.org/officeDocument/2006/relationships/image" Target="media/image56.png"/><Relationship Id="rId76" Type="http://schemas.openxmlformats.org/officeDocument/2006/relationships/image" Target="media/image55.png"/><Relationship Id="rId75" Type="http://schemas.openxmlformats.org/officeDocument/2006/relationships/image" Target="media/image54.png"/><Relationship Id="rId74" Type="http://schemas.openxmlformats.org/officeDocument/2006/relationships/chart" Target="charts/chart4.xml"/><Relationship Id="rId73" Type="http://schemas.openxmlformats.org/officeDocument/2006/relationships/chart" Target="charts/chart3.xml"/><Relationship Id="rId72" Type="http://schemas.openxmlformats.org/officeDocument/2006/relationships/image" Target="media/image53.png"/><Relationship Id="rId71" Type="http://schemas.openxmlformats.org/officeDocument/2006/relationships/image" Target="media/image52.png"/><Relationship Id="rId70" Type="http://schemas.openxmlformats.org/officeDocument/2006/relationships/image" Target="media/image51.png"/><Relationship Id="rId7" Type="http://schemas.openxmlformats.org/officeDocument/2006/relationships/header" Target="header3.xml"/><Relationship Id="rId69" Type="http://schemas.openxmlformats.org/officeDocument/2006/relationships/image" Target="media/image50.png"/><Relationship Id="rId68" Type="http://schemas.openxmlformats.org/officeDocument/2006/relationships/image" Target="media/image49.png"/><Relationship Id="rId67" Type="http://schemas.openxmlformats.org/officeDocument/2006/relationships/image" Target="media/image48.png"/><Relationship Id="rId66" Type="http://schemas.openxmlformats.org/officeDocument/2006/relationships/image" Target="media/image47.png"/><Relationship Id="rId65" Type="http://schemas.openxmlformats.org/officeDocument/2006/relationships/image" Target="media/image46.png"/><Relationship Id="rId64" Type="http://schemas.openxmlformats.org/officeDocument/2006/relationships/chart" Target="charts/chart2.xml"/><Relationship Id="rId63" Type="http://schemas.openxmlformats.org/officeDocument/2006/relationships/chart" Target="charts/chart1.xml"/><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header" Target="header2.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jpeg"/><Relationship Id="rId5" Type="http://schemas.openxmlformats.org/officeDocument/2006/relationships/header" Target="header1.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endnotes" Target="endnotes.xml"/><Relationship Id="rId39" Type="http://schemas.openxmlformats.org/officeDocument/2006/relationships/image" Target="media/image22.png"/><Relationship Id="rId38" Type="http://schemas.openxmlformats.org/officeDocument/2006/relationships/image" Target="media/image21.jpeg"/><Relationship Id="rId37" Type="http://schemas.openxmlformats.org/officeDocument/2006/relationships/image" Target="media/image20.jpe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jpe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notes" Target="footnotes.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emf"/><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1333;&#22238;&#36335;&#32447;&#3633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1333;&#22238;&#36335;&#32447;&#3633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4182;&#34892;&#21333;&#22238;&#3633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4182;&#34892;&#21333;&#22238;&#3633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1516;&#22612;&#21452;&#22238;&#32447;&#3633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1516;&#22612;&#21452;&#22238;&#32447;&#3633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'[单回路线路.xlsx]10kV等值线'!$I$189</c:f>
              <c:strCache>
                <c:ptCount val="1"/>
                <c:pt idx="0">
                  <c:v>右侧</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numRef>
              <c:f>'[单回路线路.xlsx]10kV等值线'!$H$190:$H$194</c:f>
              <c:numCache>
                <c:formatCode>General</c:formatCode>
                <c:ptCount val="5"/>
                <c:pt idx="0">
                  <c:v>15.5</c:v>
                </c:pt>
                <c:pt idx="1">
                  <c:v>15.9</c:v>
                </c:pt>
                <c:pt idx="2">
                  <c:v>16.3</c:v>
                </c:pt>
                <c:pt idx="3">
                  <c:v>16.7</c:v>
                </c:pt>
                <c:pt idx="4">
                  <c:v>17.1</c:v>
                </c:pt>
              </c:numCache>
            </c:numRef>
          </c:cat>
          <c:val>
            <c:numRef>
              <c:f>'[单回路线路.xlsx]10kV等值线'!$I$190:$I$194</c:f>
              <c:numCache>
                <c:formatCode>General</c:formatCode>
                <c:ptCount val="5"/>
                <c:pt idx="0">
                  <c:v>-27.7</c:v>
                </c:pt>
                <c:pt idx="1">
                  <c:v>-27.1</c:v>
                </c:pt>
                <c:pt idx="2">
                  <c:v>-26.2</c:v>
                </c:pt>
                <c:pt idx="3">
                  <c:v>-25.1</c:v>
                </c:pt>
                <c:pt idx="4">
                  <c:v>-22.5</c:v>
                </c:pt>
              </c:numCache>
            </c:numRef>
          </c:val>
          <c:smooth val="0"/>
        </c:ser>
        <c:ser>
          <c:idx val="1"/>
          <c:order val="1"/>
          <c:tx>
            <c:strRef>
              <c:f>'[单回路线路.xlsx]10kV等值线'!$J$189</c:f>
              <c:strCache>
                <c:ptCount val="1"/>
                <c:pt idx="0">
                  <c:v>左侧</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numRef>
              <c:f>'[单回路线路.xlsx]10kV等值线'!$H$190:$H$194</c:f>
              <c:numCache>
                <c:formatCode>General</c:formatCode>
                <c:ptCount val="5"/>
                <c:pt idx="0">
                  <c:v>15.5</c:v>
                </c:pt>
                <c:pt idx="1">
                  <c:v>15.9</c:v>
                </c:pt>
                <c:pt idx="2">
                  <c:v>16.3</c:v>
                </c:pt>
                <c:pt idx="3">
                  <c:v>16.7</c:v>
                </c:pt>
                <c:pt idx="4">
                  <c:v>17.1</c:v>
                </c:pt>
              </c:numCache>
            </c:numRef>
          </c:cat>
          <c:val>
            <c:numRef>
              <c:f>'[单回路线路.xlsx]10kV等值线'!$J$190:$J$194</c:f>
              <c:numCache>
                <c:formatCode>General</c:formatCode>
                <c:ptCount val="5"/>
                <c:pt idx="0">
                  <c:v>27.7</c:v>
                </c:pt>
                <c:pt idx="1">
                  <c:v>27.1</c:v>
                </c:pt>
                <c:pt idx="2">
                  <c:v>26.2</c:v>
                </c:pt>
                <c:pt idx="3">
                  <c:v>25.1</c:v>
                </c:pt>
                <c:pt idx="4">
                  <c:v>22.5</c:v>
                </c:pt>
              </c:numCache>
            </c:numRef>
          </c:val>
          <c:smooth val="0"/>
        </c:ser>
        <c:dLbls>
          <c:showLegendKey val="0"/>
          <c:showVal val="0"/>
          <c:showCatName val="0"/>
          <c:showSerName val="0"/>
          <c:showPercent val="0"/>
          <c:showBubbleSize val="0"/>
        </c:dLbls>
        <c:marker val="1"/>
        <c:smooth val="0"/>
        <c:axId val="204226568"/>
        <c:axId val="313322170"/>
      </c:lineChart>
      <c:catAx>
        <c:axId val="204226568"/>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导线对地高度（m）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313322170"/>
        <c:crosses val="autoZero"/>
        <c:auto val="1"/>
        <c:lblAlgn val="ctr"/>
        <c:lblOffset val="100"/>
        <c:noMultiLvlLbl val="0"/>
      </c:catAx>
      <c:valAx>
        <c:axId val="313322170"/>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距杆塔中心距离（m）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204226568"/>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7db59865-aa38-42e2-98f9-a4dbb143a594}"/>
      </c:ext>
    </c:extLst>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'[单回路线路.xlsx]4kV等值线'!$M$108</c:f>
              <c:strCache>
                <c:ptCount val="1"/>
                <c:pt idx="0">
                  <c:v>右侧</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numRef>
              <c:f>'[单回路线路.xlsx]4kV等值线'!$L$109:$L$115</c:f>
              <c:numCache>
                <c:formatCode>General</c:formatCode>
                <c:ptCount val="7"/>
                <c:pt idx="0">
                  <c:v>19.5</c:v>
                </c:pt>
                <c:pt idx="1">
                  <c:v>21.5</c:v>
                </c:pt>
                <c:pt idx="2">
                  <c:v>23.5</c:v>
                </c:pt>
                <c:pt idx="3">
                  <c:v>25.5</c:v>
                </c:pt>
                <c:pt idx="4">
                  <c:v>27.5</c:v>
                </c:pt>
                <c:pt idx="5">
                  <c:v>29.5</c:v>
                </c:pt>
                <c:pt idx="6">
                  <c:v>30.6</c:v>
                </c:pt>
              </c:numCache>
            </c:numRef>
          </c:cat>
          <c:val>
            <c:numRef>
              <c:f>'[单回路线路.xlsx]4kV等值线'!$M$109:$M$115</c:f>
              <c:numCache>
                <c:formatCode>General</c:formatCode>
                <c:ptCount val="7"/>
                <c:pt idx="0">
                  <c:v>-41.3</c:v>
                </c:pt>
                <c:pt idx="1">
                  <c:v>-40.4</c:v>
                </c:pt>
                <c:pt idx="2">
                  <c:v>-39.3</c:v>
                </c:pt>
                <c:pt idx="3">
                  <c:v>-37.2</c:v>
                </c:pt>
                <c:pt idx="4">
                  <c:v>-35.6</c:v>
                </c:pt>
                <c:pt idx="5">
                  <c:v>-32.1</c:v>
                </c:pt>
                <c:pt idx="6">
                  <c:v>-26.6</c:v>
                </c:pt>
              </c:numCache>
            </c:numRef>
          </c:val>
          <c:smooth val="0"/>
        </c:ser>
        <c:ser>
          <c:idx val="1"/>
          <c:order val="1"/>
          <c:tx>
            <c:strRef>
              <c:f>'[单回路线路.xlsx]4kV等值线'!$N$108</c:f>
              <c:strCache>
                <c:ptCount val="1"/>
                <c:pt idx="0">
                  <c:v>左侧</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numRef>
              <c:f>'[单回路线路.xlsx]4kV等值线'!$L$109:$L$115</c:f>
              <c:numCache>
                <c:formatCode>General</c:formatCode>
                <c:ptCount val="7"/>
                <c:pt idx="0">
                  <c:v>19.5</c:v>
                </c:pt>
                <c:pt idx="1">
                  <c:v>21.5</c:v>
                </c:pt>
                <c:pt idx="2">
                  <c:v>23.5</c:v>
                </c:pt>
                <c:pt idx="3">
                  <c:v>25.5</c:v>
                </c:pt>
                <c:pt idx="4">
                  <c:v>27.5</c:v>
                </c:pt>
                <c:pt idx="5">
                  <c:v>29.5</c:v>
                </c:pt>
                <c:pt idx="6">
                  <c:v>30.6</c:v>
                </c:pt>
              </c:numCache>
            </c:numRef>
          </c:cat>
          <c:val>
            <c:numRef>
              <c:f>'[单回路线路.xlsx]4kV等值线'!$N$109:$N$115</c:f>
              <c:numCache>
                <c:formatCode>General</c:formatCode>
                <c:ptCount val="7"/>
                <c:pt idx="0">
                  <c:v>41.3</c:v>
                </c:pt>
                <c:pt idx="1">
                  <c:v>40.4</c:v>
                </c:pt>
                <c:pt idx="2">
                  <c:v>39.3</c:v>
                </c:pt>
                <c:pt idx="3">
                  <c:v>37.2</c:v>
                </c:pt>
                <c:pt idx="4">
                  <c:v>35.6</c:v>
                </c:pt>
                <c:pt idx="5">
                  <c:v>32.1</c:v>
                </c:pt>
                <c:pt idx="6">
                  <c:v>26.6</c:v>
                </c:pt>
              </c:numCache>
            </c:numRef>
          </c:val>
          <c:smooth val="0"/>
        </c:ser>
        <c:dLbls>
          <c:showLegendKey val="0"/>
          <c:showVal val="0"/>
          <c:showCatName val="0"/>
          <c:showSerName val="0"/>
          <c:showPercent val="0"/>
          <c:showBubbleSize val="0"/>
        </c:dLbls>
        <c:marker val="1"/>
        <c:smooth val="0"/>
        <c:axId val="851562563"/>
        <c:axId val="677937518"/>
      </c:lineChart>
      <c:catAx>
        <c:axId val="851562563"/>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导线对地高度（m）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77937518"/>
        <c:crosses val="autoZero"/>
        <c:auto val="1"/>
        <c:lblAlgn val="ctr"/>
        <c:lblOffset val="100"/>
        <c:noMultiLvlLbl val="0"/>
      </c:catAx>
      <c:valAx>
        <c:axId val="677937518"/>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距杆塔中心距离（m）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5156256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0c8fefb8-ddb7-416e-8cf9-dcbee9601686}"/>
      </c:ext>
    </c:extLst>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'[并行单回路.xlsx]10kV等值线'!$J$595</c:f>
              <c:strCache>
                <c:ptCount val="1"/>
                <c:pt idx="0">
                  <c:v>右侧</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numRef>
              <c:f>'[并行单回路.xlsx]10kV等值线'!$I$596:$I$600</c:f>
              <c:numCache>
                <c:formatCode>General</c:formatCode>
                <c:ptCount val="5"/>
                <c:pt idx="0">
                  <c:v>15.5</c:v>
                </c:pt>
                <c:pt idx="1">
                  <c:v>15.8</c:v>
                </c:pt>
                <c:pt idx="2">
                  <c:v>16.6</c:v>
                </c:pt>
                <c:pt idx="3">
                  <c:v>16.9</c:v>
                </c:pt>
                <c:pt idx="4">
                  <c:v>17.2</c:v>
                </c:pt>
              </c:numCache>
            </c:numRef>
          </c:cat>
          <c:val>
            <c:numRef>
              <c:f>'[并行单回路.xlsx]10kV等值线'!$J$596:$J$600</c:f>
              <c:numCache>
                <c:formatCode>General</c:formatCode>
                <c:ptCount val="5"/>
                <c:pt idx="0">
                  <c:v>-127.9</c:v>
                </c:pt>
                <c:pt idx="1">
                  <c:v>-127.7</c:v>
                </c:pt>
                <c:pt idx="2">
                  <c:v>-125.8</c:v>
                </c:pt>
                <c:pt idx="3">
                  <c:v>-124.7</c:v>
                </c:pt>
                <c:pt idx="4">
                  <c:v>-123.7</c:v>
                </c:pt>
              </c:numCache>
            </c:numRef>
          </c:val>
          <c:smooth val="0"/>
        </c:ser>
        <c:ser>
          <c:idx val="1"/>
          <c:order val="1"/>
          <c:tx>
            <c:strRef>
              <c:f>'[并行单回路.xlsx]10kV等值线'!$K$595</c:f>
              <c:strCache>
                <c:ptCount val="1"/>
                <c:pt idx="0">
                  <c:v>左侧</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numRef>
              <c:f>'[并行单回路.xlsx]10kV等值线'!$I$596:$I$600</c:f>
              <c:numCache>
                <c:formatCode>General</c:formatCode>
                <c:ptCount val="5"/>
                <c:pt idx="0">
                  <c:v>15.5</c:v>
                </c:pt>
                <c:pt idx="1">
                  <c:v>15.8</c:v>
                </c:pt>
                <c:pt idx="2">
                  <c:v>16.6</c:v>
                </c:pt>
                <c:pt idx="3">
                  <c:v>16.9</c:v>
                </c:pt>
                <c:pt idx="4">
                  <c:v>17.2</c:v>
                </c:pt>
              </c:numCache>
            </c:numRef>
          </c:cat>
          <c:val>
            <c:numRef>
              <c:f>'[并行单回路.xlsx]10kV等值线'!$K$596:$K$600</c:f>
              <c:numCache>
                <c:formatCode>General</c:formatCode>
                <c:ptCount val="5"/>
                <c:pt idx="0">
                  <c:v>127.9</c:v>
                </c:pt>
                <c:pt idx="1">
                  <c:v>127.7</c:v>
                </c:pt>
                <c:pt idx="2">
                  <c:v>125.8</c:v>
                </c:pt>
                <c:pt idx="3">
                  <c:v>124.7</c:v>
                </c:pt>
                <c:pt idx="4">
                  <c:v>123.7</c:v>
                </c:pt>
              </c:numCache>
            </c:numRef>
          </c:val>
          <c:smooth val="0"/>
        </c:ser>
        <c:dLbls>
          <c:showLegendKey val="0"/>
          <c:showVal val="0"/>
          <c:showCatName val="0"/>
          <c:showSerName val="0"/>
          <c:showPercent val="0"/>
          <c:showBubbleSize val="0"/>
        </c:dLbls>
        <c:marker val="1"/>
        <c:smooth val="0"/>
        <c:axId val="809457053"/>
        <c:axId val="184707504"/>
      </c:lineChart>
      <c:catAx>
        <c:axId val="809457053"/>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导线对地高度（m）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84707504"/>
        <c:crosses val="autoZero"/>
        <c:auto val="1"/>
        <c:lblAlgn val="ctr"/>
        <c:lblOffset val="100"/>
        <c:noMultiLvlLbl val="0"/>
      </c:catAx>
      <c:valAx>
        <c:axId val="18470750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距杆塔中心距离（m）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0945705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db26a80a-2814-49fb-b3d1-aed581904171}"/>
      </c:ext>
    </c:extLst>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'[并行单回路.xlsx]4kV等值线'!$N$87</c:f>
              <c:strCache>
                <c:ptCount val="1"/>
                <c:pt idx="0">
                  <c:v>右侧</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numRef>
              <c:f>'[并行单回路.xlsx]4kV等值线'!$M$88:$M$94</c:f>
              <c:numCache>
                <c:formatCode>General</c:formatCode>
                <c:ptCount val="7"/>
                <c:pt idx="0">
                  <c:v>19.5</c:v>
                </c:pt>
                <c:pt idx="1">
                  <c:v>21.5</c:v>
                </c:pt>
                <c:pt idx="2">
                  <c:v>23.5</c:v>
                </c:pt>
                <c:pt idx="3">
                  <c:v>25.5</c:v>
                </c:pt>
                <c:pt idx="4">
                  <c:v>27.5</c:v>
                </c:pt>
                <c:pt idx="5">
                  <c:v>29.5</c:v>
                </c:pt>
                <c:pt idx="6">
                  <c:v>30.9</c:v>
                </c:pt>
              </c:numCache>
            </c:numRef>
          </c:cat>
          <c:val>
            <c:numRef>
              <c:f>'[并行单回路.xlsx]4kV等值线'!$N$88:$N$94</c:f>
              <c:numCache>
                <c:formatCode>General</c:formatCode>
                <c:ptCount val="7"/>
                <c:pt idx="0">
                  <c:v>-141.6</c:v>
                </c:pt>
                <c:pt idx="1">
                  <c:v>-140.8</c:v>
                </c:pt>
                <c:pt idx="2">
                  <c:v>-139.7</c:v>
                </c:pt>
                <c:pt idx="3">
                  <c:v>-138.4</c:v>
                </c:pt>
                <c:pt idx="4">
                  <c:v>-136.3</c:v>
                </c:pt>
                <c:pt idx="5">
                  <c:v>-133.3</c:v>
                </c:pt>
                <c:pt idx="6">
                  <c:v>-126.6</c:v>
                </c:pt>
              </c:numCache>
            </c:numRef>
          </c:val>
          <c:smooth val="0"/>
        </c:ser>
        <c:ser>
          <c:idx val="1"/>
          <c:order val="1"/>
          <c:tx>
            <c:strRef>
              <c:f>'[并行单回路.xlsx]4kV等值线'!$O$87</c:f>
              <c:strCache>
                <c:ptCount val="1"/>
                <c:pt idx="0">
                  <c:v>左侧</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numRef>
              <c:f>'[并行单回路.xlsx]4kV等值线'!$M$88:$M$94</c:f>
              <c:numCache>
                <c:formatCode>General</c:formatCode>
                <c:ptCount val="7"/>
                <c:pt idx="0">
                  <c:v>19.5</c:v>
                </c:pt>
                <c:pt idx="1">
                  <c:v>21.5</c:v>
                </c:pt>
                <c:pt idx="2">
                  <c:v>23.5</c:v>
                </c:pt>
                <c:pt idx="3">
                  <c:v>25.5</c:v>
                </c:pt>
                <c:pt idx="4">
                  <c:v>27.5</c:v>
                </c:pt>
                <c:pt idx="5">
                  <c:v>29.5</c:v>
                </c:pt>
                <c:pt idx="6">
                  <c:v>30.9</c:v>
                </c:pt>
              </c:numCache>
            </c:numRef>
          </c:cat>
          <c:val>
            <c:numRef>
              <c:f>'[并行单回路.xlsx]4kV等值线'!$O$88:$O$94</c:f>
              <c:numCache>
                <c:formatCode>General</c:formatCode>
                <c:ptCount val="7"/>
                <c:pt idx="0">
                  <c:v>141.6</c:v>
                </c:pt>
                <c:pt idx="1">
                  <c:v>140.8</c:v>
                </c:pt>
                <c:pt idx="2">
                  <c:v>139.7</c:v>
                </c:pt>
                <c:pt idx="3">
                  <c:v>138.4</c:v>
                </c:pt>
                <c:pt idx="4">
                  <c:v>136.3</c:v>
                </c:pt>
                <c:pt idx="5">
                  <c:v>133.3</c:v>
                </c:pt>
                <c:pt idx="6">
                  <c:v>126.6</c:v>
                </c:pt>
              </c:numCache>
            </c:numRef>
          </c:val>
          <c:smooth val="0"/>
        </c:ser>
        <c:dLbls>
          <c:showLegendKey val="0"/>
          <c:showVal val="0"/>
          <c:showCatName val="0"/>
          <c:showSerName val="0"/>
          <c:showPercent val="0"/>
          <c:showBubbleSize val="0"/>
        </c:dLbls>
        <c:marker val="1"/>
        <c:smooth val="0"/>
        <c:axId val="980345869"/>
        <c:axId val="496570776"/>
      </c:lineChart>
      <c:catAx>
        <c:axId val="980345869"/>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导线对地高度（m）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496570776"/>
        <c:crosses val="autoZero"/>
        <c:auto val="1"/>
        <c:lblAlgn val="ctr"/>
        <c:lblOffset val="100"/>
        <c:noMultiLvlLbl val="0"/>
      </c:catAx>
      <c:valAx>
        <c:axId val="496570776"/>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距杆塔中心距离（m）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80345869"/>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7f0d8e0b-1bbc-4a87-9a05-db042d84b75d}"/>
      </c:ext>
    </c:extLst>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'[同塔双回线路.xlsx]10kV等值线'!$J$380</c:f>
              <c:strCache>
                <c:ptCount val="1"/>
                <c:pt idx="0">
                  <c:v>右侧</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numRef>
              <c:f>'[同塔双回线路.xlsx]10kV等值线'!$I$381:$I$386</c:f>
              <c:numCache>
                <c:formatCode>General</c:formatCode>
                <c:ptCount val="6"/>
                <c:pt idx="0">
                  <c:v>15.5</c:v>
                </c:pt>
                <c:pt idx="1">
                  <c:v>15.7</c:v>
                </c:pt>
                <c:pt idx="2">
                  <c:v>15.9</c:v>
                </c:pt>
                <c:pt idx="3">
                  <c:v>16.1</c:v>
                </c:pt>
                <c:pt idx="4">
                  <c:v>16.3</c:v>
                </c:pt>
                <c:pt idx="5">
                  <c:v>16.5</c:v>
                </c:pt>
              </c:numCache>
            </c:numRef>
          </c:cat>
          <c:val>
            <c:numRef>
              <c:f>'[同塔双回线路.xlsx]10kV等值线'!$J$381:$J$386</c:f>
              <c:numCache>
                <c:formatCode>General</c:formatCode>
                <c:ptCount val="6"/>
                <c:pt idx="0">
                  <c:v>-72.9</c:v>
                </c:pt>
                <c:pt idx="1">
                  <c:v>-72.7</c:v>
                </c:pt>
                <c:pt idx="2">
                  <c:v>-71.4</c:v>
                </c:pt>
                <c:pt idx="3">
                  <c:v>-71.2</c:v>
                </c:pt>
                <c:pt idx="4">
                  <c:v>-70.2</c:v>
                </c:pt>
                <c:pt idx="5">
                  <c:v>-69.7</c:v>
                </c:pt>
              </c:numCache>
            </c:numRef>
          </c:val>
          <c:smooth val="0"/>
        </c:ser>
        <c:ser>
          <c:idx val="1"/>
          <c:order val="1"/>
          <c:tx>
            <c:strRef>
              <c:f>'[同塔双回线路.xlsx]10kV等值线'!$K$380</c:f>
              <c:strCache>
                <c:ptCount val="1"/>
                <c:pt idx="0">
                  <c:v>左侧</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numRef>
              <c:f>'[同塔双回线路.xlsx]10kV等值线'!$I$381:$I$386</c:f>
              <c:numCache>
                <c:formatCode>General</c:formatCode>
                <c:ptCount val="6"/>
                <c:pt idx="0">
                  <c:v>15.5</c:v>
                </c:pt>
                <c:pt idx="1">
                  <c:v>15.7</c:v>
                </c:pt>
                <c:pt idx="2">
                  <c:v>15.9</c:v>
                </c:pt>
                <c:pt idx="3">
                  <c:v>16.1</c:v>
                </c:pt>
                <c:pt idx="4">
                  <c:v>16.3</c:v>
                </c:pt>
                <c:pt idx="5">
                  <c:v>16.5</c:v>
                </c:pt>
              </c:numCache>
            </c:numRef>
          </c:cat>
          <c:val>
            <c:numRef>
              <c:f>'[同塔双回线路.xlsx]10kV等值线'!$K$381:$K$386</c:f>
              <c:numCache>
                <c:formatCode>General</c:formatCode>
                <c:ptCount val="6"/>
                <c:pt idx="0">
                  <c:v>72.7</c:v>
                </c:pt>
                <c:pt idx="1">
                  <c:v>72.3</c:v>
                </c:pt>
                <c:pt idx="2">
                  <c:v>71.7</c:v>
                </c:pt>
                <c:pt idx="3">
                  <c:v>70.6</c:v>
                </c:pt>
                <c:pt idx="4">
                  <c:v>69.6</c:v>
                </c:pt>
                <c:pt idx="5">
                  <c:v>69.3</c:v>
                </c:pt>
              </c:numCache>
            </c:numRef>
          </c:val>
          <c:smooth val="0"/>
        </c:ser>
        <c:dLbls>
          <c:showLegendKey val="0"/>
          <c:showVal val="0"/>
          <c:showCatName val="0"/>
          <c:showSerName val="0"/>
          <c:showPercent val="0"/>
          <c:showBubbleSize val="0"/>
        </c:dLbls>
        <c:marker val="1"/>
        <c:smooth val="0"/>
        <c:axId val="122613853"/>
        <c:axId val="380376924"/>
      </c:lineChart>
      <c:catAx>
        <c:axId val="122613853"/>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导线对地高度（m）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380376924"/>
        <c:crosses val="autoZero"/>
        <c:auto val="1"/>
        <c:lblAlgn val="ctr"/>
        <c:lblOffset val="100"/>
        <c:noMultiLvlLbl val="0"/>
      </c:catAx>
      <c:valAx>
        <c:axId val="38037692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距杆塔中心距离（m）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2261385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c209c542-738c-4d59-b0c6-7e5972db4267}"/>
      </c:ext>
    </c:extLst>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'[同塔双回线路.xlsx]4kV等值线'!$K$377</c:f>
              <c:strCache>
                <c:ptCount val="1"/>
                <c:pt idx="0">
                  <c:v>右侧</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'[同塔双回线路.xlsx]4kV等值线'!$J$378:$J$383</c:f>
              <c:strCache>
                <c:ptCount val="6"/>
                <c:pt idx="0">
                  <c:v>19.5m</c:v>
                </c:pt>
                <c:pt idx="1">
                  <c:v>22.5m</c:v>
                </c:pt>
                <c:pt idx="2">
                  <c:v>25.5m</c:v>
                </c:pt>
                <c:pt idx="3">
                  <c:v>28.5m</c:v>
                </c:pt>
                <c:pt idx="4">
                  <c:v>31.5m</c:v>
                </c:pt>
                <c:pt idx="5">
                  <c:v>34.2m</c:v>
                </c:pt>
              </c:strCache>
            </c:strRef>
          </c:cat>
          <c:val>
            <c:numRef>
              <c:f>'[同塔双回线路.xlsx]4kV等值线'!$K$378:$K$383</c:f>
              <c:numCache>
                <c:formatCode>General</c:formatCode>
                <c:ptCount val="6"/>
                <c:pt idx="0">
                  <c:v>-83.3</c:v>
                </c:pt>
                <c:pt idx="1">
                  <c:v>-81.7</c:v>
                </c:pt>
                <c:pt idx="2">
                  <c:v>-79.7</c:v>
                </c:pt>
                <c:pt idx="3">
                  <c:v>-77.1</c:v>
                </c:pt>
                <c:pt idx="4">
                  <c:v>-72.3</c:v>
                </c:pt>
                <c:pt idx="5">
                  <c:v>-40.1</c:v>
                </c:pt>
              </c:numCache>
            </c:numRef>
          </c:val>
          <c:smooth val="0"/>
        </c:ser>
        <c:ser>
          <c:idx val="1"/>
          <c:order val="1"/>
          <c:tx>
            <c:strRef>
              <c:f>'[同塔双回线路.xlsx]4kV等值线'!$L$377</c:f>
              <c:strCache>
                <c:ptCount val="1"/>
                <c:pt idx="0">
                  <c:v>左侧</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strRef>
              <c:f>'[同塔双回线路.xlsx]4kV等值线'!$J$378:$J$383</c:f>
              <c:strCache>
                <c:ptCount val="6"/>
                <c:pt idx="0">
                  <c:v>19.5m</c:v>
                </c:pt>
                <c:pt idx="1">
                  <c:v>22.5m</c:v>
                </c:pt>
                <c:pt idx="2">
                  <c:v>25.5m</c:v>
                </c:pt>
                <c:pt idx="3">
                  <c:v>28.5m</c:v>
                </c:pt>
                <c:pt idx="4">
                  <c:v>31.5m</c:v>
                </c:pt>
                <c:pt idx="5">
                  <c:v>34.2m</c:v>
                </c:pt>
              </c:strCache>
            </c:strRef>
          </c:cat>
          <c:val>
            <c:numRef>
              <c:f>'[同塔双回线路.xlsx]4kV等值线'!$L$378:$L$383</c:f>
              <c:numCache>
                <c:formatCode>General</c:formatCode>
                <c:ptCount val="6"/>
                <c:pt idx="0">
                  <c:v>82.8</c:v>
                </c:pt>
                <c:pt idx="1">
                  <c:v>81.4</c:v>
                </c:pt>
                <c:pt idx="2">
                  <c:v>78.7</c:v>
                </c:pt>
                <c:pt idx="3">
                  <c:v>73.7</c:v>
                </c:pt>
                <c:pt idx="4">
                  <c:v>69.2</c:v>
                </c:pt>
                <c:pt idx="5">
                  <c:v>68.6</c:v>
                </c:pt>
              </c:numCache>
            </c:numRef>
          </c:val>
          <c:smooth val="0"/>
        </c:ser>
        <c:dLbls>
          <c:showLegendKey val="0"/>
          <c:showVal val="0"/>
          <c:showCatName val="0"/>
          <c:showSerName val="0"/>
          <c:showPercent val="0"/>
          <c:showBubbleSize val="0"/>
        </c:dLbls>
        <c:marker val="1"/>
        <c:smooth val="0"/>
        <c:axId val="88912886"/>
        <c:axId val="840869246"/>
      </c:lineChart>
      <c:catAx>
        <c:axId val="8891288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导线对地高度（m）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40869246"/>
        <c:crosses val="autoZero"/>
        <c:auto val="1"/>
        <c:lblAlgn val="ctr"/>
        <c:lblOffset val="100"/>
        <c:noMultiLvlLbl val="0"/>
      </c:catAx>
      <c:valAx>
        <c:axId val="840869246"/>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rPr>
                  <a:t>距杆塔中心距离（m）</a:t>
                </a:r>
                <a:endParaRPr>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891288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b749c94e-0e7a-44cb-a49c-8d88e3ed9c1b}"/>
      </c:ext>
    </c:extLst>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3514f0e8-baba-448c-86ae-12a15dd2b014</errorID>
      <errorWord>针对</errorWord>
      <group>L1_Word</group>
      <groupName>字词问题</groupName>
      <ability>L2_Typo</ability>
      <abilityName>字词错误</abilityName>
      <candidateList>
        <item>对</item>
      </candidateList>
      <explain/>
      <paraID>7978A733</paraID>
      <start>182</start>
      <end>184</end>
      <status>ignored</status>
      <modifiedWord/>
      <trackRevisions>false</trackRevisions>
    </reviewItem>
    <reviewItem>
      <errorID>b9bf11dd-c25a-4ff6-82ca-a74a6d500272</errorID>
      <errorWord>国家发改委</errorWord>
      <group>L1_Knowledge</group>
      <groupName>知识性问题</groupName>
      <ability>L2_Knowledge</ability>
      <abilityName>其他知识</abilityName>
      <candidateList>
        <item>国家发展改革委</item>
      </candidateList>
      <explain/>
      <paraID>45260024</paraID>
      <start>4</start>
      <end>9</end>
      <status>ignored</status>
      <modifiedWord/>
      <trackRevisions>false</trackRevisions>
    </reviewItem>
    <reviewItem>
      <errorID>11895b35-4ce3-44bf-aa75-0fc285049cd3</errorID>
      <errorWord>月1日实施</errorWord>
      <group>L1_Word</group>
      <groupName>字词问题</groupName>
      <ability>L2_Typo</ability>
      <abilityName>字词错误</abilityName>
      <candidateList>
        <item>月1日起实施</item>
      </candidateList>
      <explain/>
      <paraID>3FFF55B7</paraID>
      <start>38</start>
      <end>44</end>
      <status>modified</status>
      <modifiedWord>月1日起实施</modifiedWord>
      <trackRevisions>false</trackRevisions>
    </reviewItem>
    <reviewItem>
      <errorID>5a09af4c-9897-485d-a7fa-96efbb935807</errorID>
      <errorWord>目</errorWord>
      <group>L1_Word</group>
      <groupName>字词问题</groupName>
      <ability>L2_Typo</ability>
      <abilityName>字词错误</abilityName>
      <candidateList>
        <item>目在</item>
      </candidateList>
      <explain/>
      <paraID>330DADEB</paraID>
      <start>30</start>
      <end>31</end>
      <status>ignored</status>
      <modifiedWord/>
      <trackRevisions>false</trackRevisions>
    </reviewItem>
    <reviewItem>
      <errorID>bb93bf7c-66a3-4298-a913-b38e3f1aeb5d</errorID>
      <errorWord>~</errorWord>
      <group>L1_Format</group>
      <groupName>格式问题</groupName>
      <ability>L2_HalfPunc_CN</ability>
      <abilityName>全半角问题</abilityName>
      <candidateList>
        <item>～</item>
      </candidateList>
      <explain>文本全半角错误。</explain>
      <paraID>77AC6070</paraID>
      <start>2</start>
      <end>3</end>
      <status>ignored</status>
      <modifiedWord/>
      <trackRevisions>false</trackRevisions>
    </reviewItem>
    <reviewItem>
      <errorID>39261c1b-7612-4f35-9000-76b589d8e46d</errorID>
      <errorWord>如</errorWord>
      <group>L1_Word</group>
      <groupName>字词问题</groupName>
      <ability>L2_Typo</ability>
      <abilityName>字词错误</abilityName>
      <candidateList>
        <item>如下</item>
      </candidateList>
      <explain/>
      <paraID>1CFAF1BA</paraID>
      <start>73</start>
      <end>74</end>
      <status>ignored</status>
      <modifiedWord/>
      <trackRevisions>false</trackRevisions>
    </reviewItem>
    <reviewItem>
      <errorID>da140a5b-26c1-48e8-ba8f-7a50db762dca</errorID>
      <errorWord>～</errorWord>
      <group>L1_Format</group>
      <groupName>格式问题</groupName>
      <ability>L2_HalfPunc_CN</ability>
      <abilityName>全半角问题</abilityName>
      <candidateList>
        <item>~</item>
      </candidateList>
      <explain>文本全半角错误。</explain>
      <paraID>769D5F8B</paraID>
      <start>1</start>
      <end>2</end>
      <status>ignored</status>
      <modifiedWord/>
      <trackRevisions>false</trackRevisions>
    </reviewItem>
    <reviewItem>
      <errorID>5cebfe39-1e80-495b-9f7e-497a11893d9f</errorID>
      <errorWord>～</errorWord>
      <group>L1_Format</group>
      <groupName>格式问题</groupName>
      <ability>L2_HalfPunc_CN</ability>
      <abilityName>全半角问题</abilityName>
      <candidateList>
        <item>~</item>
      </candidateList>
      <explain>文本全半角错误。</explain>
      <paraID>5D7E45A5</paraID>
      <start>2</start>
      <end>3</end>
      <status>ignored</status>
      <modifiedWord/>
      <trackRevisions>false</trackRevisions>
    </reviewItem>
    <reviewItem>
      <errorID>45b46e6b-ef64-4afc-9cd9-b2cbb33b7309</errorID>
      <errorWord>～</errorWord>
      <group>L1_Format</group>
      <groupName>格式问题</groupName>
      <ability>L2_HalfPunc_CN</ability>
      <abilityName>全半角问题</abilityName>
      <candidateList>
        <item>~</item>
      </candidateList>
      <explain>文本全半角错误。</explain>
      <paraID>463BC57E</paraID>
      <start>2</start>
      <end>3</end>
      <status>ignored</status>
      <modifiedWord/>
      <trackRevisions>false</trackRevisions>
    </reviewItem>
    <reviewItem>
      <errorID>1ca18a4e-e391-4f62-9646-a77842352af8</errorID>
      <errorWord>～</errorWord>
      <group>L1_Format</group>
      <groupName>格式问题</groupName>
      <ability>L2_HalfPunc_CN</ability>
      <abilityName>全半角问题</abilityName>
      <candidateList>
        <item>~</item>
      </candidateList>
      <explain>文本全半角错误。</explain>
      <paraID>5831E7C4</paraID>
      <start>2</start>
      <end>3</end>
      <status>ignored</status>
      <modifiedWord/>
      <trackRevisions>false</trackRevisions>
    </reviewItem>
    <reviewItem>
      <errorID>76f9c381-2146-4099-9d2b-4051f1e2200a</errorID>
      <errorWord>～</errorWord>
      <group>L1_Format</group>
      <groupName>格式问题</groupName>
      <ability>L2_HalfPunc_CN</ability>
      <abilityName>全半角问题</abilityName>
      <candidateList>
        <item>~</item>
      </candidateList>
      <explain>文本全半角错误。</explain>
      <paraID> 1A16F8B</paraID>
      <start>1</start>
      <end>2</end>
      <status>ignored</status>
      <modifiedWord/>
      <trackRevisions>false</trackRevisions>
    </reviewItem>
    <reviewItem>
      <errorID>3a3c2cb9-8dfc-4f14-931b-0fc040c86334</errorID>
      <errorWord>～</errorWord>
      <group>L1_Format</group>
      <groupName>格式问题</groupName>
      <ability>L2_HalfPunc_CN</ability>
      <abilityName>全半角问题</abilityName>
      <candidateList>
        <item>~</item>
      </candidateList>
      <explain>文本全半角错误。</explain>
      <paraID> A8DA581</paraID>
      <start>1</start>
      <end>2</end>
      <status>ignored</status>
      <modifiedWord/>
      <trackRevisions>false</trackRevisions>
    </reviewItem>
    <reviewItem>
      <errorID>7a5ca928-a4ee-4f29-9938-f36ae9bf2a97</errorID>
      <errorWord>如</errorWord>
      <group>L1_Word</group>
      <groupName>字词问题</groupName>
      <ability>L2_Typo</ability>
      <abilityName>字词错误</abilityName>
      <candidateList>
        <item>如下</item>
      </candidateList>
      <explain/>
      <paraID>4044EA92</paraID>
      <start>64</start>
      <end>65</end>
      <status>ignored</status>
      <modifiedWord/>
      <trackRevisions>false</trackRevisions>
    </reviewItem>
    <reviewItem>
      <errorID>37cd9c56-2b14-41ba-8f5f-3dcea078e4e9</errorID>
      <errorWord>见</errorWord>
      <group>L1_Word</group>
      <groupName>字词问题</groupName>
      <ability>L2_Typo</ability>
      <abilityName>字词错误</abilityName>
      <candidateList>
        <item>见下</item>
      </candidateList>
      <explain/>
      <paraID>5A6E5366</paraID>
      <start>9</start>
      <end>10</end>
      <status>ignored</status>
      <modifiedWord/>
      <trackRevisions>false</trackRevisions>
    </reviewItem>
    <reviewItem>
      <errorID>3d3c2843-c6cf-4221-980e-f2865f89014e</errorID>
      <errorWord>分</errorWord>
      <group>L1_Word</group>
      <groupName>字词问题</groupName>
      <ability>L2_Typo</ability>
      <abilityName>字词错误</abilityName>
      <candidateList>
        <item>分为</item>
      </candidateList>
      <explain/>
      <paraID>48E51C7D</paraID>
      <start>70</start>
      <end>71</end>
      <status>ignored</status>
      <modifiedWord/>
      <trackRevisions>false</trackRevisions>
    </reviewItem>
    <reviewItem>
      <errorID>af15e659-e5aa-49ae-837b-308f54d113f8</errorID>
      <errorWord>浇注</errorWord>
      <group>L1_Word</group>
      <groupName>字词问题</groupName>
      <ability>L2_Typo</ability>
      <abilityName>字词错误</abilityName>
      <candidateList>
        <item>浇筑</item>
      </candidateList>
      <explain/>
      <paraID>27B092DA</paraID>
      <start>19</start>
      <end>21</end>
      <status>modified</status>
      <modifiedWord>浇筑</modifiedWord>
      <trackRevisions>false</trackRevisions>
    </reviewItem>
    <reviewItem>
      <errorID>d044a99d-3986-4dc6-91ef-c03ddde19069</errorID>
      <errorWord>前</errorWord>
      <group>L1_Word</group>
      <groupName>字词问题</groupName>
      <ability>L2_Typo</ability>
      <abilityName>字词错误</abilityName>
      <candidateList>
        <item>前正</item>
      </candidateList>
      <explain/>
      <paraID> 5DC32B8</paraID>
      <start>12</start>
      <end>13</end>
      <status>ignored</status>
      <modifiedWord/>
      <trackRevisions>false</trackRevisions>
    </reviewItem>
    <reviewItem>
      <errorID>60da47f9-aa8b-4c66-8fc0-2eafc9da3045</errorID>
      <errorWord>76．</errorWord>
      <group>L1_Format</group>
      <groupName>格式问题</groupName>
      <ability>L2_Ordinal</ability>
      <abilityName>序号格式</abilityName>
      <candidateList>
        <item>76.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3EB75B15</paraID>
      <start>0</start>
      <end>3</end>
      <status>ignored</status>
      <modifiedWord/>
      <trackRevisions>false</trackRevisions>
    </reviewItem>
    <reviewItem>
      <errorID>0040adb4-3b01-4bd0-b215-d600561e8fec</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51F6575E</paraID>
      <start>5</start>
      <end>12</end>
      <status>ignored</status>
      <modifiedWord/>
      <trackRevisions>false</trackRevisions>
    </reviewItem>
    <reviewItem>
      <errorID>e23b7670-810a-456a-85ea-94b9e5579f18</errorID>
      <errorWord>城乡结合部</errorWord>
      <group>L1_Knowledge</group>
      <groupName>知识性问题</groupName>
      <ability>L2_Knowledge</ability>
      <abilityName>其他知识</abilityName>
      <candidateList>
        <item>城乡接合部</item>
      </candidateList>
      <explain/>
      <paraID>2FF71E9F</paraID>
      <start>90</start>
      <end>95</end>
      <status>ignored</status>
      <modifiedWord/>
      <trackRevisions>false</trackRevisions>
    </reviewItem>
    <reviewItem>
      <errorID>ef202c0d-51da-479c-9ae5-3835554ad9fb</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16771E6C</paraID>
      <start>53</start>
      <end>54</end>
      <status>ignored</status>
      <modifiedWord/>
      <trackRevisions>false</trackRevisions>
    </reviewItem>
    <reviewItem>
      <errorID>80c5adbd-021b-4ed8-8da3-9892ed4ca2a6</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16771E6C</paraID>
      <start>58</start>
      <end>59</end>
      <status>ignored</status>
      <modifiedWord/>
      <trackRevisions>false</trackRevisions>
    </reviewItem>
    <reviewItem>
      <errorID>78e3012e-1d98-4f66-b44b-f0d5d70b99dc</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16771E6C</paraID>
      <start>314</start>
      <end>315</end>
      <status>ignored</status>
      <modifiedWord/>
      <trackRevisions>false</trackRevisions>
    </reviewItem>
    <reviewItem>
      <errorID>8b9d2091-820b-4247-827e-431d24d33d4b</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16771E6C</paraID>
      <start>319</start>
      <end>320</end>
      <status>ignored</status>
      <modifiedWord/>
      <trackRevisions>false</trackRevisions>
    </reviewItem>
    <reviewItem>
      <errorID>a0581cdd-5788-4d3a-935a-a1d321e71d88</errorID>
      <errorWord>属</errorWord>
      <group>L1_Word</group>
      <groupName>字词问题</groupName>
      <ability>L2_Typo</ability>
      <abilityName>字词错误</abilityName>
      <candidateList>
        <item>属于</item>
      </candidateList>
      <explain/>
      <paraID>5A4B2E80</paraID>
      <start>3</start>
      <end>4</end>
      <status>ignored</status>
      <modifiedWord/>
      <trackRevisions>false</trackRevisions>
    </reviewItem>
    <reviewItem>
      <errorID>1347d1d2-d375-4ea8-9029-fc01b6601619</errorID>
      <errorWord>(</errorWord>
      <group>L1_Punc</group>
      <groupName>标点问题</groupName>
      <ability>L2_Punc_CN</ability>
      <abilityName>标点符号问题</abilityName>
      <candidateList/>
      <explain>同一形式括号套用。</explain>
      <paraID> E8D90D2</paraID>
      <start>14</start>
      <end>15</end>
      <status>ignored</status>
      <modifiedWord/>
      <trackRevisions>false</trackRevisions>
    </reviewItem>
    <reviewItem>
      <errorID>2110a1ac-5672-44e5-b45d-007242b57536</errorID>
      <errorWord>)</errorWord>
      <group>L1_Punc</group>
      <groupName>标点问题</groupName>
      <ability>L2_Punc_CN</ability>
      <abilityName>标点符号问题</abilityName>
      <candidateList/>
      <explain>同一形式括号套用。</explain>
      <paraID> E8D90D2</paraID>
      <start>16</start>
      <end>17</end>
      <status>ignored</status>
      <modifiedWord/>
      <trackRevisions>false</trackRevisions>
    </reviewItem>
    <reviewItem>
      <errorID>bdddb61a-f643-494a-9632-a62af2a5ceb4</errorID>
      <errorWord>~</errorWord>
      <group>L1_Format</group>
      <groupName>格式问题</groupName>
      <ability>L2_HalfPunc_CN</ability>
      <abilityName>全半角问题</abilityName>
      <candidateList>
        <item>～</item>
      </candidateList>
      <explain>文本全半角错误。</explain>
      <paraID> A970860</paraID>
      <start>58</start>
      <end>59</end>
      <status>ignored</status>
      <modifiedWord/>
      <trackRevisions>false</trackRevisions>
    </reviewItem>
    <reviewItem>
      <errorID>9d1fae32-e1db-489f-a5e0-0a9d04f8ddd5</errorID>
      <errorWord>~</errorWord>
      <group>L1_Format</group>
      <groupName>格式问题</groupName>
      <ability>L2_HalfPunc_CN</ability>
      <abilityName>全半角问题</abilityName>
      <candidateList>
        <item>～</item>
      </candidateList>
      <explain>文本全半角错误。</explain>
      <paraID> C510551</paraID>
      <start>59</start>
      <end>60</end>
      <status>ignored</status>
      <modifiedWord/>
      <trackRevisions>false</trackRevisions>
    </reviewItem>
    <reviewItem>
      <errorID>6bca35fd-601d-4efe-b6fe-64be4d35a923</errorID>
      <errorWord>~</errorWord>
      <group>L1_Format</group>
      <groupName>格式问题</groupName>
      <ability>L2_HalfPunc_CN</ability>
      <abilityName>全半角问题</abilityName>
      <candidateList>
        <item>～</item>
      </candidateList>
      <explain>文本全半角错误。</explain>
      <paraID>600437A7</paraID>
      <start>14</start>
      <end>15</end>
      <status>ignored</status>
      <modifiedWord/>
      <trackRevisions>false</trackRevisions>
    </reviewItem>
    <reviewItem>
      <errorID>506cf3d7-8184-4791-8cd9-3f1e3daacd27</errorID>
      <errorWord>~</errorWord>
      <group>L1_Format</group>
      <groupName>格式问题</groupName>
      <ability>L2_HalfPunc_CN</ability>
      <abilityName>全半角问题</abilityName>
      <candidateList>
        <item>～</item>
      </candidateList>
      <explain>文本全半角错误。</explain>
      <paraID>600437A7</paraID>
      <start>53</start>
      <end>54</end>
      <status>ignored</status>
      <modifiedWord/>
      <trackRevisions>false</trackRevisions>
    </reviewItem>
    <reviewItem>
      <errorID>e1eab7c2-438c-4732-92f9-78d00afed6c5</errorID>
      <errorWord>~</errorWord>
      <group>L1_Format</group>
      <groupName>格式问题</groupName>
      <ability>L2_HalfPunc_CN</ability>
      <abilityName>全半角问题</abilityName>
      <candidateList>
        <item>～</item>
      </candidateList>
      <explain>文本全半角错误。</explain>
      <paraID>13A47EC7</paraID>
      <start>14</start>
      <end>15</end>
      <status>ignored</status>
      <modifiedWord/>
      <trackRevisions>false</trackRevisions>
    </reviewItem>
    <reviewItem>
      <errorID>640e24c5-9f8a-4fe8-9760-742b9763618e</errorID>
      <errorWord>~</errorWord>
      <group>L1_Format</group>
      <groupName>格式问题</groupName>
      <ability>L2_HalfPunc_CN</ability>
      <abilityName>全半角问题</abilityName>
      <candidateList>
        <item>～</item>
      </candidateList>
      <explain>文本全半角错误。</explain>
      <paraID>13A47EC7</paraID>
      <start>53</start>
      <end>54</end>
      <status>ignored</status>
      <modifiedWord/>
      <trackRevisions>false</trackRevisions>
    </reviewItem>
    <reviewItem>
      <errorID>93636517-5b49-483c-b46c-96a4f50c3783</errorID>
      <errorWord>~</errorWord>
      <group>L1_Format</group>
      <groupName>格式问题</groupName>
      <ability>L2_HalfPunc_CN</ability>
      <abilityName>全半角问题</abilityName>
      <candidateList>
        <item>～</item>
      </candidateList>
      <explain>文本全半角错误。</explain>
      <paraID>2BD254B6</paraID>
      <start>56</start>
      <end>57</end>
      <status>ignored</status>
      <modifiedWord/>
      <trackRevisions>false</trackRevisions>
    </reviewItem>
    <reviewItem>
      <errorID>91762b5c-0d14-4504-bc39-cdc7c9d04f75</errorID>
      <errorWord>~</errorWord>
      <group>L1_Format</group>
      <groupName>格式问题</groupName>
      <ability>L2_HalfPunc_CN</ability>
      <abilityName>全半角问题</abilityName>
      <candidateList>
        <item>～</item>
      </candidateList>
      <explain>文本全半角错误。</explain>
      <paraID>57969956</paraID>
      <start>71</start>
      <end>72</end>
      <status>ignored</status>
      <modifiedWord/>
      <trackRevisions>false</trackRevisions>
    </reviewItem>
    <reviewItem>
      <errorID>7f9a5565-a30f-4643-bba3-30745893c96b</errorID>
      <errorWord>~</errorWord>
      <group>L1_Format</group>
      <groupName>格式问题</groupName>
      <ability>L2_HalfPunc_CN</ability>
      <abilityName>全半角问题</abilityName>
      <candidateList>
        <item>～</item>
      </candidateList>
      <explain>文本全半角错误。</explain>
      <paraID>1D9B8C02</paraID>
      <start>14</start>
      <end>15</end>
      <status>ignored</status>
      <modifiedWord/>
      <trackRevisions>false</trackRevisions>
    </reviewItem>
    <reviewItem>
      <errorID>fd4bb378-bf9b-44ac-8613-ebb4a9ba7225</errorID>
      <errorWord>成份</errorWord>
      <group>L1_Knowledge</group>
      <groupName>知识性问题</groupName>
      <ability>L2_Knowledge</ability>
      <abilityName>其他知识</abilityName>
      <candidateList>
        <item>成分</item>
      </candidateList>
      <explain/>
      <paraID>2AE60169</paraID>
      <start>17</start>
      <end>19</end>
      <status>ignored</status>
      <modifiedWord/>
      <trackRevisions>false</trackRevisions>
    </reviewItem>
    <reviewItem>
      <errorID>3608fdf9-344b-4bb9-82d0-91d45ee68acc</errorID>
      <errorWord>~</errorWord>
      <group>L1_Format</group>
      <groupName>格式问题</groupName>
      <ability>L2_HalfPunc_CN</ability>
      <abilityName>全半角问题</abilityName>
      <candidateList>
        <item>～</item>
      </candidateList>
      <explain>文本全半角错误。</explain>
      <paraID>2AE60169</paraID>
      <start>100</start>
      <end>101</end>
      <status>ignored</status>
      <modifiedWord/>
      <trackRevisions>false</trackRevisions>
    </reviewItem>
    <reviewItem>
      <errorID>73fe98a9-a1c8-4221-9359-4201f9f4191d</errorID>
      <errorWord>~</errorWord>
      <group>L1_Format</group>
      <groupName>格式问题</groupName>
      <ability>L2_HalfPunc_CN</ability>
      <abilityName>全半角问题</abilityName>
      <candidateList>
        <item>～</item>
      </candidateList>
      <explain>文本全半角错误。</explain>
      <paraID>3F42EB51</paraID>
      <start>13</start>
      <end>14</end>
      <status>ignored</status>
      <modifiedWord/>
      <trackRevisions>false</trackRevisions>
    </reviewItem>
    <reviewItem>
      <errorID>21878a4d-2261-4d10-813f-1a3b76d5e765</errorID>
      <errorWord>hpa</errorWord>
      <group>L1_English</group>
      <groupName>英文问题</groupName>
      <ability>L2_Case</ability>
      <abilityName>大小写问题</abilityName>
      <candidateList>
        <item>hPa</item>
      </candidateList>
      <explain>疑似单词大小写错误，建议将hpa修改为hPa</explain>
      <paraID>332BE1DD</paraID>
      <start>0</start>
      <end>3</end>
      <status>ignored</status>
      <modifiedWord/>
      <trackRevisions>false</trackRevisions>
    </reviewItem>
    <reviewItem>
      <errorID>c9b7c73b-f913-40c4-bf74-447448fcdcb6</errorID>
      <errorWord>hpa</errorWord>
      <group>L1_English</group>
      <groupName>英文问题</groupName>
      <ability>L2_Case</ability>
      <abilityName>大小写问题</abilityName>
      <candidateList>
        <item>hPa</item>
      </candidateList>
      <explain>疑似单词大小写错误，建议将hpa修改为hPa</explain>
      <paraID> 1602EBA</paraID>
      <start>0</start>
      <end>3</end>
      <status>ignored</status>
      <modifiedWord/>
      <trackRevisions>false</trackRevisions>
    </reviewItem>
    <reviewItem>
      <errorID>0ec77093-b9d4-44b4-bb45-5f0a8959c703</errorID>
      <errorWord>根据在</errorWord>
      <group>L1_Word</group>
      <groupName>字词问题</groupName>
      <ability>L2_Typo</ability>
      <abilityName>字词错误</abilityName>
      <candidateList>
        <item>根据</item>
      </candidateList>
      <explain/>
      <paraID>233D11BD</paraID>
      <start>0</start>
      <end>3</end>
      <status>ignored</status>
      <modifiedWord/>
      <trackRevisions>false</trackRevisions>
    </reviewItem>
    <reviewItem>
      <errorID>77be3cb6-b0e3-4262-aaa8-f845e77105ea</errorID>
      <errorWord>，</errorWord>
      <group>L1_Format</group>
      <groupName>格式问题</groupName>
      <ability>L2_HalfPunc_CN</ability>
      <abilityName>全半角问题</abilityName>
      <candidateList>
        <item>, </item>
      </candidateList>
      <explain>文本全半角错误。</explain>
      <paraID> 54A0E7E</paraID>
      <start>14</start>
      <end>15</end>
      <status>ignored</status>
      <modifiedWord/>
      <trackRevisions>false</trackRevisions>
    </reviewItem>
    <reviewItem>
      <errorID>8eb00050-4721-405d-ba0c-a69a02bfeba0</errorID>
      <errorWord>，</errorWord>
      <group>L1_Format</group>
      <groupName>格式问题</groupName>
      <ability>L2_HalfPunc_CN</ability>
      <abilityName>全半角问题</abilityName>
      <candidateList>
        <item>, </item>
      </candidateList>
      <explain>文本全半角错误。</explain>
      <paraID>5FA0BA1B</paraID>
      <start>14</start>
      <end>15</end>
      <status>ignored</status>
      <modifiedWord/>
      <trackRevisions>false</trackRevisions>
    </reviewItem>
    <reviewItem>
      <errorID>d02655a0-e9b6-43db-bb88-2c9649267b4f</errorID>
      <errorWord>，</errorWord>
      <group>L1_Format</group>
      <groupName>格式问题</groupName>
      <ability>L2_HalfPunc_CN</ability>
      <abilityName>全半角问题</abilityName>
      <candidateList>
        <item>, </item>
      </candidateList>
      <explain>文本全半角错误。</explain>
      <paraID> 8BBBBC8</paraID>
      <start>13</start>
      <end>14</end>
      <status>ignored</status>
      <modifiedWord/>
      <trackRevisions>false</trackRevisions>
    </reviewItem>
    <reviewItem>
      <errorID>c4425f67-2ed9-4e2e-8ddf-7925a4d6e728</errorID>
      <errorWord>，</errorWord>
      <group>L1_Format</group>
      <groupName>格式问题</groupName>
      <ability>L2_HalfPunc_CN</ability>
      <abilityName>全半角问题</abilityName>
      <candidateList>
        <item>, </item>
      </candidateList>
      <explain>文本全半角错误。</explain>
      <paraID>5D9F2592</paraID>
      <start>14</start>
      <end>15</end>
      <status>ignored</status>
      <modifiedWord/>
      <trackRevisions>false</trackRevisions>
    </reviewItem>
    <reviewItem>
      <errorID>f747f3d0-d170-4452-a50a-f77a6456f8f4</errorID>
      <errorWord>，</errorWord>
      <group>L1_Format</group>
      <groupName>格式问题</groupName>
      <ability>L2_HalfPunc_CN</ability>
      <abilityName>全半角问题</abilityName>
      <candidateList>
        <item>, </item>
      </candidateList>
      <explain>文本全半角错误。</explain>
      <paraID>3C6986F6</paraID>
      <start>14</start>
      <end>15</end>
      <status>ignored</status>
      <modifiedWord/>
      <trackRevisions>false</trackRevisions>
    </reviewItem>
    <reviewItem>
      <errorID>4cc75f7f-2410-4dab-b0fe-79c49e67f294</errorID>
      <errorWord>，</errorWord>
      <group>L1_Format</group>
      <groupName>格式问题</groupName>
      <ability>L2_HalfPunc_CN</ability>
      <abilityName>全半角问题</abilityName>
      <candidateList>
        <item>, </item>
      </candidateList>
      <explain>文本全半角错误。</explain>
      <paraID>691B413A</paraID>
      <start>14</start>
      <end>15</end>
      <status>ignored</status>
      <modifiedWord/>
      <trackRevisions>false</trackRevisions>
    </reviewItem>
    <reviewItem>
      <errorID>44382002-8d8f-47ec-9f3e-79871fa9cb7b</errorID>
      <errorWord>，</errorWord>
      <group>L1_Format</group>
      <groupName>格式问题</groupName>
      <ability>L2_HalfPunc_CN</ability>
      <abilityName>全半角问题</abilityName>
      <candidateList>
        <item>, </item>
      </candidateList>
      <explain>文本全半角错误。</explain>
      <paraID>166741B4</paraID>
      <start>13</start>
      <end>14</end>
      <status>ignored</status>
      <modifiedWord/>
      <trackRevisions>false</trackRevisions>
    </reviewItem>
    <reviewItem>
      <errorID>2bf5e2cb-0c6c-48d1-8ee5-861ace285867</errorID>
      <errorWord>，</errorWord>
      <group>L1_Format</group>
      <groupName>格式问题</groupName>
      <ability>L2_HalfPunc_CN</ability>
      <abilityName>全半角问题</abilityName>
      <candidateList>
        <item>, </item>
      </candidateList>
      <explain>文本全半角错误。</explain>
      <paraID>39B97687</paraID>
      <start>14</start>
      <end>15</end>
      <status>ignored</status>
      <modifiedWord/>
      <trackRevisions>false</trackRevisions>
    </reviewItem>
    <reviewItem>
      <errorID>fd0c0d40-35e5-4145-ad49-81847fda3684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4E97C2E1</paraID>
      <start>9</start>
      <end>10</end>
      <status>ignored</status>
      <modifiedWord/>
      <trackRevisions>false</trackRevisions>
    </reviewItem>
    <reviewItem>
      <errorID>421a4d9f-5cd1-4925-9e3f-6877d555ce6b</errorID>
      <errorWord>~</errorWord>
      <group>L1_Format</group>
      <groupName>格式问题</groupName>
      <ability>L2_HalfPunc_CN</ability>
      <abilityName>全半角问题</abilityName>
      <candidateList>
        <item>～</item>
      </candidateList>
      <explain>文本全半角错误。</explain>
      <paraID>2F1C086F</paraID>
      <start>17</start>
      <end>18</end>
      <status>ignored</status>
      <modifiedWord/>
      <trackRevisions>false</trackRevisions>
    </reviewItem>
    <reviewItem>
      <errorID>c03b2556-0bcf-45c4-97a2-488fc89f2b59</errorID>
      <errorWord>~</errorWord>
      <group>L1_Format</group>
      <groupName>格式问题</groupName>
      <ability>L2_HalfPunc_CN</ability>
      <abilityName>全半角问题</abilityName>
      <candidateList>
        <item>～</item>
      </candidateList>
      <explain>文本全半角错误。</explain>
      <paraID>617C5ADF</paraID>
      <start>17</start>
      <end>18</end>
      <status>ignored</status>
      <modifiedWord/>
      <trackRevisions>false</trackRevisions>
    </reviewItem>
    <reviewItem>
      <errorID>8c413a7e-6f98-43e8-aa47-f8d7d40e3a7b</errorID>
      <errorWord>阿尔秦山</errorWord>
      <group>L1_Word</group>
      <groupName>字词问题</groupName>
      <ability>L2_Typo</ability>
      <abilityName>字词错误</abilityName>
      <candidateList>
        <item>阿尔泰山</item>
      </candidateList>
      <explain>存在字形相近字词的误用。</explain>
      <paraID>371E1CD9</paraID>
      <start>13</start>
      <end>17</end>
      <status>modified</status>
      <modifiedWord>阿尔泰山</modifiedWord>
      <trackRevisions>false</trackRevisions>
    </reviewItem>
    <reviewItem>
      <errorID>d8e6c871-ac42-46db-a862-008b4d8a0c32</errorID>
      <errorWord>Oenanthedeserti</errorWord>
      <group>L1_English</group>
      <groupName>英文问题</groupName>
      <ability>L2_Spell</ability>
      <abilityName>拼写问题</abilityName>
      <candidateList>
        <item>Oenanthedesert</item>
      </candidateList>
      <explain>疑似单词拼写有误，建议将Oenanthedeserti修改为Oenanthedesert</explain>
      <paraID>21E6D221</paraID>
      <start>0</start>
      <end>15</end>
      <status>ignored</status>
      <modifiedWord/>
      <trackRevisions>false</trackRevisions>
    </reviewItem>
    <reviewItem>
      <errorID>a2616467-7058-4d19-8757-27f5dc00ae06</errorID>
      <errorWord>Passerammodendri</errorWord>
      <group>L1_English</group>
      <groupName>英文问题</groupName>
      <ability>L2_Spell</ability>
      <abilityName>拼写问题</abilityName>
      <candidateList>
        <item>Passeramoendendri</item>
      </candidateList>
      <explain>疑似单词拼写有误，建议将Passerammodendri修改为Passeramoendendri</explain>
      <paraID>31471205</paraID>
      <start>0</start>
      <end>16</end>
      <status>ignored</status>
      <modifiedWord/>
      <trackRevisions>false</trackRevisions>
    </reviewItem>
    <reviewItem>
      <errorID>48222c1e-27e9-4be4-b7ff-2e86b9b76640</errorID>
      <errorWord>黎</errorWord>
      <group>L1_Word</group>
      <groupName>字词问题</groupName>
      <ability>L2_Typo</ability>
      <abilityName>字词错误</abilityName>
      <candidateList>
        <item>藜</item>
      </candidateList>
      <explain>存在发音相同字词的误用。</explain>
      <paraID>1ABCE3FC</paraID>
      <start>59</start>
      <end>60</end>
      <status>modified</status>
      <modifiedWord>藜</modifiedWord>
      <trackRevisions>false</trackRevisions>
    </reviewItem>
    <reviewItem>
      <errorID>55f19c91-cc0a-40ac-8c70-40f46894da62</errorID>
      <errorWord>程</errorWord>
      <group>L1_Word</group>
      <groupName>字词问题</groupName>
      <ability>L2_Typo</ability>
      <abilityName>字词错误</abilityName>
      <candidateList>
        <item>程中</item>
      </candidateList>
      <explain/>
      <paraID>1ABCE3FC</paraID>
      <start>192</start>
      <end>193</end>
      <status>ignored</status>
      <modifiedWord/>
      <trackRevisions>false</trackRevisions>
    </reviewItem>
    <reviewItem>
      <errorID>9272ca36-0ee0-433b-8b12-da8e43194b73</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433714AC</paraID>
      <start>17</start>
      <end>22</end>
      <status>ignored</status>
      <modifiedWord/>
      <trackRevisions>false</trackRevisions>
    </reviewItem>
    <reviewItem>
      <errorID>8df0c90e-cffa-4d1f-8b77-ab4438b2ab1b</errorID>
      <errorWord>农业部</errorWord>
      <group>L1_Knowledge</group>
      <groupName>知识性问题</groupName>
      <ability>L2_Knowledge</ability>
      <abilityName>其他知识</abilityName>
      <candidateList>
        <item>农业农村部</item>
      </candidateList>
      <explain/>
      <paraID>433714AC</paraID>
      <start>23</start>
      <end>26</end>
      <status>ignored</status>
      <modifiedWord/>
      <trackRevisions>false</trackRevisions>
    </reviewItem>
    <reviewItem>
      <errorID>ecb2ed2e-1fcc-4df7-8fb2-d2c107ca4dd2</errorID>
      <errorWord>古</errorWord>
      <group>L1_Word</group>
      <groupName>字词问题</groupName>
      <ability>L2_Typo</ability>
      <abilityName>字词错误</abilityName>
      <candidateList>
        <item>古族</item>
      </candidateList>
      <explain/>
      <paraID>5C95D66A</paraID>
      <start>5</start>
      <end>6</end>
      <status>ignored</status>
      <modifiedWord/>
      <trackRevisions>false</trackRevisions>
    </reviewItem>
    <reviewItem>
      <errorID>a4a06c04-6759-4ada-bb51-3deed6e6a168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1EB79CF7</paraID>
      <start>17</start>
      <end>18</end>
      <status>ignored</status>
      <modifiedWord/>
      <trackRevisions>false</trackRevisions>
    </reviewItem>
    <reviewItem>
      <errorID>f75c38aa-e0d5-4e8a-8c2b-912d47f1cf42</errorID>
      <errorWord>II</errorWord>
      <group>L1_Knowledge</group>
      <groupName>知识性问题</groupName>
      <ability>L2_Knowledge</ability>
      <abilityName>其他知识</abilityName>
      <candidateList>
        <item>Ⅱ</item>
      </candidateList>
      <explain>中文环境下罗马数字格式错误。</explain>
      <paraID> BF793B9</paraID>
      <start>33</start>
      <end>35</end>
      <status>ignored</status>
      <modifiedWord/>
      <trackRevisions>false</trackRevisions>
    </reviewItem>
    <reviewItem>
      <errorID>9867c77d-d813-45be-a65e-ace6f89fdcae</errorID>
      <errorWord>另外</errorWord>
      <group>L1_Word</group>
      <groupName>字词问题</groupName>
      <ability>L2_Typo</ability>
      <abilityName>字词错误</abilityName>
      <candidateList>
        <item>另</item>
      </candidateList>
      <explain/>
      <paraID>11FBD3C0</paraID>
      <start>33</start>
      <end>34</end>
      <status>modified</status>
      <modifiedWord>另</modifiedWord>
      <trackRevisions>false</trackRevisions>
    </reviewItem>
    <reviewItem>
      <errorID>7babcc56-648b-4c46-96f3-fe79030a0393</errorID>
      <errorWord>觅食地</errorWord>
      <group>L1_Word</group>
      <groupName>字词问题</groupName>
      <ability>L2_Typo</ability>
      <abilityName>字词错误</abilityName>
      <candidateList>
        <item>觅食</item>
      </candidateList>
      <explain/>
      <paraID>46A85892</paraID>
      <start>241</start>
      <end>243</end>
      <status>modified</status>
      <modifiedWord>觅食</modifiedWord>
      <trackRevisions>false</trackRevisions>
    </reviewItem>
    <reviewItem>
      <errorID>7028aa66-ee3e-4c7b-a798-88179e4afe6a</errorID>
      <errorWord>)</errorWord>
      <group>L1_Format</group>
      <groupName>格式问题</groupName>
      <ability>L2_HalfPunc_CN</ability>
      <abilityName>全半角问题</abilityName>
      <candidateList>
        <item>）</item>
      </candidateList>
      <explain>文本全半角错误。</explain>
      <paraID>476ECAB6</paraID>
      <start>31</start>
      <end>32</end>
      <status>ignored</status>
      <modifiedWord/>
      <trackRevisions>false</trackRevisions>
    </reviewItem>
    <reviewItem>
      <errorID>c3ece601-e2f2-4fd5-854e-b071a4b78f1e</errorID>
      <errorWord>目</errorWord>
      <group>L1_Word</group>
      <groupName>字词问题</groupName>
      <ability>L2_Typo</ability>
      <abilityName>字词错误</abilityName>
      <candidateList>
        <item>目在</item>
      </candidateList>
      <explain/>
      <paraID>78630503</paraID>
      <start>2</start>
      <end>3</end>
      <status>ignored</status>
      <modifiedWord/>
      <trackRevisions>false</trackRevisions>
    </reviewItem>
    <reviewItem>
      <errorID>80658bd9-7611-492e-baa2-1c13f9569859</errorID>
      <errorWord>II</errorWord>
      <group>L1_Knowledge</group>
      <groupName>知识性问题</groupName>
      <ability>L2_Knowledge</ability>
      <abilityName>其他知识</abilityName>
      <candidateList>
        <item>Ⅱ</item>
      </candidateList>
      <explain>中文环境下罗马数字格式错误。</explain>
      <paraID>2C671602</paraID>
      <start>22</start>
      <end>24</end>
      <status>ignored</status>
      <modifiedWord/>
      <trackRevisions>false</trackRevisions>
    </reviewItem>
    <reviewItem>
      <errorID>8bd9b050-4e81-472a-8d62-d3e8fe3a46e4</errorID>
      <errorWord>II</errorWord>
      <group>L1_Knowledge</group>
      <groupName>知识性问题</groupName>
      <ability>L2_Knowledge</ability>
      <abilityName>其他知识</abilityName>
      <candidateList>
        <item>Ⅱ</item>
      </candidateList>
      <explain>中文环境下罗马数字格式错误。</explain>
      <paraID>2C671602</paraID>
      <start>94</start>
      <end>96</end>
      <status>ignored</status>
      <modifiedWord/>
      <trackRevisions>false</trackRevisions>
    </reviewItem>
    <reviewItem>
      <errorID>1fc11277-1ad2-4ead-b15d-36382424d758</errorID>
      <errorWord>II</errorWord>
      <group>L1_Knowledge</group>
      <groupName>知识性问题</groupName>
      <ability>L2_Knowledge</ability>
      <abilityName>其他知识</abilityName>
      <candidateList>
        <item>Ⅱ</item>
      </candidateList>
      <explain>中文环境下罗马数字格式错误。</explain>
      <paraID> DB9A239</paraID>
      <start>43</start>
      <end>45</end>
      <status>ignored</status>
      <modifiedWord/>
      <trackRevisions>false</trackRevisions>
    </reviewItem>
    <reviewItem>
      <errorID>c373eead-544d-489e-ae43-e16260b3fe2b</errorID>
      <errorWord>检定</errorWord>
      <group>L1_Word</group>
      <groupName>字词问题</groupName>
      <ability>L2_Typo</ability>
      <abilityName>字词错误</abilityName>
      <candidateList>
        <item>鉴定</item>
      </candidateList>
      <explain/>
      <paraID>6EEC491D</paraID>
      <start>0</start>
      <end>2</end>
      <status>ignored</status>
      <modifiedWord/>
      <trackRevisions>false</trackRevisions>
    </reviewItem>
    <reviewItem>
      <errorID>98dacb4e-79ed-4280-864c-ca3c61dd5ff1</errorID>
      <errorWord>II</errorWord>
      <group>L1_Knowledge</group>
      <groupName>知识性问题</groupName>
      <ability>L2_Knowledge</ability>
      <abilityName>其他知识</abilityName>
      <candidateList>
        <item>Ⅱ</item>
      </candidateList>
      <explain>中文环境下罗马数字格式错误。</explain>
      <paraID>50D17C9C</paraID>
      <start>25</start>
      <end>27</end>
      <status>ignored</status>
      <modifiedWord/>
      <trackRevisions>false</trackRevisions>
    </reviewItem>
    <reviewItem>
      <errorID>ddb9bca5-cd5b-4ac9-9dae-5fea9403b87e</errorID>
      <errorWord>II</errorWord>
      <group>L1_Knowledge</group>
      <groupName>知识性问题</groupName>
      <ability>L2_Knowledge</ability>
      <abilityName>其他知识</abilityName>
      <candidateList>
        <item>Ⅱ</item>
      </candidateList>
      <explain>中文环境下罗马数字格式错误。</explain>
      <paraID>5E9B9322</paraID>
      <start>27</start>
      <end>29</end>
      <status>ignored</status>
      <modifiedWord/>
      <trackRevisions>false</trackRevisions>
    </reviewItem>
    <reviewItem>
      <errorID>f4ca8d9c-fde8-4ee7-a482-b0f334245cc1</errorID>
      <errorWord>II</errorWord>
      <group>L1_Knowledge</group>
      <groupName>知识性问题</groupName>
      <ability>L2_Knowledge</ability>
      <abilityName>其他知识</abilityName>
      <candidateList>
        <item>Ⅱ</item>
      </candidateList>
      <explain>中文环境下罗马数字格式错误。</explain>
      <paraID>11685E70</paraID>
      <start>2</start>
      <end>4</end>
      <status>ignored</status>
      <modifiedWord/>
      <trackRevisions>false</trackRevisions>
    </reviewItem>
    <reviewItem>
      <errorID>9f4a9f8d-1301-4a7d-87e1-9ee3cfcdaad6</errorID>
      <errorWord>II</errorWord>
      <group>L1_Knowledge</group>
      <groupName>知识性问题</groupName>
      <ability>L2_Knowledge</ability>
      <abilityName>其他知识</abilityName>
      <candidateList>
        <item>Ⅱ</item>
      </candidateList>
      <explain>中文环境下罗马数字格式错误。</explain>
      <paraID>670138B5</paraID>
      <start>2</start>
      <end>4</end>
      <status>ignored</status>
      <modifiedWord/>
      <trackRevisions>false</trackRevisions>
    </reviewItem>
    <reviewItem>
      <errorID>e10b7a14-4e25-4f81-9491-493964f7e9f1</errorID>
      <errorWord>II</errorWord>
      <group>L1_Knowledge</group>
      <groupName>知识性问题</groupName>
      <ability>L2_Knowledge</ability>
      <abilityName>其他知识</abilityName>
      <candidateList>
        <item>Ⅱ</item>
      </candidateList>
      <explain>中文环境下罗马数字格式错误。</explain>
      <paraID>12EF1D88</paraID>
      <start>2</start>
      <end>4</end>
      <status>ignored</status>
      <modifiedWord/>
      <trackRevisions>false</trackRevisions>
    </reviewItem>
    <reviewItem>
      <errorID>8628d423-fbb5-44e9-b5a6-75fa2575031d</errorID>
      <errorWord>II</errorWord>
      <group>L1_Knowledge</group>
      <groupName>知识性问题</groupName>
      <ability>L2_Knowledge</ability>
      <abilityName>其他知识</abilityName>
      <candidateList>
        <item>Ⅱ</item>
      </candidateList>
      <explain>中文环境下罗马数字格式错误。</explain>
      <paraID> EB2F97B</paraID>
      <start>2</start>
      <end>4</end>
      <status>ignored</status>
      <modifiedWord/>
      <trackRevisions>false</trackRevisions>
    </reviewItem>
    <reviewItem>
      <errorID>8c57f68b-3b35-4c50-bfda-75f41f32f762</errorID>
      <errorWord>II</errorWord>
      <group>L1_Knowledge</group>
      <groupName>知识性问题</groupName>
      <ability>L2_Knowledge</ability>
      <abilityName>其他知识</abilityName>
      <candidateList>
        <item>Ⅱ</item>
      </candidateList>
      <explain>中文环境下罗马数字格式错误。</explain>
      <paraID>4102E6ED</paraID>
      <start>2</start>
      <end>4</end>
      <status>ignored</status>
      <modifiedWord/>
      <trackRevisions>false</trackRevisions>
    </reviewItem>
    <reviewItem>
      <errorID>989e41ae-724e-4081-b01f-e1960bb14d44</errorID>
      <errorWord>II</errorWord>
      <group>L1_Knowledge</group>
      <groupName>知识性问题</groupName>
      <ability>L2_Knowledge</ability>
      <abilityName>其他知识</abilityName>
      <candidateList>
        <item>Ⅱ</item>
      </candidateList>
      <explain>中文环境下罗马数字格式错误。</explain>
      <paraID>7AB0CFA2</paraID>
      <start>2</start>
      <end>4</end>
      <status>ignored</status>
      <modifiedWord/>
      <trackRevisions>false</trackRevisions>
    </reviewItem>
    <reviewItem>
      <errorID>dd3d185d-72ea-4165-8bd8-7b7e7c662498</errorID>
      <errorWord>II</errorWord>
      <group>L1_Knowledge</group>
      <groupName>知识性问题</groupName>
      <ability>L2_Knowledge</ability>
      <abilityName>其他知识</abilityName>
      <candidateList>
        <item>Ⅱ</item>
      </candidateList>
      <explain>中文环境下罗马数字格式错误。</explain>
      <paraID>37761FDC</paraID>
      <start>2</start>
      <end>4</end>
      <status>ignored</status>
      <modifiedWord/>
      <trackRevisions>false</trackRevisions>
    </reviewItem>
    <reviewItem>
      <errorID>0457ddeb-4743-4552-9ca2-228beba29821</errorID>
      <errorWord>II</errorWord>
      <group>L1_Knowledge</group>
      <groupName>知识性问题</groupName>
      <ability>L2_Knowledge</ability>
      <abilityName>其他知识</abilityName>
      <candidateList>
        <item>Ⅱ</item>
      </candidateList>
      <explain>中文环境下罗马数字格式错误。</explain>
      <paraID>439E48BA</paraID>
      <start>2</start>
      <end>4</end>
      <status>ignored</status>
      <modifiedWord/>
      <trackRevisions>false</trackRevisions>
    </reviewItem>
    <reviewItem>
      <errorID>a6eb68d4-2c13-4654-9ac2-ef08c5a1a563</errorID>
      <errorWord>II</errorWord>
      <group>L1_Knowledge</group>
      <groupName>知识性问题</groupName>
      <ability>L2_Knowledge</ability>
      <abilityName>其他知识</abilityName>
      <candidateList>
        <item>Ⅱ</item>
      </candidateList>
      <explain>中文环境下罗马数字格式错误。</explain>
      <paraID>4C15CC44</paraID>
      <start>2</start>
      <end>4</end>
      <status>ignored</status>
      <modifiedWord/>
      <trackRevisions>false</trackRevisions>
    </reviewItem>
    <reviewItem>
      <errorID>cf43e1a0-841d-4a7d-b664-3abaeee7ffe9</errorID>
      <errorWord>II</errorWord>
      <group>L1_Knowledge</group>
      <groupName>知识性问题</groupName>
      <ability>L2_Knowledge</ability>
      <abilityName>其他知识</abilityName>
      <candidateList>
        <item>Ⅱ</item>
      </candidateList>
      <explain>中文环境下罗马数字格式错误。</explain>
      <paraID>6C81B060</paraID>
      <start>2</start>
      <end>4</end>
      <status>ignored</status>
      <modifiedWord/>
      <trackRevisions>false</trackRevisions>
    </reviewItem>
    <reviewItem>
      <errorID>683af8ed-e09a-4402-8324-bb4125a91196</errorID>
      <errorWord>II</errorWord>
      <group>L1_Knowledge</group>
      <groupName>知识性问题</groupName>
      <ability>L2_Knowledge</ability>
      <abilityName>其他知识</abilityName>
      <candidateList>
        <item>Ⅱ</item>
      </candidateList>
      <explain>中文环境下罗马数字格式错误。</explain>
      <paraID>4595D38D</paraID>
      <start>2</start>
      <end>4</end>
      <status>ignored</status>
      <modifiedWord/>
      <trackRevisions>false</trackRevisions>
    </reviewItem>
    <reviewItem>
      <errorID>f71effb5-c44a-4b17-ae40-19ed38c14aeb</errorID>
      <errorWord>II</errorWord>
      <group>L1_Knowledge</group>
      <groupName>知识性问题</groupName>
      <ability>L2_Knowledge</ability>
      <abilityName>其他知识</abilityName>
      <candidateList>
        <item>Ⅱ</item>
      </candidateList>
      <explain>中文环境下罗马数字格式错误。</explain>
      <paraID>48521EB4</paraID>
      <start>2</start>
      <end>4</end>
      <status>ignored</status>
      <modifiedWord/>
      <trackRevisions>false</trackRevisions>
    </reviewItem>
    <reviewItem>
      <errorID>9b84fc76-5469-46e6-bc75-c29f06ce2666</errorID>
      <errorWord>II</errorWord>
      <group>L1_Knowledge</group>
      <groupName>知识性问题</groupName>
      <ability>L2_Knowledge</ability>
      <abilityName>其他知识</abilityName>
      <candidateList>
        <item>Ⅱ</item>
      </candidateList>
      <explain>中文环境下罗马数字格式错误。</explain>
      <paraID>71508A28</paraID>
      <start>2</start>
      <end>4</end>
      <status>ignored</status>
      <modifiedWord/>
      <trackRevisions>false</trackRevisions>
    </reviewItem>
    <reviewItem>
      <errorID>3d8df46a-d2b9-4dbb-b6ad-13233e58bf78</errorID>
      <errorWord>II</errorWord>
      <group>L1_Knowledge</group>
      <groupName>知识性问题</groupName>
      <ability>L2_Knowledge</ability>
      <abilityName>其他知识</abilityName>
      <candidateList>
        <item>Ⅱ</item>
      </candidateList>
      <explain>中文环境下罗马数字格式错误。</explain>
      <paraID>5C720CD5</paraID>
      <start>2</start>
      <end>4</end>
      <status>ignored</status>
      <modifiedWord/>
      <trackRevisions>false</trackRevisions>
    </reviewItem>
    <reviewItem>
      <errorID>13c80f34-9c2a-497b-b173-312fffc35ac0</errorID>
      <errorWord>II</errorWord>
      <group>L1_Knowledge</group>
      <groupName>知识性问题</groupName>
      <ability>L2_Knowledge</ability>
      <abilityName>其他知识</abilityName>
      <candidateList>
        <item>Ⅱ</item>
      </candidateList>
      <explain>中文环境下罗马数字格式错误。</explain>
      <paraID>7F09C60A</paraID>
      <start>2</start>
      <end>4</end>
      <status>ignored</status>
      <modifiedWord/>
      <trackRevisions>false</trackRevisions>
    </reviewItem>
    <reviewItem>
      <errorID>c73c6b4c-1d47-45e4-99f7-aa0181b8bbf3</errorID>
      <errorWord>II</errorWord>
      <group>L1_Knowledge</group>
      <groupName>知识性问题</groupName>
      <ability>L2_Knowledge</ability>
      <abilityName>其他知识</abilityName>
      <candidateList>
        <item>Ⅱ</item>
      </candidateList>
      <explain>中文环境下罗马数字格式错误。</explain>
      <paraID>4F84B4E3</paraID>
      <start>2</start>
      <end>4</end>
      <status>ignored</status>
      <modifiedWord/>
      <trackRevisions>false</trackRevisions>
    </reviewItem>
    <reviewItem>
      <errorID>a8b84039-59cb-431a-8dcf-a6494b84a779</errorID>
      <errorWord>II</errorWord>
      <group>L1_Knowledge</group>
      <groupName>知识性问题</groupName>
      <ability>L2_Knowledge</ability>
      <abilityName>其他知识</abilityName>
      <candidateList>
        <item>Ⅱ</item>
      </candidateList>
      <explain>中文环境下罗马数字格式错误。</explain>
      <paraID>7B080B35</paraID>
      <start>2</start>
      <end>4</end>
      <status>ignored</status>
      <modifiedWord/>
      <trackRevisions>false</trackRevisions>
    </reviewItem>
    <reviewItem>
      <errorID>52a13e13-fc27-4b58-bbd1-2651ded08f31</errorID>
      <errorWord>II</errorWord>
      <group>L1_Knowledge</group>
      <groupName>知识性问题</groupName>
      <ability>L2_Knowledge</ability>
      <abilityName>其他知识</abilityName>
      <candidateList>
        <item>Ⅱ</item>
      </candidateList>
      <explain>中文环境下罗马数字格式错误。</explain>
      <paraID>64516791</paraID>
      <start>2</start>
      <end>4</end>
      <status>ignored</status>
      <modifiedWord/>
      <trackRevisions>false</trackRevisions>
    </reviewItem>
    <reviewItem>
      <errorID>f87db3ca-6d61-4856-86a2-39a107dfb146</errorID>
      <errorWord>II</errorWord>
      <group>L1_Knowledge</group>
      <groupName>知识性问题</groupName>
      <ability>L2_Knowledge</ability>
      <abilityName>其他知识</abilityName>
      <candidateList>
        <item>Ⅱ</item>
      </candidateList>
      <explain>中文环境下罗马数字格式错误。</explain>
      <paraID>5C0E4782</paraID>
      <start>2</start>
      <end>4</end>
      <status>ignored</status>
      <modifiedWord/>
      <trackRevisions>false</trackRevisions>
    </reviewItem>
    <reviewItem>
      <errorID>adf49ef1-d178-42ee-badd-33663704d8f0</errorID>
      <errorWord>II</errorWord>
      <group>L1_Knowledge</group>
      <groupName>知识性问题</groupName>
      <ability>L2_Knowledge</ability>
      <abilityName>其他知识</abilityName>
      <candidateList>
        <item>Ⅱ</item>
      </candidateList>
      <explain>中文环境下罗马数字格式错误。</explain>
      <paraID>2ADA2E9A</paraID>
      <start>3</start>
      <end>5</end>
      <status>ignored</status>
      <modifiedWord/>
      <trackRevisions>false</trackRevisions>
    </reviewItem>
    <reviewItem>
      <errorID>447a5e07-63c7-4d6b-87c2-3ddd5c671a40</errorID>
      <errorWord>II</errorWord>
      <group>L1_Knowledge</group>
      <groupName>知识性问题</groupName>
      <ability>L2_Knowledge</ability>
      <abilityName>其他知识</abilityName>
      <candidateList>
        <item>Ⅱ</item>
      </candidateList>
      <explain>中文环境下罗马数字格式错误。</explain>
      <paraID>32E4D498</paraID>
      <start>2</start>
      <end>4</end>
      <status>ignored</status>
      <modifiedWord/>
      <trackRevisions>false</trackRevisions>
    </reviewItem>
    <reviewItem>
      <errorID>f72e635d-3043-4104-a04d-b1bdd5ea2d98</errorID>
      <errorWord>II</errorWord>
      <group>L1_Knowledge</group>
      <groupName>知识性问题</groupName>
      <ability>L2_Knowledge</ability>
      <abilityName>其他知识</abilityName>
      <candidateList>
        <item>Ⅱ</item>
      </candidateList>
      <explain>中文环境下罗马数字格式错误。</explain>
      <paraID>628C0800</paraID>
      <start>2</start>
      <end>4</end>
      <status>ignored</status>
      <modifiedWord/>
      <trackRevisions>false</trackRevisions>
    </reviewItem>
    <reviewItem>
      <errorID>e0c2a896-f956-4e11-9cbe-c4e58327b5ae</errorID>
      <errorWord>II</errorWord>
      <group>L1_Knowledge</group>
      <groupName>知识性问题</groupName>
      <ability>L2_Knowledge</ability>
      <abilityName>其他知识</abilityName>
      <candidateList>
        <item>Ⅱ</item>
      </candidateList>
      <explain>中文环境下罗马数字格式错误。</explain>
      <paraID>6AA03059</paraID>
      <start>2</start>
      <end>4</end>
      <status>ignored</status>
      <modifiedWord/>
      <trackRevisions>false</trackRevisions>
    </reviewItem>
    <reviewItem>
      <errorID>7b7bea25-3c04-49d4-95cf-a51536cd5921</errorID>
      <errorWord>II</errorWord>
      <group>L1_Knowledge</group>
      <groupName>知识性问题</groupName>
      <ability>L2_Knowledge</ability>
      <abilityName>其他知识</abilityName>
      <candidateList>
        <item>Ⅱ</item>
      </candidateList>
      <explain>中文环境下罗马数字格式错误。</explain>
      <paraID>77787715</paraID>
      <start>2</start>
      <end>4</end>
      <status>ignored</status>
      <modifiedWord/>
      <trackRevisions>false</trackRevisions>
    </reviewItem>
    <reviewItem>
      <errorID>bd43aeb1-483c-4cd0-be0c-903d3314377a</errorID>
      <errorWord>II</errorWord>
      <group>L1_Knowledge</group>
      <groupName>知识性问题</groupName>
      <ability>L2_Knowledge</ability>
      <abilityName>其他知识</abilityName>
      <candidateList>
        <item>Ⅱ</item>
      </candidateList>
      <explain>中文环境下罗马数字格式错误。</explain>
      <paraID>4F50D0F8</paraID>
      <start>2</start>
      <end>4</end>
      <status>ignored</status>
      <modifiedWord/>
      <trackRevisions>false</trackRevisions>
    </reviewItem>
    <reviewItem>
      <errorID>be6c137b-828b-497f-86a3-d4e1bde1db42</errorID>
      <errorWord>II</errorWord>
      <group>L1_Knowledge</group>
      <groupName>知识性问题</groupName>
      <ability>L2_Knowledge</ability>
      <abilityName>其他知识</abilityName>
      <candidateList>
        <item>Ⅱ</item>
      </candidateList>
      <explain>中文环境下罗马数字格式错误。</explain>
      <paraID>7D21A800</paraID>
      <start>2</start>
      <end>4</end>
      <status>ignored</status>
      <modifiedWord/>
      <trackRevisions>false</trackRevisions>
    </reviewItem>
    <reviewItem>
      <errorID>5d61f059-80c6-4eb9-aec1-b3f3903b2e11</errorID>
      <errorWord>II</errorWord>
      <group>L1_Knowledge</group>
      <groupName>知识性问题</groupName>
      <ability>L2_Knowledge</ability>
      <abilityName>其他知识</abilityName>
      <candidateList>
        <item>Ⅱ</item>
      </candidateList>
      <explain>中文环境下罗马数字格式错误。</explain>
      <paraID>4E57B970</paraID>
      <start>2</start>
      <end>4</end>
      <status>ignored</status>
      <modifiedWord/>
      <trackRevisions>false</trackRevisions>
    </reviewItem>
    <reviewItem>
      <errorID>4a9de1fe-fb8f-4df4-bb89-b896f7709c42</errorID>
      <errorWord>II</errorWord>
      <group>L1_Knowledge</group>
      <groupName>知识性问题</groupName>
      <ability>L2_Knowledge</ability>
      <abilityName>其他知识</abilityName>
      <candidateList>
        <item>Ⅱ</item>
      </candidateList>
      <explain>中文环境下罗马数字格式错误。</explain>
      <paraID>4860124D</paraID>
      <start>2</start>
      <end>4</end>
      <status>ignored</status>
      <modifiedWord/>
      <trackRevisions>false</trackRevisions>
    </reviewItem>
    <reviewItem>
      <errorID>69b2676e-1119-47b8-af24-5d119fcce04f</errorID>
      <errorWord>II</errorWord>
      <group>L1_Knowledge</group>
      <groupName>知识性问题</groupName>
      <ability>L2_Knowledge</ability>
      <abilityName>其他知识</abilityName>
      <candidateList>
        <item>Ⅱ</item>
      </candidateList>
      <explain>中文环境下罗马数字格式错误。</explain>
      <paraID>77A7833B</paraID>
      <start>2</start>
      <end>4</end>
      <status>ignored</status>
      <modifiedWord/>
      <trackRevisions>false</trackRevisions>
    </reviewItem>
    <reviewItem>
      <errorID>671c1972-9a39-4c02-a2fe-c8b114874382</errorID>
      <errorWord>II</errorWord>
      <group>L1_Knowledge</group>
      <groupName>知识性问题</groupName>
      <ability>L2_Knowledge</ability>
      <abilityName>其他知识</abilityName>
      <candidateList>
        <item>Ⅱ</item>
      </candidateList>
      <explain>中文环境下罗马数字格式错误。</explain>
      <paraID>3ED1312F</paraID>
      <start>2</start>
      <end>4</end>
      <status>ignored</status>
      <modifiedWord/>
      <trackRevisions>false</trackRevisions>
    </reviewItem>
    <reviewItem>
      <errorID>6eafe5e7-198c-4fa0-b7fb-addcc27b06b4</errorID>
      <errorWord>II</errorWord>
      <group>L1_Knowledge</group>
      <groupName>知识性问题</groupName>
      <ability>L2_Knowledge</ability>
      <abilityName>其他知识</abilityName>
      <candidateList>
        <item>Ⅱ</item>
      </candidateList>
      <explain>中文环境下罗马数字格式错误。</explain>
      <paraID>68FEF241</paraID>
      <start>2</start>
      <end>4</end>
      <status>ignored</status>
      <modifiedWord/>
      <trackRevisions>false</trackRevisions>
    </reviewItem>
    <reviewItem>
      <errorID>0034505c-5153-4167-8d0e-3702be66001c</errorID>
      <errorWord>II</errorWord>
      <group>L1_Knowledge</group>
      <groupName>知识性问题</groupName>
      <ability>L2_Knowledge</ability>
      <abilityName>其他知识</abilityName>
      <candidateList>
        <item>Ⅱ</item>
      </candidateList>
      <explain>中文环境下罗马数字格式错误。</explain>
      <paraID>2EF11C51</paraID>
      <start>2</start>
      <end>4</end>
      <status>ignored</status>
      <modifiedWord/>
      <trackRevisions>false</trackRevisions>
    </reviewItem>
    <reviewItem>
      <errorID>5eaba39a-aec5-4ea8-a94d-454074ea707e</errorID>
      <errorWord>II</errorWord>
      <group>L1_Knowledge</group>
      <groupName>知识性问题</groupName>
      <ability>L2_Knowledge</ability>
      <abilityName>其他知识</abilityName>
      <candidateList>
        <item>Ⅱ</item>
      </candidateList>
      <explain>中文环境下罗马数字格式错误。</explain>
      <paraID>72D8231E</paraID>
      <start>3</start>
      <end>5</end>
      <status>ignored</status>
      <modifiedWord/>
      <trackRevisions>false</trackRevisions>
    </reviewItem>
    <reviewItem>
      <errorID>7ef4d576-e194-4d6d-a945-75be9f22c667</errorID>
      <errorWord>II</errorWord>
      <group>L1_Knowledge</group>
      <groupName>知识性问题</groupName>
      <ability>L2_Knowledge</ability>
      <abilityName>其他知识</abilityName>
      <candidateList>
        <item>Ⅱ</item>
      </candidateList>
      <explain>中文环境下罗马数字格式错误。</explain>
      <paraID> D3EAAA2</paraID>
      <start>2</start>
      <end>4</end>
      <status>ignored</status>
      <modifiedWord/>
      <trackRevisions>false</trackRevisions>
    </reviewItem>
    <reviewItem>
      <errorID>8d9e758c-925c-4aaa-8d4f-72090afd446d</errorID>
      <errorWord>II</errorWord>
      <group>L1_Knowledge</group>
      <groupName>知识性问题</groupName>
      <ability>L2_Knowledge</ability>
      <abilityName>其他知识</abilityName>
      <candidateList>
        <item>Ⅱ</item>
      </candidateList>
      <explain>中文环境下罗马数字格式错误。</explain>
      <paraID>34682118</paraID>
      <start>2</start>
      <end>4</end>
      <status>ignored</status>
      <modifiedWord/>
      <trackRevisions>false</trackRevisions>
    </reviewItem>
    <reviewItem>
      <errorID>5dc76eee-29d3-41cd-939c-e884b8032e64</errorID>
      <errorWord>II</errorWord>
      <group>L1_Knowledge</group>
      <groupName>知识性问题</groupName>
      <ability>L2_Knowledge</ability>
      <abilityName>其他知识</abilityName>
      <candidateList>
        <item>Ⅱ</item>
      </candidateList>
      <explain>中文环境下罗马数字格式错误。</explain>
      <paraID>508E6595</paraID>
      <start>2</start>
      <end>4</end>
      <status>ignored</status>
      <modifiedWord/>
      <trackRevisions>false</trackRevisions>
    </reviewItem>
    <reviewItem>
      <errorID>39986e0e-825b-4c6c-b0e3-649031c73a8c</errorID>
      <errorWord>II</errorWord>
      <group>L1_Knowledge</group>
      <groupName>知识性问题</groupName>
      <ability>L2_Knowledge</ability>
      <abilityName>其他知识</abilityName>
      <candidateList>
        <item>Ⅱ</item>
      </candidateList>
      <explain>中文环境下罗马数字格式错误。</explain>
      <paraID>372FF1B1</paraID>
      <start>2</start>
      <end>4</end>
      <status>ignored</status>
      <modifiedWord/>
      <trackRevisions>false</trackRevisions>
    </reviewItem>
    <reviewItem>
      <errorID>daa8919a-c533-4497-97d2-a13763706e51</errorID>
      <errorWord>II</errorWord>
      <group>L1_Knowledge</group>
      <groupName>知识性问题</groupName>
      <ability>L2_Knowledge</ability>
      <abilityName>其他知识</abilityName>
      <candidateList>
        <item>Ⅱ</item>
      </candidateList>
      <explain>中文环境下罗马数字格式错误。</explain>
      <paraID>756D37F9</paraID>
      <start>2</start>
      <end>4</end>
      <status>ignored</status>
      <modifiedWord/>
      <trackRevisions>false</trackRevisions>
    </reviewItem>
    <reviewItem>
      <errorID>b4520e3e-d22d-4076-a186-add0f180732b</errorID>
      <errorWord>II</errorWord>
      <group>L1_Knowledge</group>
      <groupName>知识性问题</groupName>
      <ability>L2_Knowledge</ability>
      <abilityName>其他知识</abilityName>
      <candidateList>
        <item>Ⅱ</item>
      </candidateList>
      <explain>中文环境下罗马数字格式错误。</explain>
      <paraID>63AA3EE6</paraID>
      <start>2</start>
      <end>4</end>
      <status>ignored</status>
      <modifiedWord/>
      <trackRevisions>false</trackRevisions>
    </reviewItem>
    <reviewItem>
      <errorID>fd848b26-d052-4b59-ac55-115b1ddfe2dd</errorID>
      <errorWord>II</errorWord>
      <group>L1_Knowledge</group>
      <groupName>知识性问题</groupName>
      <ability>L2_Knowledge</ability>
      <abilityName>其他知识</abilityName>
      <candidateList>
        <item>Ⅱ</item>
      </candidateList>
      <explain>中文环境下罗马数字格式错误。</explain>
      <paraID>1F0CBC30</paraID>
      <start>2</start>
      <end>4</end>
      <status>ignored</status>
      <modifiedWord/>
      <trackRevisions>false</trackRevisions>
    </reviewItem>
    <reviewItem>
      <errorID>bbd17145-18c7-47c8-a562-bb0f06d955bf</errorID>
      <errorWord>II</errorWord>
      <group>L1_Knowledge</group>
      <groupName>知识性问题</groupName>
      <ability>L2_Knowledge</ability>
      <abilityName>其他知识</abilityName>
      <candidateList>
        <item>Ⅱ</item>
      </candidateList>
      <explain>中文环境下罗马数字格式错误。</explain>
      <paraID>56932C2A</paraID>
      <start>2</start>
      <end>4</end>
      <status>ignored</status>
      <modifiedWord/>
      <trackRevisions>false</trackRevisions>
    </reviewItem>
    <reviewItem>
      <errorID>cf5633b7-1fd8-4a4f-919a-dad2269539b2</errorID>
      <errorWord>II</errorWord>
      <group>L1_Knowledge</group>
      <groupName>知识性问题</groupName>
      <ability>L2_Knowledge</ability>
      <abilityName>其他知识</abilityName>
      <candidateList>
        <item>Ⅱ</item>
      </candidateList>
      <explain>中文环境下罗马数字格式错误。</explain>
      <paraID>621F992F</paraID>
      <start>2</start>
      <end>4</end>
      <status>ignored</status>
      <modifiedWord/>
      <trackRevisions>false</trackRevisions>
    </reviewItem>
    <reviewItem>
      <errorID>cacbefea-ac65-43ee-b3a8-d43c7e7acb81</errorID>
      <errorWord>II</errorWord>
      <group>L1_Knowledge</group>
      <groupName>知识性问题</groupName>
      <ability>L2_Knowledge</ability>
      <abilityName>其他知识</abilityName>
      <candidateList>
        <item>Ⅱ</item>
      </candidateList>
      <explain>中文环境下罗马数字格式错误。</explain>
      <paraID>567B37C6</paraID>
      <start>2</start>
      <end>4</end>
      <status>ignored</status>
      <modifiedWord/>
      <trackRevisions>false</trackRevisions>
    </reviewItem>
    <reviewItem>
      <errorID>39266ca3-9da6-4eee-b3b0-173ca0e0d820</errorID>
      <errorWord>II</errorWord>
      <group>L1_Knowledge</group>
      <groupName>知识性问题</groupName>
      <ability>L2_Knowledge</ability>
      <abilityName>其他知识</abilityName>
      <candidateList>
        <item>Ⅱ</item>
      </candidateList>
      <explain>中文环境下罗马数字格式错误。</explain>
      <paraID>765886E5</paraID>
      <start>2</start>
      <end>4</end>
      <status>ignored</status>
      <modifiedWord/>
      <trackRevisions>false</trackRevisions>
    </reviewItem>
    <reviewItem>
      <errorID>e11ef875-baf3-49fc-9f1c-9909367bbca0</errorID>
      <errorWord>II</errorWord>
      <group>L1_Knowledge</group>
      <groupName>知识性问题</groupName>
      <ability>L2_Knowledge</ability>
      <abilityName>其他知识</abilityName>
      <candidateList>
        <item>Ⅱ</item>
      </candidateList>
      <explain>中文环境下罗马数字格式错误。</explain>
      <paraID>57660E95</paraID>
      <start>2</start>
      <end>4</end>
      <status>ignored</status>
      <modifiedWord/>
      <trackRevisions>false</trackRevisions>
    </reviewItem>
    <reviewItem>
      <errorID>b654ddfd-224b-433f-955b-d9e67ffb008d</errorID>
      <errorWord>II</errorWord>
      <group>L1_Knowledge</group>
      <groupName>知识性问题</groupName>
      <ability>L2_Knowledge</ability>
      <abilityName>其他知识</abilityName>
      <candidateList>
        <item>Ⅱ</item>
      </candidateList>
      <explain>中文环境下罗马数字格式错误。</explain>
      <paraID>3EC714DC</paraID>
      <start>2</start>
      <end>4</end>
      <status>ignored</status>
      <modifiedWord/>
      <trackRevisions>false</trackRevisions>
    </reviewItem>
    <reviewItem>
      <errorID>8222ebdc-172d-4718-97a2-eb88923360d6</errorID>
      <errorWord>II</errorWord>
      <group>L1_Knowledge</group>
      <groupName>知识性问题</groupName>
      <ability>L2_Knowledge</ability>
      <abilityName>其他知识</abilityName>
      <candidateList>
        <item>Ⅱ</item>
      </candidateList>
      <explain>中文环境下罗马数字格式错误。</explain>
      <paraID>18441682</paraID>
      <start>2</start>
      <end>4</end>
      <status>ignored</status>
      <modifiedWord/>
      <trackRevisions>false</trackRevisions>
    </reviewItem>
    <reviewItem>
      <errorID>996337c3-40ba-4b36-93fd-e6b0174a742c</errorID>
      <errorWord>II</errorWord>
      <group>L1_Knowledge</group>
      <groupName>知识性问题</groupName>
      <ability>L2_Knowledge</ability>
      <abilityName>其他知识</abilityName>
      <candidateList>
        <item>Ⅱ</item>
      </candidateList>
      <explain>中文环境下罗马数字格式错误。</explain>
      <paraID>431CF5DE</paraID>
      <start>2</start>
      <end>4</end>
      <status>ignored</status>
      <modifiedWord/>
      <trackRevisions>false</trackRevisions>
    </reviewItem>
    <reviewItem>
      <errorID>f812aceb-db4a-4e3b-9204-89cfd92f9fcb</errorID>
      <errorWord>II</errorWord>
      <group>L1_Knowledge</group>
      <groupName>知识性问题</groupName>
      <ability>L2_Knowledge</ability>
      <abilityName>其他知识</abilityName>
      <candidateList>
        <item>Ⅱ</item>
      </candidateList>
      <explain>中文环境下罗马数字格式错误。</explain>
      <paraID> C18AFF8</paraID>
      <start>2</start>
      <end>4</end>
      <status>ignored</status>
      <modifiedWord/>
      <trackRevisions>false</trackRevisions>
    </reviewItem>
    <reviewItem>
      <errorID>a3468dca-2bb0-4dfd-adf7-43cc4fb7694f</errorID>
      <errorWord>II</errorWord>
      <group>L1_Knowledge</group>
      <groupName>知识性问题</groupName>
      <ability>L2_Knowledge</ability>
      <abilityName>其他知识</abilityName>
      <candidateList>
        <item>Ⅱ</item>
      </candidateList>
      <explain>中文环境下罗马数字格式错误。</explain>
      <paraID>6CF47725</paraID>
      <start>2</start>
      <end>4</end>
      <status>ignored</status>
      <modifiedWord/>
      <trackRevisions>false</trackRevisions>
    </reviewItem>
    <reviewItem>
      <errorID>0f0b56e9-a39c-4ebb-995a-2ee24d4132e4</errorID>
      <errorWord>II</errorWord>
      <group>L1_Knowledge</group>
      <groupName>知识性问题</groupName>
      <ability>L2_Knowledge</ability>
      <abilityName>其他知识</abilityName>
      <candidateList>
        <item>Ⅱ</item>
      </candidateList>
      <explain>中文环境下罗马数字格式错误。</explain>
      <paraID>6E45109E</paraID>
      <start>2</start>
      <end>4</end>
      <status>ignored</status>
      <modifiedWord/>
      <trackRevisions>false</trackRevisions>
    </reviewItem>
    <reviewItem>
      <errorID>acbfd3bb-d551-4283-a8cd-ff886255f4bb</errorID>
      <errorWord>II</errorWord>
      <group>L1_Knowledge</group>
      <groupName>知识性问题</groupName>
      <ability>L2_Knowledge</ability>
      <abilityName>其他知识</abilityName>
      <candidateList>
        <item>Ⅱ</item>
      </candidateList>
      <explain>中文环境下罗马数字格式错误。</explain>
      <paraID>48FC850A</paraID>
      <start>51</start>
      <end>53</end>
      <status>ignored</status>
      <modifiedWord/>
      <trackRevisions>false</trackRevisions>
    </reviewItem>
    <reviewItem>
      <errorID>ca1f33b7-6706-420a-bf40-8df9aa1f701f</errorID>
      <errorWord>II</errorWord>
      <group>L1_Knowledge</group>
      <groupName>知识性问题</groupName>
      <ability>L2_Knowledge</ability>
      <abilityName>其他知识</abilityName>
      <candidateList>
        <item>Ⅱ</item>
      </candidateList>
      <explain>中文环境下罗马数字格式错误。</explain>
      <paraID>31A6EB67</paraID>
      <start>33</start>
      <end>35</end>
      <status>ignored</status>
      <modifiedWord/>
      <trackRevisions>false</trackRevisions>
    </reviewItem>
    <reviewItem>
      <errorID>065d3c9e-592a-4539-8190-d43aae97f5c0</errorID>
      <errorWord>II</errorWord>
      <group>L1_Knowledge</group>
      <groupName>知识性问题</groupName>
      <ability>L2_Knowledge</ability>
      <abilityName>其他知识</abilityName>
      <candidateList>
        <item>Ⅱ</item>
      </candidateList>
      <explain>中文环境下罗马数字格式错误。</explain>
      <paraID>378DFE68</paraID>
      <start>33</start>
      <end>35</end>
      <status>ignored</status>
      <modifiedWord/>
      <trackRevisions>false</trackRevisions>
    </reviewItem>
    <reviewItem>
      <errorID>78eec3e8-800c-4bd5-a955-266ed9e7ac6f</errorID>
      <errorWord>II</errorWord>
      <group>L1_Knowledge</group>
      <groupName>知识性问题</groupName>
      <ability>L2_Knowledge</ability>
      <abilityName>其他知识</abilityName>
      <candidateList>
        <item>Ⅱ</item>
      </candidateList>
      <explain>中文环境下罗马数字格式错误。</explain>
      <paraID>184B9240</paraID>
      <start>33</start>
      <end>35</end>
      <status>ignored</status>
      <modifiedWord/>
      <trackRevisions>false</trackRevisions>
    </reviewItem>
    <reviewItem>
      <errorID>7e698f0c-e267-40d9-a845-4d6badaa4172</errorID>
      <errorWord>II</errorWord>
      <group>L1_Knowledge</group>
      <groupName>知识性问题</groupName>
      <ability>L2_Knowledge</ability>
      <abilityName>其他知识</abilityName>
      <candidateList>
        <item>Ⅱ</item>
      </candidateList>
      <explain>中文环境下罗马数字格式错误。</explain>
      <paraID>1C4BEC55</paraID>
      <start>33</start>
      <end>35</end>
      <status>ignored</status>
      <modifiedWord/>
      <trackRevisions>false</trackRevisions>
    </reviewItem>
    <reviewItem>
      <errorID>d43d6109-71d8-42e1-acf4-e6a09c4b1afb</errorID>
      <errorWord>II</errorWord>
      <group>L1_Knowledge</group>
      <groupName>知识性问题</groupName>
      <ability>L2_Knowledge</ability>
      <abilityName>其他知识</abilityName>
      <candidateList>
        <item>Ⅱ</item>
      </candidateList>
      <explain>中文环境下罗马数字格式错误。</explain>
      <paraID>1517E56B</paraID>
      <start>33</start>
      <end>35</end>
      <status>ignored</status>
      <modifiedWord/>
      <trackRevisions>false</trackRevisions>
    </reviewItem>
    <reviewItem>
      <errorID>40c84e7f-6bb3-4d33-81f3-345a4754e989</errorID>
      <errorWord>II</errorWord>
      <group>L1_Knowledge</group>
      <groupName>知识性问题</groupName>
      <ability>L2_Knowledge</ability>
      <abilityName>其他知识</abilityName>
      <candidateList>
        <item>Ⅱ</item>
      </candidateList>
      <explain>中文环境下罗马数字格式错误。</explain>
      <paraID>249E8A1F</paraID>
      <start>33</start>
      <end>35</end>
      <status>ignored</status>
      <modifiedWord/>
      <trackRevisions>false</trackRevisions>
    </reviewItem>
    <reviewItem>
      <errorID>6e46ff9e-a71f-474e-8aca-66c544e8c590</errorID>
      <errorWord>II</errorWord>
      <group>L1_Knowledge</group>
      <groupName>知识性问题</groupName>
      <ability>L2_Knowledge</ability>
      <abilityName>其他知识</abilityName>
      <candidateList>
        <item>Ⅱ</item>
      </candidateList>
      <explain>中文环境下罗马数字格式错误。</explain>
      <paraID>7C586E09</paraID>
      <start>33</start>
      <end>35</end>
      <status>ignored</status>
      <modifiedWord/>
      <trackRevisions>false</trackRevisions>
    </reviewItem>
    <reviewItem>
      <errorID>a80ff1f2-a1e3-492c-9e4f-c1667080045c</errorID>
      <errorWord>II</errorWord>
      <group>L1_Knowledge</group>
      <groupName>知识性问题</groupName>
      <ability>L2_Knowledge</ability>
      <abilityName>其他知识</abilityName>
      <candidateList>
        <item>Ⅱ</item>
      </candidateList>
      <explain>中文环境下罗马数字格式错误。</explain>
      <paraID>79A6E1D8</paraID>
      <start>33</start>
      <end>35</end>
      <status>ignored</status>
      <modifiedWord/>
      <trackRevisions>false</trackRevisions>
    </reviewItem>
    <reviewItem>
      <errorID>e1c48dd4-034e-4063-a637-d04802d5b0e0</errorID>
      <errorWord>II</errorWord>
      <group>L1_Knowledge</group>
      <groupName>知识性问题</groupName>
      <ability>L2_Knowledge</ability>
      <abilityName>其他知识</abilityName>
      <candidateList>
        <item>Ⅱ</item>
      </candidateList>
      <explain>中文环境下罗马数字格式错误。</explain>
      <paraID>4E35BF54</paraID>
      <start>33</start>
      <end>35</end>
      <status>ignored</status>
      <modifiedWord/>
      <trackRevisions>false</trackRevisions>
    </reviewItem>
    <reviewItem>
      <errorID>0b16639d-e149-4d05-9933-73d1d89456dc</errorID>
      <errorWord>II</errorWord>
      <group>L1_Knowledge</group>
      <groupName>知识性问题</groupName>
      <ability>L2_Knowledge</ability>
      <abilityName>其他知识</abilityName>
      <candidateList>
        <item>Ⅱ</item>
      </candidateList>
      <explain>中文环境下罗马数字格式错误。</explain>
      <paraID>57AF994E</paraID>
      <start>33</start>
      <end>35</end>
      <status>ignored</status>
      <modifiedWord/>
      <trackRevisions>false</trackRevisions>
    </reviewItem>
    <reviewItem>
      <errorID>2bf9af15-f500-460b-8972-a11cf547c40c</errorID>
      <errorWord>II</errorWord>
      <group>L1_Knowledge</group>
      <groupName>知识性问题</groupName>
      <ability>L2_Knowledge</ability>
      <abilityName>其他知识</abilityName>
      <candidateList>
        <item>Ⅱ</item>
      </candidateList>
      <explain>中文环境下罗马数字格式错误。</explain>
      <paraID>5E33882F</paraID>
      <start>33</start>
      <end>35</end>
      <status>ignored</status>
      <modifiedWord/>
      <trackRevisions>false</trackRevisions>
    </reviewItem>
    <reviewItem>
      <errorID>9c0c1449-1011-4fd4-8f2f-8be0ef8799b4</errorID>
      <errorWord>II</errorWord>
      <group>L1_Knowledge</group>
      <groupName>知识性问题</groupName>
      <ability>L2_Knowledge</ability>
      <abilityName>其他知识</abilityName>
      <candidateList>
        <item>Ⅱ</item>
      </candidateList>
      <explain>中文环境下罗马数字格式错误。</explain>
      <paraID>5CA8DF69</paraID>
      <start>33</start>
      <end>35</end>
      <status>ignored</status>
      <modifiedWord/>
      <trackRevisions>false</trackRevisions>
    </reviewItem>
    <reviewItem>
      <errorID>26f65c6b-d1b6-4a81-9b1d-a67f530834c9</errorID>
      <errorWord>II</errorWord>
      <group>L1_Knowledge</group>
      <groupName>知识性问题</groupName>
      <ability>L2_Knowledge</ability>
      <abilityName>其他知识</abilityName>
      <candidateList>
        <item>Ⅱ</item>
      </candidateList>
      <explain>中文环境下罗马数字格式错误。</explain>
      <paraID>7FA32440</paraID>
      <start>33</start>
      <end>35</end>
      <status>ignored</status>
      <modifiedWord/>
      <trackRevisions>false</trackRevisions>
    </reviewItem>
    <reviewItem>
      <errorID>3d2d724a-17d9-48da-b26c-97e084cd4e72</errorID>
      <errorWord>II</errorWord>
      <group>L1_Knowledge</group>
      <groupName>知识性问题</groupName>
      <ability>L2_Knowledge</ability>
      <abilityName>其他知识</abilityName>
      <candidateList>
        <item>Ⅱ</item>
      </candidateList>
      <explain>中文环境下罗马数字格式错误。</explain>
      <paraID>2F186DFA</paraID>
      <start>38</start>
      <end>40</end>
      <status>ignored</status>
      <modifiedWord/>
      <trackRevisions>false</trackRevisions>
    </reviewItem>
    <reviewItem>
      <errorID>b41a064f-2475-4502-8647-04c4a6a16f6e</errorID>
      <errorWord>II</errorWord>
      <group>L1_Knowledge</group>
      <groupName>知识性问题</groupName>
      <ability>L2_Knowledge</ability>
      <abilityName>其他知识</abilityName>
      <candidateList>
        <item>Ⅱ</item>
      </candidateList>
      <explain>中文环境下罗马数字格式错误。</explain>
      <paraID>2842F747</paraID>
      <start>26</start>
      <end>28</end>
      <status>ignored</status>
      <modifiedWord/>
      <trackRevisions>false</trackRevisions>
    </reviewItem>
    <reviewItem>
      <errorID>2093d8ae-e860-4933-9764-6b8920a5dacf</errorID>
      <errorWord>~</errorWord>
      <group>L1_Format</group>
      <groupName>格式问题</groupName>
      <ability>L2_HalfPunc_CN</ability>
      <abilityName>全半角问题</abilityName>
      <candidateList>
        <item>～</item>
      </candidateList>
      <explain>文本全半角错误。</explain>
      <paraID>2C1514BE</paraID>
      <start>16</start>
      <end>17</end>
      <status>ignored</status>
      <modifiedWord/>
      <trackRevisions>false</trackRevisions>
    </reviewItem>
    <reviewItem>
      <errorID>67c551d4-3453-4aac-b59e-a8fdadc1d7b7</errorID>
      <errorWord>~</errorWord>
      <group>L1_Format</group>
      <groupName>格式问题</groupName>
      <ability>L2_HalfPunc_CN</ability>
      <abilityName>全半角问题</abilityName>
      <candidateList>
        <item>～</item>
      </candidateList>
      <explain>文本全半角错误。</explain>
      <paraID>2C1514BE</paraID>
      <start>37</start>
      <end>38</end>
      <status>ignored</status>
      <modifiedWord/>
      <trackRevisions>false</trackRevisions>
    </reviewItem>
    <reviewItem>
      <errorID>cbf82cc4-f589-4a45-8852-9efaba260df9</errorID>
      <errorWord>II</errorWord>
      <group>L1_Knowledge</group>
      <groupName>知识性问题</groupName>
      <ability>L2_Knowledge</ability>
      <abilityName>其他知识</abilityName>
      <candidateList>
        <item>Ⅱ</item>
      </candidateList>
      <explain>中文环境下罗马数字格式错误。</explain>
      <paraID>2C1514BE</paraID>
      <start>53</start>
      <end>55</end>
      <status>ignored</status>
      <modifiedWord/>
      <trackRevisions>false</trackRevisions>
    </reviewItem>
    <reviewItem>
      <errorID>905d54f3-c8f9-46e7-afe2-87e10c298173</errorID>
      <errorWord>~</errorWord>
      <group>L1_Format</group>
      <groupName>格式问题</groupName>
      <ability>L2_HalfPunc_CN</ability>
      <abilityName>全半角问题</abilityName>
      <candidateList>
        <item>～</item>
      </candidateList>
      <explain>文本全半角错误。</explain>
      <paraID>2C1514BE</paraID>
      <start>74</start>
      <end>75</end>
      <status>ignored</status>
      <modifiedWord/>
      <trackRevisions>false</trackRevisions>
    </reviewItem>
    <reviewItem>
      <errorID>78791c39-1b52-47db-9bdd-05fc98455467</errorID>
      <errorWord>~</errorWord>
      <group>L1_Format</group>
      <groupName>格式问题</groupName>
      <ability>L2_HalfPunc_CN</ability>
      <abilityName>全半角问题</abilityName>
      <candidateList>
        <item>～</item>
      </candidateList>
      <explain>文本全半角错误。</explain>
      <paraID>2C1514BE</paraID>
      <start>95</start>
      <end>96</end>
      <status>ignored</status>
      <modifiedWord/>
      <trackRevisions>false</trackRevisions>
    </reviewItem>
    <reviewItem>
      <errorID>d40bf5f8-91d1-48e8-9c21-63594ad531b0</errorID>
      <errorWord>粘结</errorWord>
      <group>L1_Word</group>
      <groupName>字词问题</groupName>
      <ability>L2_Typo</ability>
      <abilityName>字词错误</abilityName>
      <candidateList>
        <item>黏结</item>
      </candidateList>
      <explain>存在发音相同字词的误用。</explain>
      <paraID>41260CDD</paraID>
      <start>134</start>
      <end>136</end>
      <status>ignored</status>
      <modifiedWord/>
      <trackRevisions>false</trackRevisions>
    </reviewItem>
    <reviewItem>
      <errorID>eb4c4daf-c464-40b5-b156-07672a38dac1</errorID>
      <errorWord>滥砍滥伐</errorWord>
      <group>L1_Word</group>
      <groupName>字词问题</groupName>
      <ability>L2_Typo</ability>
      <abilityName>字词错误</abilityName>
      <candidateList>
        <item>乱砍滥伐</item>
      </candidateList>
      <explain/>
      <paraID>5F602F03</paraID>
      <start>48</start>
      <end>52</end>
      <status>ignored</status>
      <modifiedWord/>
      <trackRevisions>false</trackRevisions>
    </reviewItem>
    <reviewItem>
      <errorID>94dc7abe-f767-403f-8e39-f6758bd26245</errorID>
      <errorWord>细沙</errorWord>
      <group>L1_Word</group>
      <groupName>字词问题</groupName>
      <ability>L2_Typo</ability>
      <abilityName>字词错误</abilityName>
      <candidateList>
        <item>细砂</item>
      </candidateList>
      <explain>存在发音相同字词的误用。</explain>
      <paraID>4C6C911D</paraID>
      <start>109</start>
      <end>111</end>
      <status>ignored</status>
      <modifiedWord/>
      <trackRevisions>false</trackRevisions>
    </reviewItem>
    <reviewItem>
      <errorID>723e1441-3960-4310-8735-61f2183c3509</errorID>
      <errorWord>道路及</errorWord>
      <group>L1_Word</group>
      <groupName>字词问题</groupName>
      <ability>L2_Typo</ability>
      <abilityName>字词错误</abilityName>
      <candidateList>
        <item>道路</item>
      </candidateList>
      <explain/>
      <paraID> C8DDE50</paraID>
      <start>64</start>
      <end>67</end>
      <status>ignored</status>
      <modifiedWord/>
      <trackRevisions>false</trackRevisions>
    </reviewItem>
    <reviewItem>
      <errorID>409a192a-1f1a-44ef-9a68-eaaddf593a53</errorID>
      <errorWord>树立</errorWord>
      <group>L1_Word</group>
      <groupName>字词问题</groupName>
      <ability>L2_Typo</ability>
      <abilityName>字词错误</abilityName>
      <candidateList>
        <item>竖立</item>
      </candidateList>
      <explain/>
      <paraID> 5B41963</paraID>
      <start>30</start>
      <end>32</end>
      <status>ignored</status>
      <modifiedWord/>
      <trackRevisions>false</trackRevisions>
    </reviewItem>
    <reviewItem>
      <errorID>c5ae3b36-0206-48c0-b4d3-6ade22ac1192</errorID>
      <errorWord>约为</errorWord>
      <group>L1_Word</group>
      <groupName>字词问题</groupName>
      <ability>L2_Typo</ability>
      <abilityName>字词错误</abilityName>
      <candidateList>
        <item>约</item>
      </candidateList>
      <explain/>
      <paraID>4FAA64DB</paraID>
      <start>6</start>
      <end>8</end>
      <status>ignored</status>
      <modifiedWord/>
      <trackRevisions>false</trackRevisions>
    </reviewItem>
    <reviewItem>
      <errorID>f53ddc9a-56bd-49ed-bb30-b194f0bd2a51</errorID>
      <errorWord>约为</errorWord>
      <group>L1_Word</group>
      <groupName>字词问题</groupName>
      <ability>L2_Typo</ability>
      <abilityName>字词错误</abilityName>
      <candidateList>
        <item>约</item>
      </candidateList>
      <explain/>
      <paraID> 2C5DBEA</paraID>
      <start>60</start>
      <end>62</end>
      <status>ignored</status>
      <modifiedWord/>
      <trackRevisions>false</trackRevisions>
    </reviewItem>
    <reviewItem>
      <errorID>53fa2956-9e5c-4bf1-a856-ce177c9f96c9</errorID>
      <errorWord>结论</errorWord>
      <group>L1_Word</group>
      <groupName>字词问题</groupName>
      <ability>L2_Typo</ability>
      <abilityName>字词错误</abilityName>
      <candidateList>
        <item>结</item>
      </candidateList>
      <explain/>
      <paraID>2D753BE4</paraID>
      <start>4</start>
      <end>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99f112-e101-470c-80a6-21836fd83bd1}">
  <ds:schemaRefs/>
</ds:datastoreItem>
</file>

<file path=docProps/app.xml><?xml version="1.0" encoding="utf-8"?>
<Properties xmlns="http://schemas.openxmlformats.org/officeDocument/2006/extended-properties" xmlns:vt="http://schemas.openxmlformats.org/officeDocument/2006/docPropsVTypes">
  <Template>Normal.dotm</Template>
  <Pages>150</Pages>
  <Words>632</Words>
  <Characters>794</Characters>
  <Lines>1160</Lines>
  <Paragraphs>326</Paragraphs>
  <TotalTime>0</TotalTime>
  <ScaleCrop>false</ScaleCrop>
  <LinksUpToDate>false</LinksUpToDate>
  <CharactersWithSpaces>1075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2025-03-12T08:50:00Z</dcterms:created>
  <dc:creator>njgh</dc:creator>
  <cp:lastModifiedBy>njgh</cp:lastModifiedBy>
  <dcterms:modified xsi:type="dcterms:W3CDTF">2026-10-27T03:27:39Z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E9161E514A724533B9FA3E9DE740CBB4_13</vt:lpwstr>
  </property>
  <property fmtid="{D5CDD505-2E9C-101B-9397-08002B2CF9AE}" pid="4" name="KSOTemplateDocerSaveRecord">
    <vt:lpwstr>eyJoZGlkIjoiYjk0YjFjZTNhNzJkNjY2ZGRiYzkxNTUwZDk2OGI5NDYiLCJ1c2VySWQiOiIxNTY1NjA1NjM1In0=</vt:lpwstr>
  </property>
</Properties>
</file>