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811F8">
      <w:pPr>
        <w:keepNext w:val="0"/>
        <w:spacing w:before="0" w:after="0" w:line="300" w:lineRule="exact"/>
        <w:rPr>
          <w:rFonts w:hint="default" w:ascii="Times New Roman Regular" w:hAnsi="Times New Roman Regular" w:cs="Times New Roman Regular"/>
          <w:lang w:val="en-US" w:eastAsia="zh-CN"/>
        </w:rPr>
      </w:pPr>
    </w:p>
    <w:p w14:paraId="242ED6CB">
      <w:pPr>
        <w:keepNext w:val="0"/>
        <w:spacing w:before="0" w:after="0" w:line="300" w:lineRule="exact"/>
        <w:rPr>
          <w:rFonts w:hint="default" w:ascii="Times New Roman Regular" w:hAnsi="Times New Roman Regular" w:cs="Times New Roman Regular"/>
          <w:lang w:val="en-US" w:eastAsia="zh-CN"/>
        </w:rPr>
      </w:pPr>
    </w:p>
    <w:p w14:paraId="6BEF3198">
      <w:pPr>
        <w:keepNext w:val="0"/>
        <w:keepLines w:val="0"/>
        <w:pageBreakBefore w:val="0"/>
        <w:widowControl/>
        <w:kinsoku/>
        <w:wordWrap/>
        <w:overflowPunct/>
        <w:topLinePunct w:val="0"/>
        <w:autoSpaceDE/>
        <w:autoSpaceDN/>
        <w:bidi w:val="0"/>
        <w:adjustRightInd/>
        <w:snapToGrid/>
        <w:spacing w:before="0" w:after="0" w:line="540" w:lineRule="exact"/>
        <w:jc w:val="both"/>
        <w:textAlignment w:val="auto"/>
        <w:rPr>
          <w:rFonts w:hint="eastAsia" w:ascii="方正小标宋简体" w:hAnsi="方正小标宋简体" w:eastAsia="方正小标宋简体" w:cs="方正小标宋简体"/>
          <w:spacing w:val="-11"/>
          <w:sz w:val="44"/>
          <w:szCs w:val="44"/>
          <w:lang w:eastAsia="zh-CN"/>
        </w:rPr>
      </w:pPr>
      <w:r>
        <w:rPr>
          <w:rFonts w:hint="eastAsia" w:ascii="方正小标宋简体" w:hAnsi="方正小标宋简体" w:eastAsia="方正小标宋简体" w:cs="方正小标宋简体"/>
          <w:spacing w:val="-11"/>
          <w:sz w:val="44"/>
          <w:szCs w:val="44"/>
          <w:lang w:eastAsia="zh-CN"/>
        </w:rPr>
        <w:t>“新疆干旱区复合生态系统生态环境分区管控精准划定与智慧决策关键技术研究”项目榜单</w:t>
      </w:r>
    </w:p>
    <w:p w14:paraId="6380799A">
      <w:pPr>
        <w:keepNext w:val="0"/>
        <w:keepLines w:val="0"/>
        <w:pageBreakBefore w:val="0"/>
        <w:widowControl/>
        <w:kinsoku/>
        <w:wordWrap/>
        <w:overflowPunct/>
        <w:topLinePunct w:val="0"/>
        <w:autoSpaceDE/>
        <w:autoSpaceDN/>
        <w:bidi w:val="0"/>
        <w:adjustRightInd/>
        <w:snapToGrid/>
        <w:spacing w:before="0" w:after="0" w:line="5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楷体_GB2312" w:hAnsi="楷体_GB2312" w:eastAsia="楷体_GB2312" w:cs="楷体_GB2312"/>
          <w:b w:val="0"/>
          <w:bCs w:val="0"/>
          <w:color w:val="000000"/>
          <w:sz w:val="32"/>
          <w:szCs w:val="32"/>
          <w:lang w:eastAsia="zh-CN"/>
        </w:rPr>
        <w:t>——第五批新疆重大需求人才支持计划</w:t>
      </w:r>
    </w:p>
    <w:p w14:paraId="3C2BA63A">
      <w:pPr>
        <w:keepNext w:val="0"/>
        <w:keepLines w:val="0"/>
        <w:pageBreakBefore w:val="0"/>
        <w:widowControl/>
        <w:kinsoku/>
        <w:wordWrap/>
        <w:overflowPunct/>
        <w:topLinePunct w:val="0"/>
        <w:autoSpaceDE/>
        <w:autoSpaceDN/>
        <w:bidi w:val="0"/>
        <w:adjustRightInd/>
        <w:snapToGrid/>
        <w:spacing w:before="0" w:after="0" w:line="540" w:lineRule="exact"/>
        <w:jc w:val="center"/>
        <w:textAlignment w:val="auto"/>
        <w:rPr>
          <w:rFonts w:hint="eastAsia" w:ascii="方正小标宋简体" w:hAnsi="方正小标宋简体" w:eastAsia="方正小标宋简体" w:cs="方正小标宋简体"/>
          <w:sz w:val="44"/>
          <w:szCs w:val="44"/>
          <w:lang w:eastAsia="zh-CN"/>
        </w:rPr>
      </w:pPr>
    </w:p>
    <w:p w14:paraId="2BB8BA9E">
      <w:pPr>
        <w:keepNext w:val="0"/>
        <w:keepLines w:val="0"/>
        <w:pageBreakBefore w:val="0"/>
        <w:widowControl/>
        <w:kinsoku/>
        <w:wordWrap/>
        <w:overflowPunct/>
        <w:topLinePunct w:val="0"/>
        <w:autoSpaceDE/>
        <w:autoSpaceDN/>
        <w:bidi w:val="0"/>
        <w:adjustRightInd/>
        <w:snapToGrid/>
        <w:spacing w:after="0"/>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eastAsia="zh-CN"/>
        </w:rPr>
        <w:t>按照《第五批新疆重点人才计划重大需求项目申报指南》有关规定，与自治区党委人才工作领导小组办公室沟通一致，经自治区生态环境厅党组审定通过，现将“新疆干旱区复合生态系统生态环境分区管控精准划定与智慧决策关键技术研究”项目榜单予以发布，诚邀海内外英才揭榜攻关。具体内容如下。</w:t>
      </w:r>
    </w:p>
    <w:p w14:paraId="634985C3">
      <w:pPr>
        <w:widowControl/>
        <w:spacing w:before="0" w:after="0" w:line="560" w:lineRule="exact"/>
        <w:ind w:firstLine="640"/>
        <w:jc w:val="both"/>
      </w:pPr>
      <w:r>
        <w:rPr>
          <w:rFonts w:hint="eastAsia" w:eastAsia="黑体;汉仪中黑KW" w:cs="Times New Roman"/>
          <w:sz w:val="32"/>
          <w:szCs w:val="32"/>
          <w:lang w:eastAsia="zh-CN"/>
        </w:rPr>
        <w:t>一</w:t>
      </w:r>
      <w:r>
        <w:rPr>
          <w:rFonts w:ascii="Times New Roman" w:hAnsi="Times New Roman" w:eastAsia="黑体;汉仪中黑KW" w:cs="Times New Roman"/>
          <w:sz w:val="32"/>
          <w:szCs w:val="32"/>
          <w:lang w:eastAsia="zh-CN"/>
        </w:rPr>
        <w:t>、</w:t>
      </w:r>
      <w:r>
        <w:rPr>
          <w:rFonts w:hint="eastAsia" w:eastAsia="黑体;汉仪中黑KW" w:cs="Times New Roman"/>
          <w:sz w:val="32"/>
          <w:szCs w:val="32"/>
          <w:lang w:eastAsia="zh-CN"/>
        </w:rPr>
        <w:t>攻关任务与目标</w:t>
      </w:r>
    </w:p>
    <w:p w14:paraId="3DED1718">
      <w:pPr>
        <w:widowControl/>
        <w:spacing w:before="0" w:after="0" w:line="560" w:lineRule="exact"/>
        <w:ind w:firstLine="640"/>
        <w:jc w:val="both"/>
      </w:pPr>
      <w:r>
        <w:rPr>
          <w:rFonts w:ascii="Times New Roman" w:hAnsi="Times New Roman" w:eastAsia="仿宋_GB2312" w:cs="Times New Roman"/>
          <w:sz w:val="32"/>
          <w:szCs w:val="32"/>
          <w:lang w:eastAsia="zh-CN"/>
        </w:rPr>
        <w:t>本项目面向国家生态环境分区管控重大制度实施和新疆“十五五”高质量发展需求，针对新疆地域辽阔、自然地理和生态环境差异显著、部分管控单元空间尺度较大、基层专业技术力量相对薄弱等实际，开展本地化、模型化、智能化关键技术攻关。项目重点提升大气、水、土壤、生态等环境要素分区和综合管控单元划定精准性，强化分区管控对产业布局、园区规划、项目准入、环评审批和重大项目服务保障的技术支撑，同步建设长期运行的专业技术支撑体系，形成可持续服务自治区及</w:t>
      </w:r>
      <w:r>
        <w:rPr>
          <w:rFonts w:hint="eastAsia" w:cs="Times New Roman"/>
          <w:sz w:val="32"/>
          <w:szCs w:val="32"/>
          <w:lang w:eastAsia="zh-CN"/>
        </w:rPr>
        <w:t>地（州、市）</w:t>
      </w:r>
      <w:r>
        <w:rPr>
          <w:rFonts w:ascii="Times New Roman" w:hAnsi="Times New Roman" w:eastAsia="仿宋_GB2312" w:cs="Times New Roman"/>
          <w:sz w:val="32"/>
          <w:szCs w:val="32"/>
          <w:lang w:eastAsia="zh-CN"/>
        </w:rPr>
        <w:t>的公共技术底座。项目</w:t>
      </w:r>
      <w:r>
        <w:rPr>
          <w:rFonts w:hint="eastAsia" w:cs="Times New Roman"/>
          <w:sz w:val="32"/>
          <w:szCs w:val="32"/>
          <w:lang w:eastAsia="zh-CN"/>
        </w:rPr>
        <w:t>需求</w:t>
      </w:r>
      <w:r>
        <w:rPr>
          <w:rFonts w:ascii="Times New Roman" w:hAnsi="Times New Roman" w:eastAsia="仿宋_GB2312" w:cs="Times New Roman"/>
          <w:sz w:val="32"/>
          <w:szCs w:val="32"/>
          <w:lang w:eastAsia="zh-CN"/>
        </w:rPr>
        <w:t>以下四方面核心</w:t>
      </w:r>
      <w:r>
        <w:rPr>
          <w:rFonts w:hint="eastAsia" w:cs="Times New Roman"/>
          <w:sz w:val="32"/>
          <w:szCs w:val="32"/>
          <w:lang w:eastAsia="zh-CN"/>
        </w:rPr>
        <w:t>任务</w:t>
      </w:r>
      <w:r>
        <w:rPr>
          <w:rFonts w:ascii="Times New Roman" w:hAnsi="Times New Roman" w:eastAsia="仿宋_GB2312" w:cs="Times New Roman"/>
          <w:sz w:val="32"/>
          <w:szCs w:val="32"/>
          <w:lang w:eastAsia="zh-CN"/>
        </w:rPr>
        <w:t>：</w:t>
      </w:r>
    </w:p>
    <w:p w14:paraId="6975B73F">
      <w:pPr>
        <w:keepNext w:val="0"/>
        <w:spacing w:before="0" w:after="0" w:line="600" w:lineRule="exact"/>
        <w:ind w:firstLine="640"/>
        <w:jc w:val="both"/>
        <w:rPr>
          <w:rFonts w:hint="default" w:ascii="Times New Roman Regular" w:hAnsi="Times New Roman Regular" w:cs="Times New Roman Regular"/>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一</w:t>
      </w:r>
      <w:r>
        <w:rPr>
          <w:rFonts w:hint="eastAsia" w:ascii="楷体_GB2312" w:hAnsi="楷体_GB2312" w:eastAsia="楷体_GB2312" w:cs="楷体_GB2312"/>
          <w:b w:val="0"/>
          <w:bCs w:val="0"/>
          <w:color w:val="000000"/>
          <w:sz w:val="32"/>
          <w:szCs w:val="32"/>
          <w:lang w:eastAsia="zh-CN"/>
        </w:rPr>
        <w:t>）</w:t>
      </w:r>
      <w:r>
        <w:rPr>
          <w:rFonts w:hint="default" w:ascii="楷体_GB2312" w:hAnsi="楷体_GB2312" w:eastAsia="楷体_GB2312" w:cs="楷体_GB2312"/>
          <w:b w:val="0"/>
          <w:bCs w:val="0"/>
          <w:color w:val="000000"/>
          <w:sz w:val="32"/>
          <w:szCs w:val="32"/>
        </w:rPr>
        <w:t>干旱区复合生态系统多要素耦合机理与模型研究。</w:t>
      </w:r>
      <w:r>
        <w:rPr>
          <w:rFonts w:hint="default" w:ascii="Times New Roman Regular" w:hAnsi="Times New Roman Regular" w:eastAsia="仿宋_GB2312" w:cs="Times New Roman Regular"/>
          <w:b w:val="0"/>
          <w:sz w:val="32"/>
        </w:rPr>
        <w:t>面向</w:t>
      </w:r>
      <w:r>
        <w:rPr>
          <w:rFonts w:hint="default" w:ascii="Times New Roman Regular" w:hAnsi="Times New Roman Regular" w:eastAsia="仿宋_GB2312" w:cs="Times New Roman Regular"/>
          <w:b w:val="0"/>
          <w:kern w:val="2"/>
          <w:sz w:val="32"/>
          <w:szCs w:val="22"/>
          <w:lang w:val="en-US" w:eastAsia="zh-CN" w:bidi="ar-SA"/>
        </w:rPr>
        <w:t>山盆相间自然地理格局和山地—绿洲—荒漠复合生态系统</w:t>
      </w:r>
      <w:r>
        <w:rPr>
          <w:rFonts w:hint="default" w:ascii="Times New Roman Regular" w:hAnsi="Times New Roman Regular" w:eastAsia="仿宋_GB2312" w:cs="Times New Roman Regular"/>
          <w:b w:val="0"/>
          <w:sz w:val="32"/>
        </w:rPr>
        <w:t>，研究水资源、生态服务、环境容量、污染迁移、开发压力和生态风险的耦合传导规律，识别不同区域产业布局和开发强度的关键约束因子与阈值，建立具有新疆特征参数的多要素耦合模型，为大气、水、土壤、生态等环境要素精准分区提供理论和模型基础。</w:t>
      </w:r>
    </w:p>
    <w:p w14:paraId="38758BB7">
      <w:pPr>
        <w:keepNext w:val="0"/>
        <w:spacing w:before="0" w:after="0" w:line="600" w:lineRule="exact"/>
        <w:ind w:firstLine="640"/>
        <w:jc w:val="both"/>
        <w:rPr>
          <w:rFonts w:hint="default" w:ascii="Times New Roman Regular" w:hAnsi="Times New Roman Regular" w:cs="Times New Roman Regular"/>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二</w:t>
      </w:r>
      <w:r>
        <w:rPr>
          <w:rFonts w:hint="eastAsia" w:ascii="楷体_GB2312" w:hAnsi="楷体_GB2312" w:eastAsia="楷体_GB2312" w:cs="楷体_GB2312"/>
          <w:b w:val="0"/>
          <w:bCs w:val="0"/>
          <w:color w:val="000000"/>
          <w:sz w:val="32"/>
          <w:szCs w:val="32"/>
          <w:lang w:eastAsia="zh-CN"/>
        </w:rPr>
        <w:t>）</w:t>
      </w:r>
      <w:r>
        <w:rPr>
          <w:rFonts w:hint="default" w:ascii="楷体_GB2312" w:hAnsi="楷体_GB2312" w:eastAsia="楷体_GB2312" w:cs="楷体_GB2312"/>
          <w:b w:val="0"/>
          <w:bCs w:val="0"/>
          <w:color w:val="000000"/>
          <w:sz w:val="32"/>
          <w:szCs w:val="32"/>
          <w:lang w:eastAsia="zh-CN"/>
        </w:rPr>
        <w:t>重点区域多环境要素精准划定与产业准入量化技术</w:t>
      </w:r>
      <w:r>
        <w:rPr>
          <w:rFonts w:hint="eastAsia" w:ascii="楷体_GB2312" w:hAnsi="楷体_GB2312" w:eastAsia="楷体_GB2312" w:cs="楷体_GB2312"/>
          <w:b w:val="0"/>
          <w:bCs w:val="0"/>
          <w:color w:val="000000"/>
          <w:sz w:val="32"/>
          <w:szCs w:val="32"/>
          <w:lang w:eastAsia="zh-CN"/>
        </w:rPr>
        <w:t>研发</w:t>
      </w:r>
      <w:r>
        <w:rPr>
          <w:rFonts w:hint="default" w:ascii="楷体_GB2312" w:hAnsi="楷体_GB2312" w:eastAsia="楷体_GB2312" w:cs="楷体_GB2312"/>
          <w:b w:val="0"/>
          <w:bCs w:val="0"/>
          <w:color w:val="000000"/>
          <w:sz w:val="32"/>
          <w:szCs w:val="32"/>
          <w:lang w:eastAsia="zh-CN"/>
        </w:rPr>
        <w:t>。</w:t>
      </w:r>
      <w:r>
        <w:rPr>
          <w:rFonts w:hint="default" w:ascii="Times New Roman Regular" w:hAnsi="Times New Roman Regular" w:eastAsia="仿宋_GB2312" w:cs="Times New Roman Regular"/>
          <w:b w:val="0"/>
          <w:sz w:val="32"/>
        </w:rPr>
        <w:t>选取北疆、南疆典型重点区域，融合高分辨率遥感、环境监测、污染源、水资源、国土空间和产业布局等多源数据，构建大气环境容量与污染输送、水环境与水资源承载、土壤生态风险等专业模型，研发空间聚类、边界识别、多目标优化和情景校验方法，形成多尺度精准划定技术。建立环境管控单元与产业类型、开发强度、环境容量及准入要求的量化匹配方法，支撑产业布局、园区规划、重大项目选址和总量指标配置。</w:t>
      </w:r>
    </w:p>
    <w:p w14:paraId="16439868">
      <w:pPr>
        <w:keepNext w:val="0"/>
        <w:spacing w:before="0" w:after="0" w:line="600" w:lineRule="exact"/>
        <w:ind w:firstLine="640"/>
        <w:jc w:val="both"/>
        <w:rPr>
          <w:rFonts w:hint="default" w:ascii="Times New Roman Regular" w:hAnsi="Times New Roman Regular" w:cs="Times New Roman Regular"/>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三</w:t>
      </w:r>
      <w:r>
        <w:rPr>
          <w:rFonts w:hint="eastAsia" w:ascii="楷体_GB2312" w:hAnsi="楷体_GB2312" w:eastAsia="楷体_GB2312" w:cs="楷体_GB2312"/>
          <w:b w:val="0"/>
          <w:bCs w:val="0"/>
          <w:color w:val="000000"/>
          <w:sz w:val="32"/>
          <w:szCs w:val="32"/>
          <w:lang w:eastAsia="zh-CN"/>
        </w:rPr>
        <w:t>）</w:t>
      </w:r>
      <w:r>
        <w:rPr>
          <w:rFonts w:hint="default" w:ascii="楷体_GB2312" w:hAnsi="楷体_GB2312" w:eastAsia="楷体_GB2312" w:cs="楷体_GB2312"/>
          <w:b w:val="0"/>
          <w:bCs w:val="0"/>
          <w:color w:val="000000"/>
          <w:sz w:val="32"/>
          <w:szCs w:val="32"/>
          <w:lang w:eastAsia="zh-CN"/>
        </w:rPr>
        <w:t>生态环境分区管控智能决策与“一张图”应用技术</w:t>
      </w:r>
      <w:r>
        <w:rPr>
          <w:rFonts w:hint="eastAsia" w:ascii="楷体_GB2312" w:hAnsi="楷体_GB2312" w:eastAsia="楷体_GB2312" w:cs="楷体_GB2312"/>
          <w:b w:val="0"/>
          <w:bCs w:val="0"/>
          <w:color w:val="000000"/>
          <w:sz w:val="32"/>
          <w:szCs w:val="32"/>
          <w:lang w:eastAsia="zh-CN"/>
        </w:rPr>
        <w:t>研发</w:t>
      </w:r>
      <w:r>
        <w:rPr>
          <w:rFonts w:hint="default" w:ascii="楷体_GB2312" w:hAnsi="楷体_GB2312" w:eastAsia="楷体_GB2312" w:cs="楷体_GB2312"/>
          <w:b w:val="0"/>
          <w:bCs w:val="0"/>
          <w:color w:val="000000"/>
          <w:sz w:val="32"/>
          <w:szCs w:val="32"/>
          <w:lang w:eastAsia="zh-CN"/>
        </w:rPr>
        <w:t>。</w:t>
      </w:r>
      <w:r>
        <w:rPr>
          <w:rFonts w:hint="default" w:ascii="Times New Roman Regular" w:hAnsi="Times New Roman Regular" w:eastAsia="仿宋_GB2312" w:cs="Times New Roman Regular"/>
          <w:b w:val="0"/>
          <w:sz w:val="32"/>
        </w:rPr>
        <w:t>构建“时空数据底座—专业模型库—准入知识库—智能决策引擎”技术体系，集成生态系统耦合、环境容量、资源承载、生态风险和产业开发压力模型，融合人工智能与大模型技术，研发产业布局情景推演、项目选址、准入研判、环境风险和总量约束分析功能。推动</w:t>
      </w:r>
      <w:r>
        <w:rPr>
          <w:rFonts w:hint="eastAsia" w:ascii="Times New Roman Regular" w:hAnsi="Times New Roman Regular" w:eastAsia="仿宋_GB2312" w:cs="Times New Roman Regular"/>
          <w:b w:val="0"/>
          <w:sz w:val="32"/>
          <w:lang w:eastAsia="zh-CN"/>
        </w:rPr>
        <w:t>生态环境分区管控智能决策模型与</w:t>
      </w:r>
      <w:r>
        <w:rPr>
          <w:rFonts w:hint="default" w:ascii="Times New Roman Regular" w:hAnsi="Times New Roman Regular" w:eastAsia="仿宋_GB2312" w:cs="Times New Roman Regular"/>
          <w:b w:val="0"/>
          <w:sz w:val="32"/>
        </w:rPr>
        <w:t>现有分区管控平台及环评、排污许可等业务协同，为环评分级分类、</w:t>
      </w:r>
      <w:r>
        <w:rPr>
          <w:rFonts w:hint="eastAsia" w:ascii="Times New Roman Regular" w:hAnsi="Times New Roman Regular" w:eastAsia="仿宋_GB2312" w:cs="Times New Roman Regular"/>
          <w:b w:val="0"/>
          <w:sz w:val="32"/>
          <w:lang w:eastAsia="zh-CN"/>
        </w:rPr>
        <w:t>排污许可</w:t>
      </w:r>
      <w:r>
        <w:rPr>
          <w:rFonts w:hint="default" w:ascii="Times New Roman Regular" w:hAnsi="Times New Roman Regular" w:eastAsia="仿宋_GB2312" w:cs="Times New Roman Regular"/>
          <w:b w:val="0"/>
          <w:sz w:val="32"/>
        </w:rPr>
        <w:t>和重大项目服务保障提供智能化支撑。</w:t>
      </w:r>
    </w:p>
    <w:p w14:paraId="46F8288C">
      <w:pPr>
        <w:keepNext w:val="0"/>
        <w:spacing w:before="0" w:after="0" w:line="600" w:lineRule="exact"/>
        <w:ind w:firstLine="640"/>
        <w:jc w:val="both"/>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四</w:t>
      </w:r>
      <w:r>
        <w:rPr>
          <w:rFonts w:hint="eastAsia" w:ascii="楷体_GB2312" w:hAnsi="楷体_GB2312" w:eastAsia="楷体_GB2312" w:cs="楷体_GB2312"/>
          <w:b w:val="0"/>
          <w:bCs w:val="0"/>
          <w:color w:val="000000"/>
          <w:sz w:val="32"/>
          <w:szCs w:val="32"/>
          <w:lang w:eastAsia="zh-CN"/>
        </w:rPr>
        <w:t>）</w:t>
      </w:r>
      <w:r>
        <w:rPr>
          <w:rFonts w:hint="default" w:ascii="楷体_GB2312" w:hAnsi="楷体_GB2312" w:eastAsia="楷体_GB2312" w:cs="楷体_GB2312"/>
          <w:b w:val="0"/>
          <w:bCs w:val="0"/>
          <w:color w:val="000000"/>
          <w:sz w:val="32"/>
          <w:szCs w:val="32"/>
          <w:lang w:eastAsia="zh-CN"/>
        </w:rPr>
        <w:t>自治区生态环境分区管</w:t>
      </w:r>
      <w:r>
        <w:rPr>
          <w:rFonts w:hint="default" w:ascii="楷体_GB2312" w:hAnsi="楷体_GB2312" w:eastAsia="楷体_GB2312" w:cs="楷体_GB2312"/>
          <w:b w:val="0"/>
          <w:bCs w:val="0"/>
          <w:color w:val="000000" w:themeColor="text1"/>
          <w:sz w:val="32"/>
          <w:szCs w:val="32"/>
          <w:lang w:eastAsia="zh-CN"/>
          <w14:textFill>
            <w14:solidFill>
              <w14:schemeClr w14:val="tx1"/>
            </w14:solidFill>
          </w14:textFill>
        </w:rPr>
        <w:t>控专业技术支撑体系</w:t>
      </w:r>
      <w:r>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t>完善</w:t>
      </w:r>
      <w:r>
        <w:rPr>
          <w:rFonts w:hint="default" w:ascii="楷体_GB2312" w:hAnsi="楷体_GB2312" w:eastAsia="楷体_GB2312" w:cs="楷体_GB2312"/>
          <w:b w:val="0"/>
          <w:bCs w:val="0"/>
          <w:color w:val="000000" w:themeColor="text1"/>
          <w:sz w:val="32"/>
          <w:szCs w:val="32"/>
          <w:lang w:eastAsia="zh-CN"/>
          <w14:textFill>
            <w14:solidFill>
              <w14:schemeClr w14:val="tx1"/>
            </w14:solidFill>
          </w14:textFill>
        </w:rPr>
        <w:t>。</w:t>
      </w:r>
      <w:r>
        <w:rPr>
          <w:rFonts w:hint="default" w:ascii="Times New Roman Regular" w:hAnsi="Times New Roman Regular" w:eastAsia="仿宋_GB2312" w:cs="Times New Roman Regular"/>
          <w:b w:val="0"/>
          <w:color w:val="000000" w:themeColor="text1"/>
          <w:sz w:val="32"/>
          <w14:textFill>
            <w14:solidFill>
              <w14:schemeClr w14:val="tx1"/>
            </w14:solidFill>
          </w14:textFill>
        </w:rPr>
        <w:t>依托自治区生态环境技术支撑机构，联合疆内外优势科研力量，建立“本地化运行+专家协同支撑”的联合攻关机制，</w:t>
      </w:r>
      <w:r>
        <w:rPr>
          <w:rFonts w:hint="eastAsia" w:ascii="Times New Roman Regular" w:hAnsi="Times New Roman Regular" w:eastAsia="仿宋_GB2312" w:cs="Times New Roman Regular"/>
          <w:b w:val="0"/>
          <w:color w:val="000000" w:themeColor="text1"/>
          <w:sz w:val="32"/>
          <w:lang w:eastAsia="zh-CN"/>
          <w14:textFill>
            <w14:solidFill>
              <w14:schemeClr w14:val="tx1"/>
            </w14:solidFill>
          </w14:textFill>
        </w:rPr>
        <w:t>搭建</w:t>
      </w:r>
      <w:r>
        <w:rPr>
          <w:rFonts w:hint="default" w:ascii="Times New Roman Regular" w:hAnsi="Times New Roman Regular" w:eastAsia="仿宋_GB2312" w:cs="Times New Roman Regular"/>
          <w:b w:val="0"/>
          <w:color w:val="000000" w:themeColor="text1"/>
          <w:sz w:val="32"/>
          <w14:textFill>
            <w14:solidFill>
              <w14:schemeClr w14:val="tx1"/>
            </w14:solidFill>
          </w14:textFill>
        </w:rPr>
        <w:t>分区管控专业技术</w:t>
      </w:r>
      <w:r>
        <w:rPr>
          <w:rFonts w:hint="eastAsia" w:ascii="Times New Roman Regular" w:hAnsi="Times New Roman Regular" w:eastAsia="仿宋_GB2312" w:cs="Times New Roman Regular"/>
          <w:b w:val="0"/>
          <w:color w:val="000000" w:themeColor="text1"/>
          <w:sz w:val="32"/>
          <w:lang w:eastAsia="zh-CN"/>
          <w14:textFill>
            <w14:solidFill>
              <w14:schemeClr w14:val="tx1"/>
            </w14:solidFill>
          </w14:textFill>
        </w:rPr>
        <w:t>团队</w:t>
      </w:r>
      <w:r>
        <w:rPr>
          <w:rFonts w:hint="default" w:ascii="Times New Roman Regular" w:hAnsi="Times New Roman Regular" w:eastAsia="仿宋_GB2312" w:cs="Times New Roman Regular"/>
          <w:b w:val="0"/>
          <w:color w:val="000000" w:themeColor="text1"/>
          <w:sz w:val="32"/>
          <w14:textFill>
            <w14:solidFill>
              <w14:schemeClr w14:val="tx1"/>
            </w14:solidFill>
          </w14:textFill>
        </w:rPr>
        <w:t>。形成模型维护、数据更新、成果审核、技术会商、</w:t>
      </w:r>
      <w:r>
        <w:rPr>
          <w:rFonts w:hint="eastAsia" w:ascii="Times New Roman Regular" w:hAnsi="Times New Roman Regular" w:cs="Times New Roman Regular"/>
          <w:b w:val="0"/>
          <w:color w:val="000000" w:themeColor="text1"/>
          <w:sz w:val="32"/>
          <w:lang w:eastAsia="zh-CN"/>
          <w14:textFill>
            <w14:solidFill>
              <w14:schemeClr w14:val="tx1"/>
            </w14:solidFill>
          </w14:textFill>
        </w:rPr>
        <w:t>地（州、市）</w:t>
      </w:r>
      <w:r>
        <w:rPr>
          <w:rFonts w:hint="default" w:ascii="Times New Roman Regular" w:hAnsi="Times New Roman Regular" w:eastAsia="仿宋_GB2312" w:cs="Times New Roman Regular"/>
          <w:b w:val="0"/>
          <w:color w:val="000000" w:themeColor="text1"/>
          <w:sz w:val="32"/>
          <w14:textFill>
            <w14:solidFill>
              <w14:schemeClr w14:val="tx1"/>
            </w14:solidFill>
          </w14:textFill>
        </w:rPr>
        <w:t>帮扶和人才培养</w:t>
      </w:r>
      <w:r>
        <w:rPr>
          <w:rFonts w:hint="eastAsia" w:ascii="Times New Roman Regular" w:hAnsi="Times New Roman Regular" w:eastAsia="仿宋_GB2312" w:cs="Times New Roman Regular"/>
          <w:b w:val="0"/>
          <w:color w:val="000000" w:themeColor="text1"/>
          <w:sz w:val="32"/>
          <w:lang w:eastAsia="zh-CN"/>
          <w14:textFill>
            <w14:solidFill>
              <w14:schemeClr w14:val="tx1"/>
            </w14:solidFill>
          </w14:textFill>
        </w:rPr>
        <w:t>机制</w:t>
      </w:r>
      <w:r>
        <w:rPr>
          <w:rFonts w:hint="default" w:ascii="Times New Roman Regular" w:hAnsi="Times New Roman Regular" w:eastAsia="仿宋_GB2312" w:cs="Times New Roman Regular"/>
          <w:b w:val="0"/>
          <w:color w:val="000000" w:themeColor="text1"/>
          <w:sz w:val="32"/>
          <w14:textFill>
            <w14:solidFill>
              <w14:schemeClr w14:val="tx1"/>
            </w14:solidFill>
          </w14:textFill>
        </w:rPr>
        <w:t>，组织自治区及</w:t>
      </w:r>
      <w:r>
        <w:rPr>
          <w:rFonts w:hint="eastAsia" w:ascii="Times New Roman Regular" w:hAnsi="Times New Roman Regular" w:cs="Times New Roman Regular"/>
          <w:b w:val="0"/>
          <w:sz w:val="32"/>
          <w:lang w:eastAsia="zh-CN"/>
        </w:rPr>
        <w:t>地（州、市）</w:t>
      </w:r>
      <w:r>
        <w:rPr>
          <w:rFonts w:hint="default" w:ascii="Times New Roman Regular" w:hAnsi="Times New Roman Regular" w:eastAsia="仿宋_GB2312" w:cs="Times New Roman Regular"/>
          <w:b w:val="0"/>
          <w:sz w:val="32"/>
        </w:rPr>
        <w:t>技术骨干全过程参与研究、试点和应用，形成可延续的本地化能力。</w:t>
      </w:r>
    </w:p>
    <w:p w14:paraId="7F6F9A5F">
      <w:pPr>
        <w:keepNext w:val="0"/>
        <w:spacing w:before="0" w:after="0" w:line="600" w:lineRule="exact"/>
        <w:ind w:firstLine="640"/>
        <w:jc w:val="both"/>
      </w:pPr>
      <w:r>
        <w:rPr>
          <w:rFonts w:hint="default" w:ascii="Times New Roman Regular" w:hAnsi="Times New Roman Regular" w:eastAsia="仿宋_GB2312" w:cs="Times New Roman Regular"/>
          <w:b w:val="0"/>
          <w:bCs/>
          <w:sz w:val="32"/>
        </w:rPr>
        <w:t>项目</w:t>
      </w:r>
      <w:r>
        <w:rPr>
          <w:rFonts w:hint="eastAsia" w:ascii="Times New Roman Regular" w:hAnsi="Times New Roman Regular" w:cs="Times New Roman Regular"/>
          <w:b w:val="0"/>
          <w:bCs/>
          <w:sz w:val="32"/>
          <w:lang w:val="en-US" w:eastAsia="zh-CN"/>
        </w:rPr>
        <w:t>应</w:t>
      </w:r>
      <w:r>
        <w:rPr>
          <w:rFonts w:hint="default" w:ascii="Times New Roman Regular" w:hAnsi="Times New Roman Regular" w:eastAsia="仿宋_GB2312" w:cs="Times New Roman Regular"/>
          <w:b w:val="0"/>
          <w:bCs/>
          <w:sz w:val="32"/>
        </w:rPr>
        <w:t>完成以下</w:t>
      </w:r>
      <w:r>
        <w:rPr>
          <w:rFonts w:hint="eastAsia" w:ascii="Times New Roman Regular" w:hAnsi="Times New Roman Regular" w:cs="Times New Roman Regular"/>
          <w:b w:val="0"/>
          <w:bCs/>
          <w:sz w:val="32"/>
          <w:lang w:eastAsia="zh-CN"/>
        </w:rPr>
        <w:t>成果目标</w:t>
      </w:r>
      <w:r>
        <w:rPr>
          <w:rFonts w:hint="default" w:ascii="Times New Roman Regular" w:hAnsi="Times New Roman Regular" w:eastAsia="仿宋_GB2312" w:cs="Times New Roman Regular"/>
          <w:b w:val="0"/>
          <w:bCs/>
          <w:sz w:val="32"/>
        </w:rPr>
        <w:t>：</w:t>
      </w:r>
    </w:p>
    <w:p w14:paraId="1783980E">
      <w:pPr>
        <w:keepNext w:val="0"/>
        <w:spacing w:before="0" w:after="0" w:line="600" w:lineRule="exact"/>
        <w:ind w:firstLine="640"/>
        <w:jc w:val="both"/>
        <w:rPr>
          <w:rFonts w:hint="default" w:ascii="Times New Roman Regular" w:hAnsi="Times New Roman Regular" w:cs="Times New Roman Regular"/>
        </w:rPr>
      </w:pPr>
      <w:r>
        <w:rPr>
          <w:rFonts w:hint="default" w:ascii="Times New Roman Regular" w:hAnsi="Times New Roman Regular" w:eastAsia="仿宋_GB2312" w:cs="Times New Roman Regular"/>
          <w:b w:val="0"/>
          <w:sz w:val="32"/>
        </w:rPr>
        <w:t>1.建立新疆干旱区生态环境分区管控多要素耦合模拟与精准划定技术体系1套，形成可复用模型工具包和本地化参数库，覆盖大气、水、土壤、生态等主要环境要素。</w:t>
      </w:r>
    </w:p>
    <w:p w14:paraId="1FD77A0A">
      <w:pPr>
        <w:keepNext w:val="0"/>
        <w:spacing w:before="0" w:after="0" w:line="600" w:lineRule="exact"/>
        <w:ind w:firstLine="640"/>
        <w:jc w:val="both"/>
        <w:rPr>
          <w:rFonts w:hint="eastAsia" w:ascii="Times New Roman Regular" w:hAnsi="Times New Roman Regular" w:eastAsia="仿宋_GB2312" w:cs="Times New Roman Regular"/>
          <w:lang w:val="en-US" w:eastAsia="zh-CN"/>
        </w:rPr>
      </w:pPr>
      <w:r>
        <w:rPr>
          <w:rFonts w:hint="default" w:ascii="Times New Roman Regular" w:hAnsi="Times New Roman Regular" w:eastAsia="仿宋_GB2312" w:cs="Times New Roman Regular"/>
          <w:b w:val="0"/>
          <w:sz w:val="32"/>
        </w:rPr>
        <w:t>2.建立面向产业布局和项目准入的量化决策模型1套，在北疆、南疆各完成不少于1个重点区域示范，项目期内直接支撑</w:t>
      </w:r>
      <w:r>
        <w:rPr>
          <w:rFonts w:hint="eastAsia" w:ascii="Times New Roman Regular" w:hAnsi="Times New Roman Regular" w:eastAsia="仿宋_GB2312" w:cs="Times New Roman Regular"/>
          <w:b w:val="0"/>
          <w:sz w:val="32"/>
          <w:lang w:val="en-US" w:eastAsia="zh-CN"/>
        </w:rPr>
        <w:t>14</w:t>
      </w:r>
      <w:r>
        <w:rPr>
          <w:rFonts w:hint="default" w:ascii="Times New Roman Regular" w:hAnsi="Times New Roman Regular" w:eastAsia="仿宋_GB2312" w:cs="Times New Roman Regular"/>
          <w:b w:val="0"/>
          <w:sz w:val="32"/>
        </w:rPr>
        <w:t>个</w:t>
      </w:r>
      <w:r>
        <w:rPr>
          <w:rFonts w:hint="eastAsia" w:ascii="Times New Roman Regular" w:hAnsi="Times New Roman Regular" w:cs="Times New Roman Regular"/>
          <w:b w:val="0"/>
          <w:sz w:val="32"/>
          <w:lang w:eastAsia="zh-CN"/>
        </w:rPr>
        <w:t>地（州、市）</w:t>
      </w:r>
      <w:r>
        <w:rPr>
          <w:rFonts w:hint="default" w:ascii="Times New Roman Regular" w:hAnsi="Times New Roman Regular" w:eastAsia="仿宋_GB2312" w:cs="Times New Roman Regular"/>
          <w:b w:val="0"/>
          <w:sz w:val="32"/>
        </w:rPr>
        <w:t>开展定期调整、动态更新、重点单元优化或重大项目研判。</w:t>
      </w:r>
    </w:p>
    <w:p w14:paraId="6BAF1E41">
      <w:pPr>
        <w:keepNext w:val="0"/>
        <w:spacing w:before="0" w:after="0" w:line="600" w:lineRule="exact"/>
        <w:ind w:firstLine="640"/>
        <w:jc w:val="both"/>
        <w:rPr>
          <w:rFonts w:hint="default" w:ascii="Times New Roman Regular" w:hAnsi="Times New Roman Regular" w:cs="Times New Roman Regular"/>
        </w:rPr>
      </w:pPr>
      <w:r>
        <w:rPr>
          <w:rFonts w:hint="default" w:ascii="Times New Roman Regular" w:hAnsi="Times New Roman Regular" w:eastAsia="仿宋_GB2312" w:cs="Times New Roman Regular"/>
          <w:b w:val="0"/>
          <w:sz w:val="32"/>
        </w:rPr>
        <w:t>3.形成分区管控智慧决策系统及平台升级技术方案1套，实现产业布局比选、项目选址、准入研判、</w:t>
      </w:r>
      <w:r>
        <w:rPr>
          <w:rFonts w:hint="eastAsia" w:ascii="Times New Roman Regular" w:hAnsi="Times New Roman Regular" w:eastAsia="仿宋_GB2312" w:cs="Times New Roman Regular"/>
          <w:b w:val="0"/>
          <w:sz w:val="32"/>
          <w:lang w:val="en-US" w:eastAsia="zh-CN"/>
        </w:rPr>
        <w:t>允许排放量</w:t>
      </w:r>
      <w:r>
        <w:rPr>
          <w:rFonts w:hint="default" w:ascii="Times New Roman Regular" w:hAnsi="Times New Roman Regular" w:eastAsia="仿宋_GB2312" w:cs="Times New Roman Regular"/>
          <w:b w:val="0"/>
          <w:sz w:val="32"/>
        </w:rPr>
        <w:t>等不少于4类业务场景应用验证。</w:t>
      </w:r>
    </w:p>
    <w:p w14:paraId="40038854">
      <w:pPr>
        <w:keepNext w:val="0"/>
        <w:spacing w:before="0" w:after="0" w:line="600" w:lineRule="exact"/>
        <w:ind w:firstLine="640"/>
        <w:jc w:val="both"/>
        <w:rPr>
          <w:rFonts w:hint="default" w:ascii="Times New Roman Regular" w:hAnsi="Times New Roman Regular" w:cs="Times New Roman Regular"/>
        </w:rPr>
      </w:pPr>
      <w:r>
        <w:rPr>
          <w:rFonts w:hint="default" w:ascii="Times New Roman Regular" w:hAnsi="Times New Roman Regular" w:eastAsia="仿宋_GB2312" w:cs="Times New Roman Regular"/>
          <w:b w:val="0"/>
          <w:sz w:val="32"/>
        </w:rPr>
        <w:t>4.</w:t>
      </w:r>
      <w:r>
        <w:rPr>
          <w:rFonts w:hint="eastAsia" w:ascii="Times New Roman Regular" w:hAnsi="Times New Roman Regular" w:eastAsia="仿宋_GB2312" w:cs="Times New Roman Regular"/>
          <w:b w:val="0"/>
          <w:sz w:val="32"/>
          <w:lang w:eastAsia="zh-CN"/>
        </w:rPr>
        <w:t>搭建</w:t>
      </w:r>
      <w:r>
        <w:rPr>
          <w:rFonts w:hint="default" w:ascii="Times New Roman Regular" w:hAnsi="Times New Roman Regular" w:eastAsia="仿宋_GB2312" w:cs="Times New Roman Regular"/>
          <w:b w:val="0"/>
          <w:sz w:val="32"/>
        </w:rPr>
        <w:t>自治区生态环境分区管控专业技术</w:t>
      </w:r>
      <w:r>
        <w:rPr>
          <w:rFonts w:hint="eastAsia" w:ascii="Times New Roman Regular" w:hAnsi="Times New Roman Regular" w:eastAsia="仿宋_GB2312" w:cs="Times New Roman Regular"/>
          <w:b w:val="0"/>
          <w:sz w:val="32"/>
          <w:lang w:eastAsia="zh-CN"/>
        </w:rPr>
        <w:t>队伍</w:t>
      </w:r>
      <w:r>
        <w:rPr>
          <w:rFonts w:hint="default" w:ascii="Times New Roman Regular" w:hAnsi="Times New Roman Regular" w:eastAsia="仿宋_GB2312" w:cs="Times New Roman Regular"/>
          <w:b w:val="0"/>
          <w:sz w:val="32"/>
        </w:rPr>
        <w:t>，建立模型维护、数据管理、成果审核、专家协同、</w:t>
      </w:r>
      <w:r>
        <w:rPr>
          <w:rFonts w:hint="eastAsia" w:ascii="Times New Roman Regular" w:hAnsi="Times New Roman Regular" w:cs="Times New Roman Regular"/>
          <w:b w:val="0"/>
          <w:sz w:val="32"/>
          <w:lang w:eastAsia="zh-CN"/>
        </w:rPr>
        <w:t>地（州、市）</w:t>
      </w:r>
      <w:r>
        <w:rPr>
          <w:rFonts w:hint="default" w:ascii="Times New Roman Regular" w:hAnsi="Times New Roman Regular" w:eastAsia="仿宋_GB2312" w:cs="Times New Roman Regular"/>
          <w:b w:val="0"/>
          <w:sz w:val="32"/>
        </w:rPr>
        <w:t>技术服务等常态化机制；培养能够独立承担模型应用或成果审查的核心骨干不少于</w:t>
      </w:r>
      <w:r>
        <w:rPr>
          <w:rFonts w:hint="eastAsia" w:ascii="Times New Roman Regular" w:hAnsi="Times New Roman Regular" w:eastAsia="仿宋_GB2312" w:cs="Times New Roman Regular"/>
          <w:b w:val="0"/>
          <w:sz w:val="32"/>
          <w:lang w:val="en-US" w:eastAsia="zh-CN"/>
        </w:rPr>
        <w:t>20</w:t>
      </w:r>
      <w:r>
        <w:rPr>
          <w:rFonts w:hint="default" w:ascii="Times New Roman Regular" w:hAnsi="Times New Roman Regular" w:eastAsia="仿宋_GB2312" w:cs="Times New Roman Regular"/>
          <w:b w:val="0"/>
          <w:sz w:val="32"/>
        </w:rPr>
        <w:t>名，技术培训和业务帮扶覆盖14个</w:t>
      </w:r>
      <w:r>
        <w:rPr>
          <w:rFonts w:hint="eastAsia" w:ascii="Times New Roman Regular" w:hAnsi="Times New Roman Regular" w:cs="Times New Roman Regular"/>
          <w:b w:val="0"/>
          <w:sz w:val="32"/>
          <w:lang w:eastAsia="zh-CN"/>
        </w:rPr>
        <w:t>地（州、市）</w:t>
      </w:r>
      <w:r>
        <w:rPr>
          <w:rFonts w:hint="default" w:ascii="Times New Roman Regular" w:hAnsi="Times New Roman Regular" w:eastAsia="仿宋_GB2312" w:cs="Times New Roman Regular"/>
          <w:b w:val="0"/>
          <w:sz w:val="32"/>
        </w:rPr>
        <w:t>。</w:t>
      </w:r>
    </w:p>
    <w:p w14:paraId="01C69977">
      <w:pPr>
        <w:widowControl/>
        <w:spacing w:before="0" w:after="0" w:line="560" w:lineRule="exact"/>
        <w:ind w:firstLine="640"/>
        <w:jc w:val="both"/>
      </w:pPr>
      <w:r>
        <w:rPr>
          <w:rFonts w:hint="default" w:ascii="Times New Roman Regular" w:hAnsi="Times New Roman Regular" w:eastAsia="仿宋_GB2312" w:cs="Times New Roman Regular"/>
          <w:b w:val="0"/>
          <w:sz w:val="32"/>
        </w:rPr>
        <w:t>5.形成可直接用于分区管控业务的技术指南、操作规程或标准不少于2项，推动成熟成果纳入“十五五”定期调整、全链条改革或信息平台业务应用。</w:t>
      </w:r>
    </w:p>
    <w:p w14:paraId="30DB4ADF">
      <w:pPr>
        <w:widowControl/>
        <w:spacing w:before="0" w:after="0" w:line="560" w:lineRule="exact"/>
        <w:ind w:firstLine="640"/>
        <w:jc w:val="both"/>
      </w:pPr>
      <w:r>
        <w:rPr>
          <w:rFonts w:hint="eastAsia" w:eastAsia="黑体;汉仪中黑KW" w:cs="Times New Roman"/>
          <w:sz w:val="32"/>
          <w:szCs w:val="32"/>
          <w:lang w:eastAsia="zh-CN"/>
        </w:rPr>
        <w:t>二</w:t>
      </w:r>
      <w:r>
        <w:rPr>
          <w:rFonts w:ascii="Times New Roman" w:hAnsi="Times New Roman" w:eastAsia="黑体;汉仪中黑KW" w:cs="Times New Roman"/>
          <w:sz w:val="32"/>
          <w:szCs w:val="32"/>
          <w:lang w:eastAsia="zh-CN"/>
        </w:rPr>
        <w:t>、申报对象及条件</w:t>
      </w:r>
    </w:p>
    <w:p w14:paraId="6460B966">
      <w:pPr>
        <w:widowControl/>
        <w:spacing w:before="0" w:after="0" w:line="560" w:lineRule="exact"/>
        <w:ind w:firstLine="640"/>
        <w:jc w:val="both"/>
      </w:pPr>
      <w:r>
        <w:rPr>
          <w:rFonts w:ascii="Times New Roman" w:hAnsi="Times New Roman" w:eastAsia="仿宋_GB2312" w:cs="Times New Roman"/>
          <w:sz w:val="32"/>
          <w:szCs w:val="32"/>
          <w:lang w:eastAsia="zh-CN"/>
        </w:rPr>
        <w:t>本项目重点面向生态环境科技领域，长期从事生态环境分区管控、环境影响评价、生态环境规划、资源环境承载、环境模型、遥感与地理信息、生态环境信息化等研究与技术攻关的优秀团队。申报团队应具备扎实的专业基础、跨学科协同能力和成果转化经验，优先支持具有新疆或典型干旱区生态环境管理实践基础、能够形成成套技术解决方案并推动成果本地化应用的科研团队。</w:t>
      </w:r>
    </w:p>
    <w:p w14:paraId="0E31CBD7">
      <w:pPr>
        <w:widowControl/>
        <w:spacing w:before="0" w:after="0" w:line="560" w:lineRule="exact"/>
        <w:ind w:firstLine="640"/>
        <w:jc w:val="both"/>
      </w:pPr>
      <w:r>
        <w:rPr>
          <w:rFonts w:ascii="Times New Roman" w:hAnsi="Times New Roman" w:eastAsia="楷体_GB2312;汉仪楷体简" w:cs="Times New Roman"/>
          <w:sz w:val="32"/>
          <w:szCs w:val="32"/>
          <w:lang w:eastAsia="zh-CN"/>
        </w:rPr>
        <w:t>（一）申报人基本要求</w:t>
      </w:r>
    </w:p>
    <w:p w14:paraId="2EE5F000">
      <w:pPr>
        <w:widowControl/>
        <w:spacing w:before="0" w:after="0" w:line="560" w:lineRule="exact"/>
        <w:ind w:firstLine="640"/>
        <w:jc w:val="both"/>
      </w:pPr>
      <w:r>
        <w:rPr>
          <w:rFonts w:ascii="Times New Roman" w:hAnsi="Times New Roman" w:eastAsia="仿宋_GB2312" w:cs="Times New Roman"/>
          <w:sz w:val="32"/>
          <w:szCs w:val="32"/>
          <w:lang w:eastAsia="zh-CN"/>
        </w:rPr>
        <w:t>1.申报人应具有中国国籍，坚决拥护中国共产党的领导和中国特色社会主义制度，拥护祖国统一和民族团结，严格遵守国家法律法规，热爱本职工作，能认真履行岗位职责，具有良好的学术道德和社会公德，身体健康；</w:t>
      </w:r>
    </w:p>
    <w:p w14:paraId="68B3E1C6">
      <w:pPr>
        <w:widowControl/>
        <w:spacing w:before="0" w:after="0" w:line="560" w:lineRule="exact"/>
        <w:ind w:firstLine="640"/>
        <w:jc w:val="both"/>
      </w:pPr>
      <w:r>
        <w:rPr>
          <w:rFonts w:ascii="Times New Roman" w:hAnsi="Times New Roman" w:eastAsia="仿宋_GB2312" w:cs="Times New Roman"/>
          <w:sz w:val="32"/>
          <w:szCs w:val="32"/>
          <w:lang w:eastAsia="zh-CN"/>
        </w:rPr>
        <w:t>2.申报人专业领域和研究方向应符合科技前沿发展趋势，在生态环境分区管控、环境影响评价、生态环境规划、资源环境承载、环境模型或生态环境数字化等相关领域业绩突出，业内认可度高，具有较强科研组织和团队建设能力，研究成果转化实效较好。应具有博士学位或正高级专业技术职称，年龄要求按本年度自治区人才计划统一规定执行；</w:t>
      </w:r>
    </w:p>
    <w:p w14:paraId="66F026E7">
      <w:pPr>
        <w:widowControl/>
        <w:spacing w:before="0" w:after="0" w:line="560" w:lineRule="exact"/>
        <w:ind w:firstLine="640"/>
        <w:jc w:val="both"/>
      </w:pPr>
      <w:r>
        <w:rPr>
          <w:rFonts w:ascii="Times New Roman" w:hAnsi="Times New Roman" w:eastAsia="仿宋_GB2312" w:cs="Times New Roman"/>
          <w:sz w:val="32"/>
          <w:szCs w:val="32"/>
          <w:lang w:eastAsia="zh-CN"/>
        </w:rPr>
        <w:t>3.申报人应具有承担重大科研或技术攻关任务的经历，原则上主持过国家级或省部级相关科研项目、重大政策研究或技术应用项目，在生态环境分区管控、环境影响评价及相关领域形成具有代表性的技术成果，并具有组织多单位、多专业协同攻关的经验。</w:t>
      </w:r>
    </w:p>
    <w:p w14:paraId="7D9A527A">
      <w:pPr>
        <w:widowControl/>
        <w:spacing w:before="0" w:after="0" w:line="560" w:lineRule="exact"/>
        <w:ind w:firstLine="640"/>
        <w:jc w:val="both"/>
      </w:pPr>
      <w:r>
        <w:rPr>
          <w:rFonts w:ascii="Times New Roman" w:hAnsi="Times New Roman" w:eastAsia="楷体_GB2312;汉仪楷体简" w:cs="Times New Roman"/>
          <w:sz w:val="32"/>
          <w:szCs w:val="32"/>
          <w:lang w:eastAsia="zh-CN"/>
        </w:rPr>
        <w:t>（二）项目团队基本要求</w:t>
      </w:r>
    </w:p>
    <w:p w14:paraId="409C209E">
      <w:pPr>
        <w:widowControl/>
        <w:spacing w:before="0" w:after="0" w:line="560" w:lineRule="exact"/>
        <w:ind w:firstLine="640"/>
        <w:jc w:val="both"/>
      </w:pPr>
      <w:r>
        <w:rPr>
          <w:rFonts w:ascii="Times New Roman" w:hAnsi="Times New Roman" w:eastAsia="仿宋_GB2312" w:cs="Times New Roman"/>
          <w:sz w:val="32"/>
          <w:szCs w:val="32"/>
          <w:lang w:eastAsia="zh-CN"/>
        </w:rPr>
        <w:t>项目团队应具备多学科、跨领域协同攻关能力，人员构成合理，能够满足模型研发、空间分析、业务应用和人才培养等研究任务需要，原则上应符合以下要求：</w:t>
      </w:r>
    </w:p>
    <w:p w14:paraId="7E38EDAE">
      <w:pPr>
        <w:widowControl/>
        <w:spacing w:before="0" w:after="0" w:line="560" w:lineRule="exact"/>
        <w:ind w:firstLine="640"/>
        <w:jc w:val="both"/>
      </w:pPr>
      <w:r>
        <w:rPr>
          <w:rFonts w:ascii="Times New Roman" w:hAnsi="Times New Roman" w:eastAsia="仿宋_GB2312" w:cs="Times New Roman"/>
          <w:sz w:val="32"/>
          <w:szCs w:val="32"/>
          <w:lang w:eastAsia="zh-CN"/>
        </w:rPr>
        <w:t>1.团队专业方向应覆盖生态环境分区管控、生态系统过程、大气环境模拟、水环境与水资源、土壤生态风险、遥感与</w:t>
      </w:r>
      <w:r>
        <w:rPr>
          <w:rFonts w:hint="eastAsia" w:cs="Times New Roman"/>
          <w:sz w:val="32"/>
          <w:szCs w:val="32"/>
          <w:lang w:eastAsia="zh-CN"/>
        </w:rPr>
        <w:t>监测</w:t>
      </w:r>
      <w:r>
        <w:rPr>
          <w:rFonts w:ascii="Times New Roman" w:hAnsi="Times New Roman" w:eastAsia="仿宋_GB2312" w:cs="Times New Roman"/>
          <w:sz w:val="32"/>
          <w:szCs w:val="32"/>
          <w:lang w:eastAsia="zh-CN"/>
        </w:rPr>
        <w:t>、环境影响评价、产业规划、生态环境信息化及人工智能等领域，具有高水平专家直接参与技术攻关和成果审查；</w:t>
      </w:r>
    </w:p>
    <w:p w14:paraId="44575224">
      <w:pPr>
        <w:widowControl/>
        <w:spacing w:before="0" w:after="0" w:line="560" w:lineRule="exact"/>
        <w:ind w:firstLine="640"/>
        <w:jc w:val="both"/>
      </w:pPr>
      <w:r>
        <w:rPr>
          <w:rFonts w:ascii="Times New Roman" w:hAnsi="Times New Roman" w:eastAsia="仿宋_GB2312" w:cs="Times New Roman"/>
          <w:sz w:val="32"/>
          <w:szCs w:val="32"/>
          <w:lang w:eastAsia="zh-CN"/>
        </w:rPr>
        <w:t>2.团队应具备多源数据融合、环境容量与污染传输模拟、空间聚类和边界优化、产业准入量化、专业模型集成及智慧决策系统研发能力，具有重点区域或典型产业实际应用经验；</w:t>
      </w:r>
    </w:p>
    <w:p w14:paraId="08AE14CD">
      <w:pPr>
        <w:widowControl/>
        <w:spacing w:before="0" w:after="0" w:line="560" w:lineRule="exact"/>
        <w:ind w:firstLine="640"/>
        <w:jc w:val="both"/>
      </w:pPr>
      <w:r>
        <w:rPr>
          <w:rFonts w:ascii="Times New Roman" w:hAnsi="Times New Roman" w:eastAsia="仿宋_GB2312" w:cs="Times New Roman"/>
          <w:sz w:val="32"/>
          <w:szCs w:val="32"/>
          <w:lang w:eastAsia="zh-CN"/>
        </w:rPr>
        <w:t>3.团队应由高层次科研人员、青年科研人员和一线技术骨干组成，其中应包含一定比例的自治区及</w:t>
      </w:r>
      <w:r>
        <w:rPr>
          <w:rFonts w:hint="eastAsia" w:cs="Times New Roman"/>
          <w:sz w:val="32"/>
          <w:szCs w:val="32"/>
          <w:lang w:eastAsia="zh-CN"/>
        </w:rPr>
        <w:t>地（州、市）</w:t>
      </w:r>
      <w:r>
        <w:rPr>
          <w:rFonts w:ascii="Times New Roman" w:hAnsi="Times New Roman" w:eastAsia="仿宋_GB2312" w:cs="Times New Roman"/>
          <w:sz w:val="32"/>
          <w:szCs w:val="32"/>
          <w:lang w:eastAsia="zh-CN"/>
        </w:rPr>
        <w:t>生态环境系统科研技术骨干，具备开展本地化参数校准、试点示范、成果转化和持续技术服务的条件，确保项目成果在疆内沉淀并长期运行。</w:t>
      </w:r>
    </w:p>
    <w:p w14:paraId="3D9A2FE5">
      <w:pPr>
        <w:widowControl/>
        <w:spacing w:before="0" w:after="0" w:line="560" w:lineRule="exact"/>
        <w:ind w:firstLine="640"/>
        <w:jc w:val="both"/>
      </w:pPr>
      <w:r>
        <w:rPr>
          <w:rFonts w:ascii="Times New Roman" w:hAnsi="Times New Roman" w:eastAsia="楷体_GB2312;汉仪楷体简" w:cs="Times New Roman"/>
          <w:sz w:val="32"/>
          <w:szCs w:val="32"/>
          <w:lang w:eastAsia="zh-CN"/>
        </w:rPr>
        <w:t>（三）申报限制</w:t>
      </w:r>
    </w:p>
    <w:p w14:paraId="2463CF17">
      <w:pPr>
        <w:widowControl/>
        <w:spacing w:before="0" w:after="0" w:line="560" w:lineRule="exact"/>
        <w:ind w:firstLine="640"/>
        <w:jc w:val="both"/>
      </w:pPr>
      <w:r>
        <w:rPr>
          <w:rFonts w:ascii="Times New Roman" w:hAnsi="Times New Roman" w:eastAsia="仿宋_GB2312" w:cs="Times New Roman"/>
          <w:sz w:val="32"/>
          <w:szCs w:val="32"/>
          <w:lang w:eastAsia="zh-CN"/>
        </w:rPr>
        <w:t>严格落实申报主体资格限制要求、人才计划互斥原则及项目技术与诚信合规限制要求。</w:t>
      </w:r>
    </w:p>
    <w:p w14:paraId="7620B871">
      <w:pPr>
        <w:widowControl/>
        <w:spacing w:before="0" w:after="0" w:line="560" w:lineRule="exact"/>
        <w:ind w:firstLine="640"/>
        <w:jc w:val="both"/>
      </w:pPr>
      <w:r>
        <w:rPr>
          <w:rFonts w:ascii="Times New Roman" w:hAnsi="Times New Roman" w:eastAsia="仿宋_GB2312" w:cs="Times New Roman"/>
          <w:sz w:val="32"/>
          <w:szCs w:val="32"/>
          <w:lang w:eastAsia="zh-CN"/>
        </w:rPr>
        <w:t>1.公务员及参照公务员法管理的机关工作人员（专业技术类公务员除外）不得申报本项目；</w:t>
      </w:r>
    </w:p>
    <w:p w14:paraId="5ED0931A">
      <w:pPr>
        <w:widowControl/>
        <w:spacing w:before="0" w:after="0" w:line="560" w:lineRule="exact"/>
        <w:ind w:firstLine="640"/>
        <w:jc w:val="both"/>
      </w:pPr>
      <w:r>
        <w:rPr>
          <w:rFonts w:ascii="Times New Roman" w:hAnsi="Times New Roman" w:eastAsia="仿宋_GB2312" w:cs="Times New Roman"/>
          <w:sz w:val="32"/>
          <w:szCs w:val="32"/>
          <w:lang w:eastAsia="zh-CN"/>
        </w:rPr>
        <w:t>2.存在下列情形之一者，不得重复或多头申报：</w:t>
      </w:r>
    </w:p>
    <w:p w14:paraId="4951E726">
      <w:pPr>
        <w:widowControl/>
        <w:spacing w:before="0" w:after="0" w:line="560" w:lineRule="exact"/>
        <w:ind w:firstLine="640"/>
        <w:jc w:val="both"/>
      </w:pPr>
      <w:r>
        <w:rPr>
          <w:rFonts w:ascii="Times New Roman" w:hAnsi="Times New Roman" w:eastAsia="仿宋_GB2312" w:cs="Times New Roman"/>
          <w:sz w:val="32"/>
          <w:szCs w:val="32"/>
          <w:lang w:eastAsia="zh-CN"/>
        </w:rPr>
        <w:t>（1）已入选国家重大人才工程相关项目，且尚在实施期内的；</w:t>
      </w:r>
    </w:p>
    <w:p w14:paraId="0CB10C65">
      <w:pPr>
        <w:widowControl/>
        <w:spacing w:before="0" w:after="0" w:line="560" w:lineRule="exact"/>
        <w:ind w:firstLine="640"/>
        <w:jc w:val="both"/>
      </w:pPr>
      <w:r>
        <w:rPr>
          <w:rFonts w:ascii="Times New Roman" w:hAnsi="Times New Roman" w:eastAsia="仿宋_GB2312" w:cs="Times New Roman"/>
          <w:sz w:val="32"/>
          <w:szCs w:val="32"/>
          <w:lang w:eastAsia="zh-CN"/>
        </w:rPr>
        <w:t>（2）已入选前</w:t>
      </w:r>
      <w:r>
        <w:rPr>
          <w:rFonts w:hint="eastAsia" w:cs="Times New Roman"/>
          <w:sz w:val="32"/>
          <w:szCs w:val="32"/>
          <w:lang w:eastAsia="zh-CN"/>
        </w:rPr>
        <w:t>四</w:t>
      </w:r>
      <w:r>
        <w:rPr>
          <w:rFonts w:ascii="Times New Roman" w:hAnsi="Times New Roman" w:eastAsia="仿宋_GB2312" w:cs="Times New Roman"/>
          <w:sz w:val="32"/>
          <w:szCs w:val="32"/>
          <w:lang w:eastAsia="zh-CN"/>
        </w:rPr>
        <w:t>批自治区重点人才计划，且尚在支持期内的；</w:t>
      </w:r>
    </w:p>
    <w:p w14:paraId="2F54ED77">
      <w:pPr>
        <w:widowControl/>
        <w:spacing w:before="0" w:after="0" w:line="560" w:lineRule="exact"/>
        <w:ind w:firstLine="640"/>
        <w:jc w:val="both"/>
      </w:pPr>
      <w:r>
        <w:rPr>
          <w:rFonts w:ascii="Times New Roman" w:hAnsi="Times New Roman" w:eastAsia="仿宋_GB2312" w:cs="Times New Roman"/>
          <w:sz w:val="32"/>
          <w:szCs w:val="32"/>
          <w:lang w:eastAsia="zh-CN"/>
        </w:rPr>
        <w:t>（3）已申报同一年度其他自治区“3+2”重点人才计划任一项目的。</w:t>
      </w:r>
    </w:p>
    <w:p w14:paraId="350B7C93">
      <w:pPr>
        <w:widowControl/>
        <w:spacing w:before="0" w:after="0" w:line="560" w:lineRule="exact"/>
        <w:ind w:firstLine="640"/>
        <w:jc w:val="both"/>
      </w:pPr>
      <w:r>
        <w:rPr>
          <w:rFonts w:ascii="Times New Roman" w:hAnsi="Times New Roman" w:eastAsia="仿宋_GB2312" w:cs="Times New Roman"/>
          <w:sz w:val="32"/>
          <w:szCs w:val="32"/>
          <w:lang w:eastAsia="zh-CN"/>
        </w:rPr>
        <w:t>3.存在下列情况之一的，限制申报：</w:t>
      </w:r>
    </w:p>
    <w:p w14:paraId="23193B88">
      <w:pPr>
        <w:widowControl/>
        <w:spacing w:before="0" w:after="0" w:line="560" w:lineRule="exact"/>
        <w:ind w:firstLine="640"/>
        <w:jc w:val="both"/>
      </w:pPr>
      <w:r>
        <w:rPr>
          <w:rFonts w:ascii="Times New Roman" w:hAnsi="Times New Roman" w:eastAsia="仿宋_GB2312" w:cs="Times New Roman"/>
          <w:sz w:val="32"/>
          <w:szCs w:val="32"/>
          <w:lang w:eastAsia="zh-CN"/>
        </w:rPr>
        <w:t>（1）申报主体近三年内在财政资金专项审计、巡视等检查中被认定存在重大违规行为；</w:t>
      </w:r>
    </w:p>
    <w:p w14:paraId="1CC4F74D">
      <w:pPr>
        <w:widowControl/>
        <w:spacing w:before="0" w:after="0" w:line="560" w:lineRule="exact"/>
        <w:ind w:firstLine="64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（2）申报主体或其负责人存在惩戒执行期内的科研失信记录，或被列入相关社会领域信用“黑名单”。</w:t>
      </w:r>
    </w:p>
    <w:p w14:paraId="48F5EF52">
      <w:pPr>
        <w:widowControl/>
        <w:spacing w:before="0" w:after="0" w:line="560" w:lineRule="exact"/>
        <w:ind w:firstLine="640"/>
        <w:jc w:val="both"/>
      </w:pPr>
      <w:r>
        <w:rPr>
          <w:rFonts w:hint="eastAsia" w:eastAsia="黑体;汉仪中黑KW" w:cs="Times New Roman"/>
          <w:sz w:val="32"/>
          <w:szCs w:val="32"/>
          <w:lang w:eastAsia="zh-CN"/>
        </w:rPr>
        <w:t>三</w:t>
      </w:r>
      <w:r>
        <w:rPr>
          <w:rFonts w:ascii="Times New Roman" w:hAnsi="Times New Roman" w:eastAsia="黑体;汉仪中黑KW" w:cs="Times New Roman"/>
          <w:sz w:val="32"/>
          <w:szCs w:val="32"/>
          <w:lang w:eastAsia="zh-CN"/>
        </w:rPr>
        <w:t>、</w:t>
      </w:r>
      <w:r>
        <w:rPr>
          <w:rFonts w:hint="eastAsia" w:eastAsia="黑体;汉仪中黑KW" w:cs="Times New Roman"/>
          <w:sz w:val="32"/>
          <w:szCs w:val="32"/>
          <w:lang w:eastAsia="zh-CN"/>
        </w:rPr>
        <w:t>榜单金额与实施周期</w:t>
      </w:r>
    </w:p>
    <w:p w14:paraId="590FC707">
      <w:pPr>
        <w:widowControl/>
        <w:spacing w:before="0" w:after="0" w:line="560" w:lineRule="exact"/>
        <w:ind w:firstLine="64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项目支持周期为3年，全周期支持额度原则上最高不超过1000万元</w:t>
      </w:r>
      <w:r>
        <w:rPr>
          <w:rFonts w:hint="eastAsia" w:cs="Times New Roman"/>
          <w:sz w:val="32"/>
          <w:szCs w:val="32"/>
          <w:lang w:eastAsia="zh-CN"/>
        </w:rPr>
        <w:t>。</w:t>
      </w:r>
    </w:p>
    <w:p w14:paraId="758762DD">
      <w:pPr>
        <w:widowControl/>
        <w:spacing w:before="0" w:after="0" w:line="560" w:lineRule="exact"/>
        <w:ind w:firstLine="640"/>
        <w:jc w:val="both"/>
      </w:pPr>
      <w:r>
        <w:rPr>
          <w:rFonts w:hint="eastAsia" w:eastAsia="黑体;汉仪中黑KW" w:cs="Times New Roman"/>
          <w:sz w:val="32"/>
          <w:szCs w:val="32"/>
          <w:lang w:eastAsia="zh-CN"/>
        </w:rPr>
        <w:t>四</w:t>
      </w:r>
      <w:r>
        <w:rPr>
          <w:rFonts w:ascii="Times New Roman" w:hAnsi="Times New Roman" w:eastAsia="黑体;汉仪中黑KW" w:cs="Times New Roman"/>
          <w:sz w:val="32"/>
          <w:szCs w:val="32"/>
          <w:lang w:eastAsia="zh-CN"/>
        </w:rPr>
        <w:t>、</w:t>
      </w:r>
      <w:r>
        <w:rPr>
          <w:rFonts w:hint="eastAsia" w:eastAsia="黑体;汉仪中黑KW" w:cs="Times New Roman"/>
          <w:sz w:val="32"/>
          <w:szCs w:val="32"/>
          <w:lang w:eastAsia="zh-CN"/>
        </w:rPr>
        <w:t>配套支持措施</w:t>
      </w:r>
    </w:p>
    <w:p w14:paraId="4670E287">
      <w:pPr>
        <w:widowControl/>
        <w:spacing w:before="0" w:after="0" w:line="560" w:lineRule="exact"/>
        <w:ind w:firstLine="64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除新疆人才发展基金支持外，本部门为本项目提供以下配套支持措施：</w:t>
      </w:r>
    </w:p>
    <w:p w14:paraId="4A79A5BC">
      <w:pPr>
        <w:widowControl/>
        <w:spacing w:before="0" w:after="0" w:line="560" w:lineRule="exact"/>
        <w:ind w:firstLine="640"/>
        <w:jc w:val="both"/>
        <w:rPr>
          <w:rFonts w:hint="eastAsia" w:ascii="Times New Roman" w:hAnsi="Times New Roman" w:eastAsia="仿宋_GB2312" w:cs="Times New Roman"/>
          <w:sz w:val="32"/>
          <w:szCs w:val="32"/>
          <w:lang w:eastAsia="zh-CN"/>
        </w:rPr>
      </w:pPr>
      <w:r>
        <w:rPr>
          <w:rFonts w:hint="eastAsia" w:ascii="楷体_GB2312" w:hAnsi="楷体_GB2312" w:eastAsia="楷体_GB2312" w:cs="楷体_GB2312"/>
          <w:b w:val="0"/>
          <w:bCs w:val="0"/>
          <w:color w:val="000000"/>
          <w:sz w:val="32"/>
          <w:szCs w:val="32"/>
          <w:lang w:eastAsia="zh-CN"/>
        </w:rPr>
        <w:t>（一）工作条件保障。</w:t>
      </w:r>
      <w:r>
        <w:rPr>
          <w:rFonts w:hint="eastAsia" w:ascii="Times New Roman" w:hAnsi="Times New Roman" w:eastAsia="仿宋_GB2312" w:cs="Times New Roman"/>
          <w:sz w:val="32"/>
          <w:szCs w:val="32"/>
          <w:lang w:eastAsia="zh-CN"/>
        </w:rPr>
        <w:t>安排专人对接项目研究工作，协调自治区相关厅局及</w:t>
      </w:r>
      <w:r>
        <w:rPr>
          <w:rFonts w:hint="eastAsia" w:cs="Times New Roman"/>
          <w:sz w:val="32"/>
          <w:szCs w:val="32"/>
          <w:lang w:eastAsia="zh-CN"/>
        </w:rPr>
        <w:t>地（州、市）</w:t>
      </w:r>
      <w:r>
        <w:rPr>
          <w:rFonts w:hint="eastAsia" w:ascii="Times New Roman" w:hAnsi="Times New Roman" w:eastAsia="仿宋_GB2312" w:cs="Times New Roman"/>
          <w:sz w:val="32"/>
          <w:szCs w:val="32"/>
          <w:lang w:eastAsia="zh-CN"/>
        </w:rPr>
        <w:t>生态环境局，为项目调研、数据采集等提供便利。</w:t>
      </w:r>
    </w:p>
    <w:p w14:paraId="4298278E">
      <w:pPr>
        <w:widowControl/>
        <w:spacing w:before="0" w:after="0" w:line="560" w:lineRule="exact"/>
        <w:ind w:firstLine="640"/>
        <w:jc w:val="both"/>
        <w:rPr>
          <w:rFonts w:ascii="Times New Roman" w:hAnsi="Times New Roman" w:eastAsia="仿宋_GB2312" w:cs="Times New Roman"/>
          <w:sz w:val="32"/>
          <w:szCs w:val="32"/>
          <w:lang w:eastAsia="zh-CN"/>
        </w:rPr>
      </w:pPr>
      <w:r>
        <w:rPr>
          <w:rFonts w:hint="eastAsia" w:ascii="楷体_GB2312" w:hAnsi="楷体_GB2312" w:eastAsia="楷体_GB2312" w:cs="楷体_GB2312"/>
          <w:b w:val="0"/>
          <w:bCs w:val="0"/>
          <w:color w:val="000000"/>
          <w:sz w:val="32"/>
          <w:szCs w:val="32"/>
          <w:lang w:eastAsia="zh-CN"/>
        </w:rPr>
        <w:t>（二）数据资源共享。</w:t>
      </w:r>
      <w:r>
        <w:rPr>
          <w:rFonts w:hint="eastAsia" w:ascii="Times New Roman" w:hAnsi="Times New Roman" w:eastAsia="仿宋_GB2312" w:cs="Times New Roman"/>
          <w:sz w:val="32"/>
          <w:szCs w:val="32"/>
          <w:lang w:eastAsia="zh-CN"/>
        </w:rPr>
        <w:t>开放生态环境分区管控信息应用平台数据等信息；协调相关部门共享经济社会发展、资源能源利用、产业布局等相关数据资源。</w:t>
      </w:r>
    </w:p>
    <w:p w14:paraId="39297AE6">
      <w:pPr>
        <w:widowControl/>
        <w:spacing w:before="0" w:after="0" w:line="560" w:lineRule="exact"/>
        <w:ind w:firstLine="640"/>
        <w:jc w:val="both"/>
        <w:rPr>
          <w:rFonts w:hint="default" w:ascii="Times New Roman" w:hAnsi="Times New Roman" w:eastAsia="仿宋_GB2312" w:cs="Times New Roman"/>
          <w:sz w:val="32"/>
          <w:szCs w:val="32"/>
          <w:lang w:eastAsia="zh-CN"/>
        </w:rPr>
      </w:pPr>
      <w:r>
        <w:rPr>
          <w:rFonts w:hint="eastAsia" w:ascii="楷体_GB2312" w:hAnsi="楷体_GB2312" w:eastAsia="楷体_GB2312" w:cs="楷体_GB2312"/>
          <w:b w:val="0"/>
          <w:bCs w:val="0"/>
          <w:color w:val="000000"/>
          <w:sz w:val="32"/>
          <w:szCs w:val="32"/>
          <w:lang w:eastAsia="zh-CN"/>
        </w:rPr>
        <w:t>（三）成果转化支持。</w:t>
      </w:r>
      <w:r>
        <w:rPr>
          <w:rFonts w:hint="eastAsia" w:ascii="Times New Roman" w:hAnsi="Times New Roman" w:eastAsia="仿宋_GB2312" w:cs="Times New Roman"/>
          <w:sz w:val="32"/>
          <w:szCs w:val="32"/>
          <w:lang w:eastAsia="zh-CN"/>
        </w:rPr>
        <w:t>协调地</w:t>
      </w:r>
      <w:r>
        <w:rPr>
          <w:rFonts w:hint="eastAsia" w:cs="Times New Roman"/>
          <w:sz w:val="32"/>
          <w:szCs w:val="32"/>
          <w:lang w:eastAsia="zh-CN"/>
        </w:rPr>
        <w:t>（</w:t>
      </w:r>
      <w:r>
        <w:rPr>
          <w:rFonts w:hint="eastAsia" w:ascii="Times New Roman" w:hAnsi="Times New Roman" w:eastAsia="仿宋_GB2312" w:cs="Times New Roman"/>
          <w:sz w:val="32"/>
          <w:szCs w:val="32"/>
          <w:lang w:eastAsia="zh-CN"/>
        </w:rPr>
        <w:t>州</w:t>
      </w:r>
      <w:r>
        <w:rPr>
          <w:rFonts w:hint="eastAsia" w:cs="Times New Roman"/>
          <w:sz w:val="32"/>
          <w:szCs w:val="32"/>
          <w:lang w:eastAsia="zh-CN"/>
        </w:rPr>
        <w:t>、</w:t>
      </w:r>
      <w:r>
        <w:rPr>
          <w:rFonts w:hint="eastAsia" w:ascii="Times New Roman" w:hAnsi="Times New Roman" w:eastAsia="仿宋_GB2312" w:cs="Times New Roman"/>
          <w:sz w:val="32"/>
          <w:szCs w:val="32"/>
          <w:lang w:eastAsia="zh-CN"/>
        </w:rPr>
        <w:t>市</w:t>
      </w:r>
      <w:r>
        <w:rPr>
          <w:rFonts w:hint="eastAsia" w:cs="Times New Roman"/>
          <w:sz w:val="32"/>
          <w:szCs w:val="32"/>
          <w:lang w:eastAsia="zh-CN"/>
        </w:rPr>
        <w:t>）</w:t>
      </w:r>
      <w:r>
        <w:rPr>
          <w:rFonts w:hint="eastAsia" w:ascii="Times New Roman" w:hAnsi="Times New Roman" w:eastAsia="仿宋_GB2312" w:cs="Times New Roman"/>
          <w:sz w:val="32"/>
          <w:szCs w:val="32"/>
          <w:lang w:eastAsia="zh-CN"/>
        </w:rPr>
        <w:t>生态环境局，支持项目团队在地</w:t>
      </w:r>
      <w:r>
        <w:rPr>
          <w:rFonts w:hint="eastAsia" w:cs="Times New Roman"/>
          <w:sz w:val="32"/>
          <w:szCs w:val="32"/>
          <w:lang w:eastAsia="zh-CN"/>
        </w:rPr>
        <w:t>（</w:t>
      </w:r>
      <w:bookmarkStart w:id="0" w:name="_GoBack"/>
      <w:bookmarkEnd w:id="0"/>
      <w:r>
        <w:rPr>
          <w:rFonts w:hint="eastAsia" w:ascii="Times New Roman" w:hAnsi="Times New Roman" w:eastAsia="仿宋_GB2312" w:cs="Times New Roman"/>
          <w:sz w:val="32"/>
          <w:szCs w:val="32"/>
          <w:lang w:eastAsia="zh-CN"/>
        </w:rPr>
        <w:t>州</w:t>
      </w:r>
      <w:r>
        <w:rPr>
          <w:rFonts w:hint="eastAsia" w:cs="Times New Roman"/>
          <w:sz w:val="32"/>
          <w:szCs w:val="32"/>
          <w:lang w:eastAsia="zh-CN"/>
        </w:rPr>
        <w:t>、</w:t>
      </w:r>
      <w:r>
        <w:rPr>
          <w:rFonts w:hint="eastAsia" w:ascii="Times New Roman" w:hAnsi="Times New Roman" w:eastAsia="仿宋_GB2312" w:cs="Times New Roman"/>
          <w:sz w:val="32"/>
          <w:szCs w:val="32"/>
          <w:lang w:eastAsia="zh-CN"/>
        </w:rPr>
        <w:t>市</w:t>
      </w:r>
      <w:r>
        <w:rPr>
          <w:rFonts w:hint="eastAsia" w:cs="Times New Roman"/>
          <w:sz w:val="32"/>
          <w:szCs w:val="32"/>
          <w:lang w:eastAsia="zh-CN"/>
        </w:rPr>
        <w:t>）</w:t>
      </w:r>
      <w:r>
        <w:rPr>
          <w:rFonts w:hint="eastAsia" w:ascii="Times New Roman" w:hAnsi="Times New Roman" w:eastAsia="仿宋_GB2312" w:cs="Times New Roman"/>
          <w:sz w:val="32"/>
          <w:szCs w:val="32"/>
          <w:lang w:eastAsia="zh-CN"/>
        </w:rPr>
        <w:t>生态环境管控单元中选择试点区域开展示范应用。</w:t>
      </w:r>
    </w:p>
    <w:p w14:paraId="4B15CA30">
      <w:pPr>
        <w:widowControl/>
        <w:spacing w:before="0" w:after="0" w:line="560" w:lineRule="exact"/>
        <w:ind w:firstLine="640"/>
        <w:jc w:val="both"/>
        <w:rPr>
          <w:rFonts w:hint="eastAsia" w:eastAsia="黑体;汉仪中黑KW" w:cs="Times New Roman"/>
          <w:sz w:val="32"/>
          <w:szCs w:val="32"/>
          <w:lang w:eastAsia="zh-CN"/>
        </w:rPr>
      </w:pPr>
      <w:r>
        <w:rPr>
          <w:rFonts w:hint="eastAsia" w:eastAsia="黑体;汉仪中黑KW" w:cs="Times New Roman"/>
          <w:sz w:val="32"/>
          <w:szCs w:val="32"/>
          <w:lang w:eastAsia="zh-CN"/>
        </w:rPr>
        <w:t>五、有关要求</w:t>
      </w:r>
    </w:p>
    <w:p w14:paraId="304C72FE">
      <w:pPr>
        <w:widowControl/>
        <w:spacing w:before="0" w:after="0" w:line="560" w:lineRule="exact"/>
        <w:ind w:firstLine="640"/>
        <w:jc w:val="both"/>
        <w:rPr>
          <w:rFonts w:hint="eastAsia" w:ascii="Times New Roman" w:hAnsi="Times New Roman" w:eastAsia="仿宋_GB2312" w:cs="Times New Roman"/>
          <w:sz w:val="32"/>
          <w:szCs w:val="32"/>
          <w:lang w:eastAsia="zh-CN"/>
        </w:rPr>
      </w:pPr>
      <w:r>
        <w:rPr>
          <w:rFonts w:hint="eastAsia" w:ascii="楷体_GB2312" w:hAnsi="楷体_GB2312" w:eastAsia="楷体_GB2312" w:cs="楷体_GB2312"/>
          <w:b w:val="0"/>
          <w:bCs w:val="0"/>
          <w:color w:val="000000"/>
          <w:sz w:val="32"/>
          <w:szCs w:val="32"/>
          <w:lang w:eastAsia="zh-CN"/>
        </w:rPr>
        <w:t>（一）申报时间。</w:t>
      </w:r>
      <w:r>
        <w:rPr>
          <w:rFonts w:hint="eastAsia" w:cs="Times New Roman"/>
          <w:sz w:val="32"/>
          <w:szCs w:val="32"/>
          <w:lang w:val="en-US" w:eastAsia="zh-CN"/>
        </w:rPr>
        <w:t>2026年8月29日至9月29日，逾期不予受理</w:t>
      </w:r>
      <w:r>
        <w:rPr>
          <w:rFonts w:hint="eastAsia" w:ascii="Times New Roman" w:hAnsi="Times New Roman" w:eastAsia="仿宋_GB2312" w:cs="Times New Roman"/>
          <w:sz w:val="32"/>
          <w:szCs w:val="32"/>
          <w:lang w:eastAsia="zh-CN"/>
        </w:rPr>
        <w:t>。</w:t>
      </w:r>
    </w:p>
    <w:p w14:paraId="7AC09F91">
      <w:pPr>
        <w:widowControl/>
        <w:spacing w:before="0" w:after="0" w:line="560" w:lineRule="exact"/>
        <w:ind w:firstLine="640"/>
        <w:jc w:val="both"/>
        <w:rPr>
          <w:rFonts w:ascii="Times New Roman" w:hAnsi="Times New Roman" w:eastAsia="仿宋_GB2312" w:cs="Times New Roman"/>
          <w:sz w:val="32"/>
          <w:szCs w:val="32"/>
          <w:lang w:eastAsia="zh-CN"/>
        </w:rPr>
      </w:pPr>
      <w:r>
        <w:rPr>
          <w:rFonts w:hint="eastAsia" w:ascii="楷体_GB2312" w:hAnsi="楷体_GB2312" w:eastAsia="楷体_GB2312" w:cs="楷体_GB2312"/>
          <w:b w:val="0"/>
          <w:bCs w:val="0"/>
          <w:color w:val="000000"/>
          <w:sz w:val="32"/>
          <w:szCs w:val="32"/>
          <w:lang w:eastAsia="zh-CN"/>
        </w:rPr>
        <w:t>（二）申报方式。</w:t>
      </w:r>
      <w:r>
        <w:rPr>
          <w:rFonts w:hint="eastAsia" w:cs="Times New Roman"/>
          <w:sz w:val="32"/>
          <w:szCs w:val="32"/>
          <w:lang w:eastAsia="zh-CN"/>
        </w:rPr>
        <w:t>团队须依托疆内外重点用人单位，由用人单位通过“新疆智慧人才服务管理平台”统一申报</w:t>
      </w:r>
      <w:r>
        <w:rPr>
          <w:rFonts w:hint="eastAsia" w:ascii="Times New Roman" w:hAnsi="Times New Roman" w:eastAsia="仿宋_GB2312" w:cs="Times New Roman"/>
          <w:sz w:val="32"/>
          <w:szCs w:val="32"/>
          <w:lang w:eastAsia="zh-CN"/>
        </w:rPr>
        <w:t>。</w:t>
      </w:r>
    </w:p>
    <w:p w14:paraId="66B941DA">
      <w:pPr>
        <w:widowControl/>
        <w:spacing w:before="0" w:after="0" w:line="560" w:lineRule="exact"/>
        <w:ind w:firstLine="640"/>
        <w:jc w:val="both"/>
        <w:rPr>
          <w:rFonts w:hint="eastAsia" w:cs="Times New Roman"/>
          <w:sz w:val="32"/>
          <w:szCs w:val="32"/>
          <w:lang w:eastAsia="zh-CN"/>
        </w:rPr>
      </w:pPr>
      <w:r>
        <w:rPr>
          <w:rFonts w:hint="eastAsia" w:ascii="楷体_GB2312" w:hAnsi="楷体_GB2312" w:eastAsia="楷体_GB2312" w:cs="楷体_GB2312"/>
          <w:b w:val="0"/>
          <w:bCs w:val="0"/>
          <w:color w:val="000000"/>
          <w:sz w:val="32"/>
          <w:szCs w:val="32"/>
          <w:lang w:eastAsia="zh-CN"/>
        </w:rPr>
        <w:t>（三）材料要求。</w:t>
      </w:r>
      <w:r>
        <w:rPr>
          <w:rFonts w:hint="eastAsia" w:cs="Times New Roman"/>
          <w:sz w:val="32"/>
          <w:szCs w:val="32"/>
          <w:lang w:eastAsia="zh-CN"/>
        </w:rPr>
        <w:t>申报材料须真实、准确、完整，用人单位对申报材料的真实性、准确性、完整性负主体责任。</w:t>
      </w:r>
    </w:p>
    <w:p w14:paraId="71220FCE">
      <w:pPr>
        <w:widowControl/>
        <w:spacing w:before="0" w:after="0" w:line="560" w:lineRule="exact"/>
        <w:ind w:firstLine="640"/>
        <w:jc w:val="both"/>
        <w:rPr>
          <w:rFonts w:hint="eastAsia" w:cs="Times New Roman"/>
          <w:sz w:val="32"/>
          <w:szCs w:val="32"/>
          <w:lang w:eastAsia="zh-CN"/>
        </w:rPr>
      </w:pPr>
      <w:r>
        <w:rPr>
          <w:rFonts w:hint="eastAsia" w:ascii="楷体_GB2312" w:hAnsi="楷体_GB2312" w:eastAsia="楷体_GB2312" w:cs="楷体_GB2312"/>
          <w:b w:val="0"/>
          <w:bCs w:val="0"/>
          <w:color w:val="000000"/>
          <w:sz w:val="32"/>
          <w:szCs w:val="32"/>
          <w:lang w:eastAsia="zh-CN"/>
        </w:rPr>
        <w:t>（四）监督管理。</w:t>
      </w:r>
      <w:r>
        <w:rPr>
          <w:rFonts w:hint="eastAsia" w:cs="Times New Roman"/>
          <w:sz w:val="32"/>
          <w:szCs w:val="32"/>
          <w:lang w:eastAsia="zh-CN"/>
        </w:rPr>
        <w:t>对存在弄虚作假、多头申报等科研失信行为的，取消三年申报资格。</w:t>
      </w:r>
    </w:p>
    <w:p w14:paraId="6D2A45B9">
      <w:pPr>
        <w:widowControl/>
        <w:spacing w:before="0" w:after="0" w:line="560" w:lineRule="exact"/>
        <w:ind w:firstLine="640"/>
        <w:jc w:val="both"/>
        <w:rPr>
          <w:rFonts w:hint="default" w:ascii="Times New Roman" w:hAnsi="Times New Roman" w:eastAsia="仿宋_GB2312" w:cs="Times New Roman"/>
          <w:sz w:val="32"/>
          <w:szCs w:val="32"/>
          <w:lang w:eastAsia="zh-CN"/>
        </w:rPr>
      </w:pPr>
      <w:r>
        <w:rPr>
          <w:rFonts w:hint="eastAsia" w:eastAsia="黑体;汉仪中黑KW" w:cs="Times New Roman"/>
          <w:sz w:val="32"/>
          <w:szCs w:val="32"/>
          <w:lang w:eastAsia="zh-CN"/>
        </w:rPr>
        <w:t>六、联系方式</w:t>
      </w:r>
    </w:p>
    <w:p w14:paraId="4001C3F0">
      <w:pPr>
        <w:widowControl/>
        <w:spacing w:before="0" w:after="0" w:line="560" w:lineRule="exact"/>
        <w:ind w:firstLine="640"/>
        <w:jc w:val="both"/>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自治区生态环境厅</w:t>
      </w:r>
      <w:r>
        <w:rPr>
          <w:rFonts w:hint="eastAsia" w:ascii="Times New Roman" w:hAnsi="Times New Roman" w:eastAsia="仿宋_GB2312" w:cs="Times New Roman"/>
          <w:sz w:val="32"/>
          <w:szCs w:val="32"/>
          <w:lang w:val="en-US" w:eastAsia="zh-CN"/>
        </w:rPr>
        <w:t>环境影响评价与排放管理</w:t>
      </w:r>
      <w:r>
        <w:rPr>
          <w:rFonts w:hint="default" w:ascii="Times New Roman" w:hAnsi="Times New Roman" w:eastAsia="仿宋_GB2312" w:cs="Times New Roman"/>
          <w:sz w:val="32"/>
          <w:szCs w:val="32"/>
          <w:lang w:eastAsia="zh-CN"/>
        </w:rPr>
        <w:t xml:space="preserve">处 </w:t>
      </w:r>
      <w:r>
        <w:rPr>
          <w:rFonts w:hint="eastAsia" w:ascii="Times New Roman" w:hAnsi="Times New Roman" w:eastAsia="仿宋_GB2312" w:cs="Times New Roman"/>
          <w:sz w:val="32"/>
          <w:szCs w:val="32"/>
          <w:lang w:val="en-US" w:eastAsia="zh-CN"/>
        </w:rPr>
        <w:t>马春驰</w:t>
      </w:r>
      <w:r>
        <w:rPr>
          <w:rFonts w:hint="default" w:ascii="Times New Roman" w:hAnsi="Times New Roman" w:eastAsia="仿宋_GB2312" w:cs="Times New Roman"/>
          <w:sz w:val="32"/>
          <w:szCs w:val="32"/>
          <w:lang w:eastAsia="zh-CN"/>
        </w:rPr>
        <w:t xml:space="preserve"> </w:t>
      </w:r>
      <w:r>
        <w:rPr>
          <w:rFonts w:hint="eastAsia" w:cs="Times New Roman"/>
          <w:sz w:val="32"/>
          <w:szCs w:val="32"/>
          <w:lang w:val="en-US" w:eastAsia="zh-CN"/>
        </w:rPr>
        <w:t>15884414246；</w:t>
      </w:r>
      <w:r>
        <w:rPr>
          <w:rFonts w:hint="default" w:ascii="Times New Roman" w:hAnsi="Times New Roman" w:eastAsia="仿宋_GB2312" w:cs="Times New Roman"/>
          <w:sz w:val="32"/>
          <w:szCs w:val="32"/>
          <w:lang w:eastAsia="zh-CN"/>
        </w:rPr>
        <w:t>0991-4165</w:t>
      </w:r>
      <w:r>
        <w:rPr>
          <w:rFonts w:hint="eastAsia" w:ascii="Times New Roman" w:hAnsi="Times New Roman" w:eastAsia="仿宋_GB2312" w:cs="Times New Roman"/>
          <w:sz w:val="32"/>
          <w:szCs w:val="32"/>
          <w:lang w:val="en-US" w:eastAsia="zh-CN"/>
        </w:rPr>
        <w:t>396</w:t>
      </w:r>
    </w:p>
    <w:p w14:paraId="6692DBFA">
      <w:pPr>
        <w:widowControl/>
        <w:spacing w:before="0" w:after="0" w:line="560" w:lineRule="exact"/>
        <w:ind w:firstLine="640"/>
        <w:jc w:val="both"/>
        <w:rPr>
          <w:rFonts w:hint="eastAsia" w:ascii="Times New Roman" w:hAnsi="Times New Roman" w:eastAsia="仿宋_GB2312" w:cs="Times New Roman"/>
          <w:sz w:val="32"/>
          <w:szCs w:val="32"/>
          <w:lang w:val="en-US" w:eastAsia="zh-CN"/>
        </w:rPr>
      </w:pPr>
    </w:p>
    <w:p w14:paraId="43B696A8">
      <w:pPr>
        <w:pStyle w:val="32"/>
        <w:keepNext w:val="0"/>
        <w:keepLines w:val="0"/>
        <w:widowControl/>
        <w:suppressLineNumbers w:val="0"/>
        <w:spacing w:before="0" w:beforeAutospacing="0" w:after="0" w:afterAutospacing="0"/>
        <w:ind w:left="0" w:right="0" w:firstLine="0"/>
        <w:jc w:val="both"/>
      </w:pPr>
      <w:r>
        <w:rPr>
          <w:rFonts w:hint="eastAsia" w:cs="Times New Roman"/>
          <w:sz w:val="32"/>
          <w:szCs w:val="32"/>
          <w:lang w:val="en-US" w:eastAsia="zh-CN"/>
        </w:rPr>
        <w:t xml:space="preserve">        附件</w:t>
      </w:r>
      <w:r>
        <w:rPr>
          <w:rFonts w:hint="eastAsia" w:ascii="Times New Roman" w:hAnsi="Times New Roman" w:eastAsia="仿宋_GB2312" w:cs="Times New Roman"/>
          <w:kern w:val="0"/>
          <w:sz w:val="32"/>
          <w:szCs w:val="32"/>
          <w:lang w:val="en-US" w:eastAsia="zh-CN" w:bidi="ar-SA"/>
        </w:rPr>
        <w:t>：</w:t>
      </w:r>
      <w:r>
        <w:rPr>
          <w:rFonts w:ascii="Times New Roman" w:hAnsi="Times New Roman" w:eastAsia="仿宋_GB2312" w:cs="Times New Roman"/>
          <w:kern w:val="0"/>
          <w:sz w:val="32"/>
          <w:szCs w:val="32"/>
          <w:lang w:val="en-US" w:eastAsia="zh-CN" w:bidi="ar-SA"/>
        </w:rPr>
        <w:t>新疆重大需求人才支持计划项目申报书</w:t>
      </w:r>
    </w:p>
    <w:p w14:paraId="75D5039C">
      <w:pPr>
        <w:widowControl/>
        <w:spacing w:before="0" w:after="0" w:line="560" w:lineRule="exact"/>
        <w:ind w:firstLine="640"/>
        <w:jc w:val="both"/>
        <w:rPr>
          <w:rFonts w:hint="eastAsia" w:ascii="Times New Roman" w:hAnsi="Times New Roman" w:eastAsia="仿宋_GB2312" w:cs="Times New Roman"/>
          <w:sz w:val="32"/>
          <w:szCs w:val="32"/>
          <w:lang w:val="en-US" w:eastAsia="zh-CN"/>
        </w:rPr>
      </w:pPr>
    </w:p>
    <w:sectPr>
      <w:footerReference r:id="rId5" w:type="default"/>
      <w:footerReference r:id="rId6" w:type="even"/>
      <w:pgSz w:w="11900" w:h="16840"/>
      <w:pgMar w:top="2098" w:right="1474" w:bottom="1984" w:left="1587" w:header="850" w:footer="992" w:gutter="0"/>
      <w:cols w:space="0" w:num="1"/>
      <w:rtlGutter w:val="0"/>
      <w:docGrid w:type="linesAndChars" w:linePitch="53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ＭＳ ゴシック">
    <w:altName w:val="宋体"/>
    <w:panose1 w:val="00000000000000000000"/>
    <w:charset w:val="80"/>
    <w:family w:val="modern"/>
    <w:pitch w:val="default"/>
    <w:sig w:usb0="00000000" w:usb1="00000000" w:usb2="00000010" w:usb3="00000000" w:csb0="00020000" w:csb1="00000000"/>
  </w:font>
  <w:font w:name="Courier">
    <w:altName w:val="DejaVu Math TeX Gyre"/>
    <w:panose1 w:val="020005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ＭＳ 明朝">
    <w:altName w:val="宋体"/>
    <w:panose1 w:val="00000000000000000000"/>
    <w:charset w:val="80"/>
    <w:family w:val="roman"/>
    <w:pitch w:val="default"/>
    <w:sig w:usb0="00000000" w:usb1="00000000" w:usb2="00000010" w:usb3="00000000" w:csb0="00020000" w:csb1="00000000"/>
  </w:font>
  <w:font w:name="Noto Music">
    <w:panose1 w:val="020B0502040504020204"/>
    <w:charset w:val="00"/>
    <w:family w:val="auto"/>
    <w:pitch w:val="default"/>
    <w:sig w:usb0="00000003" w:usb1="02006000" w:usb2="01000000" w:usb3="00000000" w:csb0="00000001"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auto"/>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Times New Roman Regular">
    <w:altName w:val="Times New Roman"/>
    <w:panose1 w:val="02020503050405090304"/>
    <w:charset w:val="00"/>
    <w:family w:val="auto"/>
    <w:pitch w:val="default"/>
    <w:sig w:usb0="00000000" w:usb1="00000000" w:usb2="00000001" w:usb3="00000000" w:csb0="400001BF" w:csb1="DFF7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黑体;汉仪中黑KW">
    <w:altName w:val="黑体"/>
    <w:panose1 w:val="00000000000000000000"/>
    <w:charset w:val="00"/>
    <w:family w:val="auto"/>
    <w:pitch w:val="default"/>
    <w:sig w:usb0="00000000" w:usb1="00000000" w:usb2="00000000" w:usb3="00000000" w:csb0="00000000" w:csb1="00000000"/>
  </w:font>
  <w:font w:name="楷体_GB2312;汉仪楷体简">
    <w:altName w:val="楷体_GB2312"/>
    <w:panose1 w:val="00000000000000000000"/>
    <w:charset w:val="00"/>
    <w:family w:val="auto"/>
    <w:pitch w:val="default"/>
    <w:sig w:usb0="00000000" w:usb1="00000000" w:usb2="00000000" w:usb3="00000000" w:csb0="0000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ＭＳ ゴシック">
    <w:altName w:val="仿宋_GB2312"/>
    <w:panose1 w:val="00000000000000000000"/>
    <w:charset w:val="00"/>
    <w:family w:val="auto"/>
    <w:pitch w:val="default"/>
    <w:sig w:usb0="00000000" w:usb1="00000000" w:usb2="00000000" w:usb3="00000000" w:csb0="00000000" w:csb1="00000000"/>
  </w:font>
  <w:font w:name="ＭＳ 明朝">
    <w:altName w:val="仿宋_GB2312"/>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BC374">
    <w:pPr>
      <w:pStyle w:val="26"/>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6104A">
                          <w:pPr>
                            <w:pStyle w:val="26"/>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16104A">
                    <w:pPr>
                      <w:pStyle w:val="26"/>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64814">
    <w:pPr>
      <w:pStyle w:val="26"/>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FED5F">
                          <w:pPr>
                            <w:pStyle w:val="26"/>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4BFED5F">
                    <w:pPr>
                      <w:pStyle w:val="26"/>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7"/>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evenAndOddHeaders w:val="1"/>
  <w:drawingGridHorizontalSpacing w:val="320"/>
  <w:drawingGridVerticalSpacing w:val="267"/>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F8EC9BD"/>
    <w:rsid w:val="36CF2981"/>
    <w:rsid w:val="3EFFF7ED"/>
    <w:rsid w:val="5CFE6452"/>
    <w:rsid w:val="5DDD476B"/>
    <w:rsid w:val="67FF9866"/>
    <w:rsid w:val="6EEE0064"/>
    <w:rsid w:val="6F3D3C18"/>
    <w:rsid w:val="6F57B0AF"/>
    <w:rsid w:val="73E21803"/>
    <w:rsid w:val="75D85874"/>
    <w:rsid w:val="77976C04"/>
    <w:rsid w:val="77F3BD9E"/>
    <w:rsid w:val="77FF2D34"/>
    <w:rsid w:val="7B2F78B7"/>
    <w:rsid w:val="7BF59449"/>
    <w:rsid w:val="7BF94FD4"/>
    <w:rsid w:val="7BFF114B"/>
    <w:rsid w:val="7C9A9E6D"/>
    <w:rsid w:val="7F7E6BE2"/>
    <w:rsid w:val="7FF3F518"/>
    <w:rsid w:val="7FF5CD1D"/>
    <w:rsid w:val="9B7C3551"/>
    <w:rsid w:val="A153D07A"/>
    <w:rsid w:val="AF7672C3"/>
    <w:rsid w:val="B34F3158"/>
    <w:rsid w:val="D4BEF715"/>
    <w:rsid w:val="EFFDB68E"/>
    <w:rsid w:val="FA3DB366"/>
    <w:rsid w:val="FBF7588A"/>
    <w:rsid w:val="FD3F2866"/>
    <w:rsid w:val="FFE7B0FD"/>
    <w:rsid w:val="FFEC180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仿宋_GB2312" w:cstheme="minorBidi"/>
      <w:sz w:val="3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Normal Indent"/>
    <w:basedOn w:val="1"/>
    <w:next w:val="1"/>
    <w:qFormat/>
    <w:uiPriority w:val="0"/>
    <w:pPr>
      <w:spacing w:line="600" w:lineRule="exact"/>
      <w:ind w:firstLine="420" w:firstLineChars="200"/>
    </w:pPr>
    <w:rPr>
      <w:rFonts w:ascii="Calibri" w:hAnsi="Calibri" w:eastAsia="仿宋_GB2312" w:cs="Times New Roman"/>
      <w:sz w:val="34"/>
      <w:szCs w:val="34"/>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7">
    <w:name w:val="List Bullet"/>
    <w:basedOn w:val="1"/>
    <w:unhideWhenUsed/>
    <w:qFormat/>
    <w:uiPriority w:val="99"/>
    <w:pPr>
      <w:numPr>
        <w:ilvl w:val="0"/>
        <w:numId w:val="3"/>
      </w:numPr>
      <w:contextualSpacing/>
    </w:pPr>
  </w:style>
  <w:style w:type="paragraph" w:styleId="18">
    <w:name w:val="Body Text 3"/>
    <w:basedOn w:val="1"/>
    <w:link w:val="149"/>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7"/>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Plain Text"/>
    <w:basedOn w:val="1"/>
    <w:next w:val="1"/>
    <w:qFormat/>
    <w:uiPriority w:val="99"/>
    <w:pPr>
      <w:suppressAutoHyphens/>
      <w:bidi w:val="0"/>
    </w:pPr>
    <w:rPr>
      <w:rFonts w:ascii="宋体" w:hAnsi="Courier New" w:eastAsia="宋体" w:cs="Times New Roman"/>
      <w:color w:val="auto"/>
      <w:kern w:val="0"/>
      <w:szCs w:val="21"/>
    </w:rPr>
  </w:style>
  <w:style w:type="paragraph" w:styleId="26">
    <w:name w:val="footer"/>
    <w:basedOn w:val="1"/>
    <w:link w:val="139"/>
    <w:unhideWhenUsed/>
    <w:qFormat/>
    <w:uiPriority w:val="99"/>
    <w:pPr>
      <w:tabs>
        <w:tab w:val="center" w:pos="4680"/>
        <w:tab w:val="right" w:pos="9360"/>
      </w:tabs>
      <w:spacing w:after="0" w:line="240" w:lineRule="auto"/>
    </w:pPr>
  </w:style>
  <w:style w:type="paragraph" w:styleId="27">
    <w:name w:val="header"/>
    <w:basedOn w:val="1"/>
    <w:link w:val="138"/>
    <w:unhideWhenUsed/>
    <w:qFormat/>
    <w:uiPriority w:val="99"/>
    <w:pPr>
      <w:tabs>
        <w:tab w:val="center" w:pos="4680"/>
        <w:tab w:val="right" w:pos="9360"/>
      </w:tabs>
      <w:spacing w:after="0" w:line="240" w:lineRule="auto"/>
    </w:pPr>
  </w:style>
  <w:style w:type="paragraph" w:styleId="28">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48"/>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6">
    <w:name w:val="Table Grid"/>
    <w:basedOn w:val="3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customStyle="1" w:styleId="138">
    <w:name w:val="Header Char"/>
    <w:basedOn w:val="135"/>
    <w:link w:val="27"/>
    <w:qFormat/>
    <w:uiPriority w:val="99"/>
  </w:style>
  <w:style w:type="character" w:customStyle="1" w:styleId="139">
    <w:name w:val="Footer Char"/>
    <w:basedOn w:val="135"/>
    <w:link w:val="26"/>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5"/>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5"/>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5"/>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5"/>
    <w:link w:val="20"/>
    <w:qFormat/>
    <w:uiPriority w:val="99"/>
  </w:style>
  <w:style w:type="character" w:customStyle="1" w:styleId="148">
    <w:name w:val="Body Text 2 Char"/>
    <w:basedOn w:val="135"/>
    <w:link w:val="30"/>
    <w:qFormat/>
    <w:uiPriority w:val="99"/>
  </w:style>
  <w:style w:type="character" w:customStyle="1" w:styleId="149">
    <w:name w:val="Body Text 3 Char"/>
    <w:basedOn w:val="135"/>
    <w:link w:val="18"/>
    <w:qFormat/>
    <w:uiPriority w:val="99"/>
    <w:rPr>
      <w:sz w:val="16"/>
      <w:szCs w:val="16"/>
    </w:rPr>
  </w:style>
  <w:style w:type="character" w:customStyle="1" w:styleId="150">
    <w:name w:val="Macro Text Char"/>
    <w:basedOn w:val="135"/>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5"/>
    <w:link w:val="151"/>
    <w:qFormat/>
    <w:uiPriority w:val="29"/>
    <w:rPr>
      <w:i/>
      <w:iCs/>
      <w:color w:val="000000" w:themeColor="text1"/>
      <w14:textFill>
        <w14:solidFill>
          <w14:schemeClr w14:val="tx1"/>
        </w14:solidFill>
      </w14:textFill>
    </w:rPr>
  </w:style>
  <w:style w:type="character" w:customStyle="1" w:styleId="153">
    <w:name w:val="Heading 4 Char"/>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5"/>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5"/>
    <w:link w:val="159"/>
    <w:qFormat/>
    <w:uiPriority w:val="30"/>
    <w:rPr>
      <w:b/>
      <w:bCs/>
      <w:i/>
      <w:iCs/>
      <w:color w:val="4F81BD" w:themeColor="accent1"/>
      <w14:textFill>
        <w14:solidFill>
          <w14:schemeClr w14:val="accent1"/>
        </w14:solidFill>
      </w14:textFill>
    </w:rPr>
  </w:style>
  <w:style w:type="character" w:customStyle="1" w:styleId="161">
    <w:name w:val="Subtle Emphasis"/>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5"/>
    <w:qFormat/>
    <w:uiPriority w:val="21"/>
    <w:rPr>
      <w:b/>
      <w:bCs/>
      <w:i/>
      <w:iCs/>
      <w:color w:val="4F81BD" w:themeColor="accent1"/>
      <w14:textFill>
        <w14:solidFill>
          <w14:schemeClr w14:val="accent1"/>
        </w14:solidFill>
      </w14:textFill>
    </w:rPr>
  </w:style>
  <w:style w:type="character" w:customStyle="1" w:styleId="163">
    <w:name w:val="Subtle Reference"/>
    <w:basedOn w:val="135"/>
    <w:qFormat/>
    <w:uiPriority w:val="31"/>
    <w:rPr>
      <w:smallCaps/>
      <w:color w:val="C0504D" w:themeColor="accent2"/>
      <w:u w:val="single"/>
      <w14:textFill>
        <w14:solidFill>
          <w14:schemeClr w14:val="accent2"/>
        </w14:solidFill>
      </w14:textFill>
    </w:rPr>
  </w:style>
  <w:style w:type="character" w:customStyle="1" w:styleId="164">
    <w:name w:val="Intense Reference"/>
    <w:basedOn w:val="135"/>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5"/>
    <w:qFormat/>
    <w:uiPriority w:val="33"/>
    <w:rPr>
      <w:b/>
      <w:bCs/>
      <w:smallCaps/>
      <w:spacing w:val="5"/>
    </w:rPr>
  </w:style>
  <w:style w:type="paragraph" w:customStyle="1" w:styleId="166">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2013-12-26T07:15:00Z</dcterms:created>
  <dc:creator>python-docx</dc:creator>
  <dc:description>generated by python-docx</dc:description>
  <cp:lastModifiedBy>user</cp:lastModifiedBy>
  <cp:lastPrinted>2026-08-27T03:54:00Z</cp:lastPrinted>
  <dcterms:modified xsi:type="dcterms:W3CDTF">2026-08-28T19:25:29Z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6D23718BF177A3C3F2648E6ACBBE7757_43</vt:lpwstr>
  </property>
</Properties>
</file>