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AA" w:rsidRDefault="00D14EAA" w:rsidP="00D14EAA">
      <w:pPr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D14EAA" w:rsidRDefault="00D14EAA" w:rsidP="00D14EAA">
      <w:pPr>
        <w:pStyle w:val="a4"/>
        <w:spacing w:line="400" w:lineRule="atLeast"/>
        <w:ind w:firstLine="21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黑体" w:eastAsia="黑体" w:cs="黑体" w:hint="eastAsia"/>
          <w:sz w:val="21"/>
          <w:szCs w:val="21"/>
        </w:rPr>
        <w:t> </w:t>
      </w:r>
    </w:p>
    <w:p w:rsidR="00D14EAA" w:rsidRDefault="00D14EAA" w:rsidP="00D14EAA">
      <w:pPr>
        <w:pStyle w:val="a4"/>
        <w:spacing w:line="60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44"/>
          <w:szCs w:val="44"/>
        </w:rPr>
        <w:t>中国（新疆）自由贸易试验区建设项目环境影响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评价分类管理简化正面清单（2024版）</w:t>
      </w:r>
    </w:p>
    <w:tbl>
      <w:tblPr>
        <w:tblW w:w="5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"/>
        <w:gridCol w:w="2138"/>
        <w:gridCol w:w="2862"/>
        <w:gridCol w:w="4116"/>
      </w:tblGrid>
      <w:tr w:rsidR="00D14EAA" w:rsidTr="00AC57A5">
        <w:trPr>
          <w:trHeight w:val="627"/>
          <w:tblHeader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</w:rPr>
              <w:t>行业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240" w:lineRule="atLeast"/>
              <w:jc w:val="center"/>
              <w:rPr>
                <w:rStyle w:val="a5"/>
                <w:rFonts w:ascii="仿宋_GB2312" w:eastAsia="仿宋_GB2312" w:hAnsi="仿宋_GB2312" w:cs="仿宋_GB2312" w:hint="eastAsia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</w:rPr>
              <w:t>项目类别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24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Style w:val="a5"/>
                <w:rFonts w:ascii="仿宋_GB2312" w:eastAsia="仿宋_GB2312" w:hAnsi="仿宋_GB2312" w:cs="仿宋_GB2312" w:hint="eastAsia"/>
              </w:rPr>
              <w:t>报告表</w:t>
            </w:r>
          </w:p>
        </w:tc>
      </w:tr>
      <w:tr w:rsidR="00D14EAA" w:rsidTr="00AC57A5">
        <w:trPr>
          <w:trHeight w:val="737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08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二、畜牧业 03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牲畜饲养 031</w:t>
            </w:r>
          </w:p>
        </w:tc>
        <w:tc>
          <w:tcPr>
            <w:tcW w:w="2082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年出栏生猪5000头（其他畜禽种类折合猪的养殖量）及以上的规模化畜禽养殖；存栏生猪2500头（其他畜禽种类折合猪的养殖规模）及以上无出栏量的规模化畜禽养殖；涉及环境敏感区的规模化畜禽养殖</w:t>
            </w:r>
          </w:p>
        </w:tc>
      </w:tr>
      <w:tr w:rsidR="00D14EAA" w:rsidTr="00AC57A5">
        <w:trPr>
          <w:trHeight w:val="535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家禽饲养 032</w:t>
            </w:r>
          </w:p>
        </w:tc>
        <w:tc>
          <w:tcPr>
            <w:tcW w:w="2082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14EAA" w:rsidTr="00AC57A5">
        <w:trPr>
          <w:trHeight w:val="720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其他畜牧业 039</w:t>
            </w:r>
          </w:p>
        </w:tc>
        <w:tc>
          <w:tcPr>
            <w:tcW w:w="2082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14EAA" w:rsidTr="00AC57A5">
        <w:trPr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八、非金属矿采选业 10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土砂石开采 101（不 </w:t>
            </w:r>
          </w:p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含河道采砂项目）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涉及环境敏感区的（不含单独的矿石破碎、集运；不含矿区修复治理工程）</w:t>
            </w:r>
          </w:p>
        </w:tc>
      </w:tr>
      <w:tr w:rsidR="00D14EAA" w:rsidTr="00AC57A5">
        <w:trPr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十、农副食品加工业 13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屠宰及肉类加工 135*：其他肉类加工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屠宰生猪 10 万头、肉牛 1 万头、肉羊 15万只、禽类 1000 万只及以上的</w:t>
            </w:r>
          </w:p>
        </w:tc>
      </w:tr>
      <w:tr w:rsidR="00D14EAA" w:rsidTr="00AC57A5">
        <w:trPr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十七、木材加工和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木、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竹、藤、棕、草制品业 20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人造板制造 202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年产20万立方米及以上的 </w:t>
            </w:r>
          </w:p>
        </w:tc>
      </w:tr>
      <w:tr w:rsidR="00D14EAA" w:rsidTr="00AC57A5">
        <w:trPr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二十二、石油、煤炭及其他燃料加工业 25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生物质燃料加工 254</w:t>
            </w:r>
          </w:p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生物质液体燃料生产</w:t>
            </w:r>
          </w:p>
        </w:tc>
      </w:tr>
      <w:tr w:rsidR="00D14EAA" w:rsidTr="00AC57A5">
        <w:trPr>
          <w:trHeight w:val="420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8</w:t>
            </w:r>
          </w:p>
        </w:tc>
        <w:tc>
          <w:tcPr>
            <w:tcW w:w="108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二十四、医药制造业 27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中药饮片加工 273*</w:t>
            </w:r>
          </w:p>
        </w:tc>
        <w:tc>
          <w:tcPr>
            <w:tcW w:w="2082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有提炼工艺的（仅醇提、水提的除外）</w:t>
            </w:r>
          </w:p>
        </w:tc>
      </w:tr>
      <w:tr w:rsidR="00D14EAA" w:rsidTr="00AC57A5">
        <w:trPr>
          <w:trHeight w:val="383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9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中成药生产 274*</w:t>
            </w:r>
          </w:p>
        </w:tc>
        <w:tc>
          <w:tcPr>
            <w:tcW w:w="2082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14EAA" w:rsidTr="00AC57A5">
        <w:trPr>
          <w:trHeight w:val="90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二十六、橡胶和塑料制品业 29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塑料制品业 292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以再生塑料为原料生产的</w:t>
            </w:r>
          </w:p>
        </w:tc>
      </w:tr>
      <w:tr w:rsidR="00D14EAA" w:rsidTr="00AC57A5">
        <w:trPr>
          <w:trHeight w:val="934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  <w:lang w:bidi="ar"/>
              </w:rPr>
              <w:t>三十四、铁路、船舶、航空航天和其他运输设备制造业 37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摩托车制造 375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摩托车整车制造（仅组装的除外）；发动机制造（仅组装的除外）</w:t>
            </w:r>
          </w:p>
        </w:tc>
      </w:tr>
      <w:tr w:rsidR="00D14EAA" w:rsidTr="00AC57A5">
        <w:trPr>
          <w:trHeight w:val="640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12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三十五、电气机械和器材制造业 38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电池制造 384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太阳能电池片生产</w:t>
            </w:r>
          </w:p>
        </w:tc>
      </w:tr>
      <w:tr w:rsidR="00D14EAA" w:rsidTr="00AC57A5">
        <w:trPr>
          <w:trHeight w:val="1074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13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三十六、计算机、通信和其他电子设备制造业 39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电子元件及电子专用材料制造 398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半导体材料制造</w:t>
            </w:r>
          </w:p>
        </w:tc>
      </w:tr>
      <w:tr w:rsidR="00D14EAA" w:rsidTr="00AC57A5">
        <w:trPr>
          <w:trHeight w:val="904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14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四十一、电力、热力生产和供应业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陆上风力发电 4415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涉及环境敏感区的总装机容量5万千瓦及以上的陆上风力发电</w:t>
            </w:r>
          </w:p>
        </w:tc>
      </w:tr>
      <w:tr w:rsidR="00D14EAA" w:rsidTr="00AC57A5">
        <w:trPr>
          <w:trHeight w:val="803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四十三、水的生产和供应业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污水处理及其再生利用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新建、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扩建日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处理10万吨及以上城乡污水处理的</w:t>
            </w:r>
          </w:p>
        </w:tc>
      </w:tr>
      <w:tr w:rsidR="00D14EAA" w:rsidTr="00AC57A5">
        <w:trPr>
          <w:trHeight w:val="884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16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四十八、公共设施管理业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生活垃圾（含餐厨废弃物）集中处置（生活垃圾发电除外）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采取填埋方式的；其他处置方式日处置能力50吨及以上的</w:t>
            </w:r>
          </w:p>
        </w:tc>
      </w:tr>
      <w:tr w:rsidR="00D14EAA" w:rsidTr="00AC57A5">
        <w:trPr>
          <w:trHeight w:val="483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17</w:t>
            </w:r>
          </w:p>
        </w:tc>
        <w:tc>
          <w:tcPr>
            <w:tcW w:w="108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四十九、卫生 84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急救中心（站）服务 8434</w:t>
            </w:r>
          </w:p>
        </w:tc>
        <w:tc>
          <w:tcPr>
            <w:tcW w:w="2082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新建、扩建住院床位500张及以上的</w:t>
            </w:r>
          </w:p>
        </w:tc>
      </w:tr>
      <w:tr w:rsidR="00D14EAA" w:rsidTr="00AC57A5">
        <w:trPr>
          <w:trHeight w:val="428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18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采供血机构服务 8435</w:t>
            </w:r>
          </w:p>
        </w:tc>
        <w:tc>
          <w:tcPr>
            <w:tcW w:w="2082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14EAA" w:rsidTr="00AC57A5">
        <w:trPr>
          <w:trHeight w:val="453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19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基层医疗卫生服务 842</w:t>
            </w:r>
          </w:p>
        </w:tc>
        <w:tc>
          <w:tcPr>
            <w:tcW w:w="2082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D14EAA" w:rsidTr="00AC57A5">
        <w:trPr>
          <w:trHeight w:val="645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</w:t>
            </w:r>
          </w:p>
        </w:tc>
        <w:tc>
          <w:tcPr>
            <w:tcW w:w="108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五十、社会事业与服务业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人工湖、人工湿地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容积500万立方米及以上的人工湖、人工湿地；涉及环境敏感区的容积5万立方米及以上500万立方米以下的人工湖、人工湿地</w:t>
            </w:r>
          </w:p>
        </w:tc>
      </w:tr>
      <w:tr w:rsidR="00D14EAA" w:rsidTr="00AC57A5">
        <w:trPr>
          <w:trHeight w:val="485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21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影视基地建设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涉及环境敏感区的</w:t>
            </w:r>
          </w:p>
        </w:tc>
      </w:tr>
      <w:tr w:rsidR="00D14EAA" w:rsidTr="00AC57A5">
        <w:trPr>
          <w:trHeight w:val="645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22</w:t>
            </w:r>
          </w:p>
        </w:tc>
        <w:tc>
          <w:tcPr>
            <w:tcW w:w="1081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五十一、水利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灌区工程（不含水源工程的）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涉及环境敏感区的 </w:t>
            </w:r>
          </w:p>
        </w:tc>
      </w:tr>
      <w:tr w:rsidR="00D14EAA" w:rsidTr="00AC57A5">
        <w:trPr>
          <w:trHeight w:val="645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23</w:t>
            </w:r>
          </w:p>
        </w:tc>
        <w:tc>
          <w:tcPr>
            <w:tcW w:w="1081" w:type="pct"/>
            <w:vMerge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河湖整治（不含农村 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塘堰、水渠）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涉及环境敏感区的</w:t>
            </w:r>
          </w:p>
        </w:tc>
      </w:tr>
      <w:tr w:rsidR="00D14EAA" w:rsidTr="00AC57A5">
        <w:trPr>
          <w:trHeight w:val="645"/>
          <w:jc w:val="center"/>
        </w:trPr>
        <w:tc>
          <w:tcPr>
            <w:tcW w:w="38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pStyle w:val="a4"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24</w:t>
            </w:r>
          </w:p>
        </w:tc>
        <w:tc>
          <w:tcPr>
            <w:tcW w:w="108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五十二、交通运输业、管道运输业 </w:t>
            </w:r>
          </w:p>
        </w:tc>
        <w:tc>
          <w:tcPr>
            <w:tcW w:w="144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原油、成品油、天然 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气管线（不含城市天 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然气管线；不含城镇 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燃气管线；不含企业 </w:t>
            </w:r>
          </w:p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厂区内管道） </w:t>
            </w:r>
          </w:p>
        </w:tc>
        <w:tc>
          <w:tcPr>
            <w:tcW w:w="208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4EAA" w:rsidRDefault="00D14EAA" w:rsidP="00AC57A5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 xml:space="preserve">涉及环境敏感区的 </w:t>
            </w:r>
          </w:p>
        </w:tc>
      </w:tr>
    </w:tbl>
    <w:p w:rsidR="00D14EAA" w:rsidRDefault="00D14EAA" w:rsidP="00D14EAA">
      <w:pPr>
        <w:pStyle w:val="a4"/>
        <w:spacing w:line="400" w:lineRule="exact"/>
        <w:ind w:firstLine="36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备注：①行业类别、项目类别序号和项目类别均对应《建设项目环境影响评价分类管理名录（2021年版）》。②位于生态保护红线范围内的建设项目、“高能耗、高排放”建设项目、以及涉及中央生态环境保护督察和自治区、兵团生态环境保护督察整改的建设项目除外。③涉及环境敏感区的需编制专章。</w:t>
      </w:r>
      <w:bookmarkStart w:id="0" w:name="_GoBack"/>
      <w:bookmarkEnd w:id="0"/>
    </w:p>
    <w:sectPr w:rsidR="00D14EAA">
      <w:footerReference w:type="even" r:id="rId5"/>
      <w:footerReference w:type="default" r:id="rId6"/>
      <w:footerReference w:type="first" r:id="rId7"/>
      <w:pgSz w:w="11906" w:h="16838"/>
      <w:pgMar w:top="2495" w:right="1446" w:bottom="1440" w:left="1446" w:header="851" w:footer="851" w:gutter="0"/>
      <w:cols w:space="720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E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EAA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EAA">
    <w:pPr>
      <w:pStyle w:val="a3"/>
      <w:rPr>
        <w:rStyle w:val="a6"/>
        <w:rFonts w:ascii="宋体" w:eastAsia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B7615" wp14:editId="31ADC6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14EAA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uywwIAALs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kOMOOmgRXffv939+HX38ysKTX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" filled="f" stroked="f">
              <v:textbox style="mso-fit-shape-to-text:t" inset="0,0,0,0">
                <w:txbxContent>
                  <w:p w:rsidR="00000000" w:rsidRDefault="00D14EAA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D14EAA">
    <w:pPr>
      <w:pStyle w:val="a3"/>
      <w:tabs>
        <w:tab w:val="clear" w:pos="4153"/>
        <w:tab w:val="clear" w:pos="8306"/>
        <w:tab w:val="left" w:pos="898"/>
      </w:tabs>
      <w:ind w:right="360"/>
    </w:pPr>
  </w:p>
  <w:p w:rsidR="00000000" w:rsidRDefault="00D14EAA">
    <w:pPr>
      <w:pStyle w:val="a3"/>
      <w:rPr>
        <w:rFonts w:ascii="宋体" w:eastAsia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AA"/>
    <w:rsid w:val="00387AE5"/>
    <w:rsid w:val="00546674"/>
    <w:rsid w:val="00D1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4EA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4EA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rsid w:val="00D14EAA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D14EAA"/>
    <w:rPr>
      <w:b/>
    </w:rPr>
  </w:style>
  <w:style w:type="character" w:styleId="a6">
    <w:name w:val="page number"/>
    <w:basedOn w:val="a0"/>
    <w:rsid w:val="00D1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4EA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4EA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Normal (Web)"/>
    <w:basedOn w:val="a"/>
    <w:rsid w:val="00D14EAA"/>
    <w:pPr>
      <w:widowControl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D14EAA"/>
    <w:rPr>
      <w:b/>
    </w:rPr>
  </w:style>
  <w:style w:type="character" w:styleId="a6">
    <w:name w:val="page number"/>
    <w:basedOn w:val="a0"/>
    <w:rsid w:val="00D1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wzk05</cp:lastModifiedBy>
  <cp:revision>1</cp:revision>
  <dcterms:created xsi:type="dcterms:W3CDTF">2024-09-03T08:47:00Z</dcterms:created>
  <dcterms:modified xsi:type="dcterms:W3CDTF">2024-09-03T08:48:00Z</dcterms:modified>
</cp:coreProperties>
</file>