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EE00AD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lang w:val="en" w:eastAsia="zh-CN" w:bidi="ar-SA"/>
        </w:rPr>
        <w:t>附件</w:t>
      </w:r>
    </w:p>
    <w:p w14:paraId="39DBE18E">
      <w:pPr>
        <w:keepNext w:val="0"/>
        <w:keepLines w:val="0"/>
        <w:pageBreakBefore w:val="0"/>
        <w:widowControl w:val="0"/>
        <w:kinsoku/>
        <w:wordWrap/>
        <w:topLinePunct w:val="0"/>
        <w:bidi w:val="0"/>
        <w:spacing w:after="0" w:line="560" w:lineRule="exact"/>
        <w:ind w:left="0" w:leftChars="0" w:firstLine="0" w:firstLineChars="0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lang w:val="en-US" w:eastAsia="zh-CN" w:bidi="ar-SA"/>
        </w:rPr>
      </w:pPr>
    </w:p>
    <w:p w14:paraId="37A9DAC4">
      <w:pPr>
        <w:jc w:val="center"/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eastAsia="zh-CN"/>
        </w:rPr>
      </w:pPr>
      <w:r>
        <w:rPr>
          <w:rFonts w:hint="eastAsia" w:ascii="CESI宋体-GB2312" w:hAnsi="CESI宋体-GB2312" w:eastAsia="CESI宋体-GB2312" w:cs="CESI宋体-GB2312"/>
          <w:b/>
          <w:bCs/>
          <w:sz w:val="32"/>
          <w:szCs w:val="32"/>
          <w:lang w:eastAsia="zh-CN"/>
        </w:rPr>
        <w:t>核技术利用单位执法检查企业名录</w:t>
      </w:r>
    </w:p>
    <w:tbl>
      <w:tblPr>
        <w:tblStyle w:val="6"/>
        <w:tblW w:w="1407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95"/>
        <w:gridCol w:w="7334"/>
        <w:gridCol w:w="4541"/>
        <w:gridCol w:w="1504"/>
      </w:tblGrid>
      <w:tr w14:paraId="3425B0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C9F8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6AA25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89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24"/>
                <w:szCs w:val="24"/>
                <w:vertAlign w:val="baseline"/>
                <w:lang w:val="en-US" w:eastAsia="zh-CN"/>
              </w:rPr>
              <w:t>所属区域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02A2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b/>
                <w:bCs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36D4CC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D786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97C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新疆维吾尔自治区喀什地区第二人民医院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38CE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喀什地区喀什市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9ACF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DA99D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8E25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548B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喀什地区第一人民医院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3F37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喀什地区喀什市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D7567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E278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E8FA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4BE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阿克苏地区第一人民医院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1F4F3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阿克苏地区阿克苏市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96F3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A0404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9BBC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8033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阿克苏中曼石油工程技术有限公司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8317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阿克苏地区阿克苏市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FAFF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EC1A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8EF5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ED0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新疆医科大学第三附属医院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04EC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乌鲁木齐市新市区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9A441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28CA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3F40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74C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新疆生产建设兵团医院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9EAE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乌鲁木齐市天山区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CCEA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03D9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1ACC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E16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乌鲁木齐星辰汇峰环保科技有限公司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D73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乌鲁木齐市天山区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EAC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C0574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3C86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BCE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新疆医科大学第四附属医院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1AF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乌鲁木齐市沙依巴克区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AE32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41490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BB702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2CA9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新疆新正检测技术有限责任公司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4CE5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乌鲁木齐市米东区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4BB9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3F3B9D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001A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B59D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新疆胡杨集团有限公司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9E6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乌鲁木齐市米东区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1922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EB1B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376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C5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新疆金世康圆辐照技术有限公司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E1C6E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乌鲁木齐市新市区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A3F71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D1CB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990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087CE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新疆医科大学第一附属医院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BC1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乌鲁木齐市新市区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DCC3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EAA7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7CC15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E448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新疆原子高科医药有限公司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E255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乌鲁木齐市新市区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F2A4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55C5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D754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B419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新疆维吾尔自治区人民医院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3580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乌鲁木齐市天山区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DE1C5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4DF9A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C09E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5B7F6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新疆胡杨集团有限公司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BC8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乌鲁木齐市米东区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C446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E8E25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5BFD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17CF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中国石油集团测井有限公司吐哈分公司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B1E6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吐鲁番市鄯善县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CD9A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88273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6A34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9E7BC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广东珺相科技有限公司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AC52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吐鲁番市鄯善县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129C6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异地使用</w:t>
            </w:r>
          </w:p>
        </w:tc>
      </w:tr>
      <w:tr w14:paraId="150A3DE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DD49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C63A8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伊犁川宁生物技术股份有限公司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77050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伊犁哈萨克自治州伊宁市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55DF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FFFF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52BA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7B90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新疆生产建设兵团第四师医院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0C7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伊犁哈萨克自治州伊宁市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232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36220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5143A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3801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伊犁哈萨克自治州友谊医院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1DDB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伊犁哈萨克自治州伊宁市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50D6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EBE44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C2B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58D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哈密市中心医院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2719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哈密市伊州区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7DBF0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C8669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FAE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1507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哈密市第二人民医院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6A6E1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哈密市伊州区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4260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F1173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91DE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A3896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新疆医科大学第一附属医院昌吉分院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F9FE1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昌吉回族自治州昌吉市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7993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84ADC9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B6B4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EE7D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特变电工新疆电缆有限公司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3BB5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昌吉回族自治州昌吉市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004DB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2739A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5985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38A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昌吉回族自治州人民医院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47CA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昌吉回族自治州昌吉市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B8AF5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11F76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2966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D0CB0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中国石油集团测井有限公司塔里木分公司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8876E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巴音郭楞蒙古自治州库尔勒市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EEC3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14C8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34F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6EB3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中石化经纬有限公司巴州胜利测录井分公司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8339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巴音郭楞蒙古自治州库尔勒市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083F6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CA42AE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B37D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4C1C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中石化经纬有限公司华北测控公司新疆分公司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63EC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巴音郭楞蒙古自治州轮台县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ECEB2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79E75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4CB3D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29155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中石化经纬有限公司巴州江汉测录井分公司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804AB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巴音郭楞蒙古自治州库尔勒市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FF61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BE36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F0C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30F67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中石化经纬有限公司新疆中原测录井分公司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2DEB6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巴音郭楞蒙古自治州轮台县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EEAE4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9409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B4C9B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221C1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中石化经纬有限公司巴州华东测录井分公司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3684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巴音郭楞蒙古自治州轮台县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F8795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D836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021B9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69C9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中石化经纬有限公司西南测控公司新疆分公司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8053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巴音郭楞蒙古自治州轮台县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358506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A2C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8E9CB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70837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巴音郭楞蒙古自治州人民医院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BDF11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巴音郭楞蒙古自治州库尔勒市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935C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35B9A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A2DAD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CEA64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斯伦贝谢科技服务（成都）有限公司新疆分公司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AFA18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巴音郭楞蒙古自治州库尔勒市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4BDCC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D929B1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00C19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39027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中国石油集团测井有限公司塔里木分公司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0B7A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巴音郭楞蒙古自治州库尔勒市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D72D0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E96DB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8FFE1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0F777B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青岛维康中油检测有限公司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5F06B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巴音郭楞蒙古自治州库尔勒市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5656B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异地使用</w:t>
            </w:r>
          </w:p>
        </w:tc>
      </w:tr>
      <w:tr w14:paraId="0D0CC56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BB13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7286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洛阳中油检测工程有限公司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42F9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巴音郭楞蒙古自治州库尔勒市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4545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异地使用</w:t>
            </w:r>
          </w:p>
        </w:tc>
      </w:tr>
      <w:tr w14:paraId="1B1F06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199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F4C4E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克拉玛依市中心医院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3983F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克拉玛依市克拉玛依区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1C2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716B8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C4D23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52FD7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中国石油集团测井有限公司新疆分公司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74C317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克拉玛依市克拉玛依区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D08A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F8887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69926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40</w:t>
            </w:r>
          </w:p>
        </w:tc>
        <w:tc>
          <w:tcPr>
            <w:tcW w:w="7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214ABC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克拉玛依市弘智油田技术服务有限公司</w:t>
            </w:r>
          </w:p>
        </w:tc>
        <w:tc>
          <w:tcPr>
            <w:tcW w:w="4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15FAFF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  <w:t>克拉玛依市克拉玛依区</w:t>
            </w:r>
          </w:p>
        </w:tc>
        <w:tc>
          <w:tcPr>
            <w:tcW w:w="15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il"/>
              <w:tr2bl w:val="nil"/>
            </w:tcBorders>
            <w:noWrap w:val="0"/>
            <w:vAlign w:val="center"/>
          </w:tcPr>
          <w:p w14:paraId="49CBF0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eastAsia" w:ascii="CESI宋体-GB2312" w:hAnsi="CESI宋体-GB2312" w:eastAsia="CESI宋体-GB2312" w:cs="CESI宋体-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7C4F2CCE">
      <w:pPr>
        <w:pStyle w:val="5"/>
        <w:keepNext w:val="0"/>
        <w:keepLines w:val="0"/>
        <w:pageBreakBefore w:val="0"/>
        <w:widowControl w:val="0"/>
        <w:kinsoku/>
        <w:wordWrap/>
        <w:topLinePunct w:val="0"/>
        <w:bidi w:val="0"/>
        <w:spacing w:line="560" w:lineRule="exact"/>
        <w:ind w:left="0" w:leftChars="0" w:firstLine="0" w:firstLineChars="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 w:bidi="ar-SA"/>
        </w:rPr>
      </w:pPr>
    </w:p>
    <w:p w14:paraId="7F7915D5"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CESI宋体-GB2312">
    <w:altName w:val="宋体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E441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qFormat="1"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nhideWhenUsed/>
    <w:qFormat/>
    <w:uiPriority w:val="99"/>
    <w:pPr>
      <w:widowControl w:val="0"/>
      <w:ind w:firstLine="420" w:firstLineChars="200"/>
      <w:jc w:val="both"/>
    </w:pPr>
    <w:rPr>
      <w:rFonts w:ascii="Calibri" w:hAnsi="Calibri" w:eastAsia="仿宋_GB2312" w:cs="Times New Roman"/>
      <w:kern w:val="2"/>
      <w:sz w:val="32"/>
      <w:szCs w:val="22"/>
      <w:lang w:val="en-US" w:eastAsia="zh-CN" w:bidi="ar-SA"/>
    </w:rPr>
  </w:style>
  <w:style w:type="paragraph" w:styleId="3">
    <w:name w:val="toc 8"/>
    <w:basedOn w:val="1"/>
    <w:next w:val="1"/>
    <w:qFormat/>
    <w:uiPriority w:val="0"/>
    <w:pPr>
      <w:widowControl w:val="0"/>
      <w:wordWrap w:val="0"/>
      <w:ind w:left="127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 Indent"/>
    <w:basedOn w:val="1"/>
    <w:next w:val="2"/>
    <w:qFormat/>
    <w:uiPriority w:val="99"/>
    <w:pPr>
      <w:widowControl w:val="0"/>
      <w:spacing w:after="120"/>
      <w:ind w:left="420" w:left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5">
    <w:name w:val="Body Text First Indent 2"/>
    <w:basedOn w:val="4"/>
    <w:qFormat/>
    <w:uiPriority w:val="99"/>
    <w:pPr>
      <w:widowControl w:val="0"/>
      <w:spacing w:after="0"/>
      <w:ind w:left="0" w:leftChars="0" w:firstLine="200" w:firstLineChars="200"/>
      <w:jc w:val="both"/>
    </w:pPr>
    <w:rPr>
      <w:rFonts w:ascii="Calibri" w:hAnsi="Calibri" w:eastAsia="宋体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2026-04-03T09:40:55Z</dcterms:created>
  <dc:creator>lenovo</dc:creator>
  <cp:lastModifiedBy>lenovo</cp:lastModifiedBy>
  <dcterms:modified xsi:type="dcterms:W3CDTF">2026-04-03T09:41:29Z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eyJoZGlkIjoiODcxMWUyOWM0ZmZmMmQyZTMyY2UxM2U1M2U5ODFhN2QifQ==</vt:lpwstr>
  </property>
  <property fmtid="{D5CDD505-2E9C-101B-9397-08002B2CF9AE}" pid="4" name="ICV">
    <vt:lpwstr>6D3A174D21A343FAAA4BADFCB27BC2B8_12</vt:lpwstr>
  </property>
</Properties>
</file>