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30A58">
      <w:pPr>
        <w:spacing w:line="540" w:lineRule="exact"/>
        <w:rPr>
          <w:rFonts w:eastAsia="华文中宋"/>
          <w:b/>
          <w:color w:val="auto"/>
          <w:kern w:val="0"/>
          <w:sz w:val="72"/>
          <w:szCs w:val="72"/>
          <w:highlight w:val="none"/>
        </w:rPr>
      </w:pPr>
    </w:p>
    <w:p w14:paraId="5B5BD281">
      <w:pPr>
        <w:spacing w:line="540" w:lineRule="exact"/>
        <w:jc w:val="center"/>
        <w:rPr>
          <w:rFonts w:eastAsia="华文中宋"/>
          <w:b/>
          <w:color w:val="auto"/>
          <w:kern w:val="0"/>
          <w:sz w:val="52"/>
          <w:szCs w:val="52"/>
          <w:highlight w:val="none"/>
        </w:rPr>
      </w:pPr>
    </w:p>
    <w:p w14:paraId="13E6B09B">
      <w:pPr>
        <w:spacing w:line="540" w:lineRule="exact"/>
        <w:jc w:val="center"/>
        <w:rPr>
          <w:rFonts w:eastAsia="华文中宋"/>
          <w:b/>
          <w:color w:val="auto"/>
          <w:kern w:val="0"/>
          <w:sz w:val="52"/>
          <w:szCs w:val="52"/>
          <w:highlight w:val="none"/>
        </w:rPr>
      </w:pPr>
    </w:p>
    <w:p w14:paraId="1BDB8233">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rPr>
        <w:t>一般公共预算</w:t>
      </w:r>
      <w:r>
        <w:rPr>
          <w:rFonts w:eastAsia="方正小标宋_GBK"/>
          <w:color w:val="auto"/>
          <w:kern w:val="0"/>
          <w:sz w:val="48"/>
          <w:szCs w:val="48"/>
          <w:highlight w:val="none"/>
        </w:rPr>
        <w:t>资金项目绩效评价</w:t>
      </w:r>
    </w:p>
    <w:p w14:paraId="3599062D">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4C2CC04F">
      <w:pPr>
        <w:spacing w:line="540" w:lineRule="exact"/>
        <w:jc w:val="center"/>
        <w:rPr>
          <w:rFonts w:eastAsia="华文中宋"/>
          <w:b/>
          <w:color w:val="auto"/>
          <w:kern w:val="0"/>
          <w:sz w:val="52"/>
          <w:szCs w:val="52"/>
          <w:highlight w:val="none"/>
        </w:rPr>
      </w:pPr>
    </w:p>
    <w:p w14:paraId="2D1069B5">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xml:space="preserve">（ </w:t>
      </w:r>
      <w:r>
        <w:rPr>
          <w:rFonts w:hint="eastAsia" w:eastAsia="仿宋_GB2312"/>
          <w:color w:val="auto"/>
          <w:kern w:val="0"/>
          <w:sz w:val="36"/>
          <w:szCs w:val="36"/>
          <w:highlight w:val="none"/>
          <w:lang w:eastAsia="zh-CN"/>
        </w:rPr>
        <w:t>202</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年度）</w:t>
      </w:r>
    </w:p>
    <w:p w14:paraId="39238FD4">
      <w:pPr>
        <w:spacing w:line="540" w:lineRule="exact"/>
        <w:jc w:val="center"/>
        <w:rPr>
          <w:rFonts w:eastAsia="仿宋_GB2312"/>
          <w:color w:val="auto"/>
          <w:kern w:val="0"/>
          <w:sz w:val="30"/>
          <w:szCs w:val="30"/>
          <w:highlight w:val="none"/>
        </w:rPr>
      </w:pPr>
    </w:p>
    <w:p w14:paraId="321E7DE9">
      <w:pPr>
        <w:spacing w:line="540" w:lineRule="exact"/>
        <w:jc w:val="center"/>
        <w:rPr>
          <w:rFonts w:eastAsia="仿宋_GB2312"/>
          <w:color w:val="auto"/>
          <w:kern w:val="0"/>
          <w:sz w:val="30"/>
          <w:szCs w:val="30"/>
          <w:highlight w:val="none"/>
        </w:rPr>
      </w:pPr>
    </w:p>
    <w:p w14:paraId="4B76EFDA">
      <w:pPr>
        <w:spacing w:line="540" w:lineRule="exact"/>
        <w:jc w:val="center"/>
        <w:rPr>
          <w:rFonts w:eastAsia="仿宋_GB2312"/>
          <w:color w:val="auto"/>
          <w:kern w:val="0"/>
          <w:sz w:val="30"/>
          <w:szCs w:val="30"/>
          <w:highlight w:val="none"/>
        </w:rPr>
      </w:pPr>
    </w:p>
    <w:p w14:paraId="6811B3E6">
      <w:pPr>
        <w:spacing w:line="540" w:lineRule="exact"/>
        <w:jc w:val="center"/>
        <w:rPr>
          <w:rFonts w:eastAsia="仿宋_GB2312"/>
          <w:color w:val="auto"/>
          <w:kern w:val="0"/>
          <w:sz w:val="30"/>
          <w:szCs w:val="30"/>
          <w:highlight w:val="none"/>
        </w:rPr>
      </w:pPr>
    </w:p>
    <w:p w14:paraId="3342C57F">
      <w:pPr>
        <w:spacing w:line="540" w:lineRule="exact"/>
        <w:rPr>
          <w:rFonts w:eastAsia="仿宋_GB2312"/>
          <w:color w:val="auto"/>
          <w:kern w:val="0"/>
          <w:sz w:val="30"/>
          <w:szCs w:val="30"/>
          <w:highlight w:val="none"/>
        </w:rPr>
      </w:pPr>
    </w:p>
    <w:p w14:paraId="50F800C8">
      <w:pPr>
        <w:spacing w:line="700" w:lineRule="exact"/>
        <w:ind w:firstLine="1440" w:firstLineChars="400"/>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val="en-US" w:eastAsia="zh-CN"/>
        </w:rPr>
        <w:t>生态环境监察项目</w:t>
      </w:r>
    </w:p>
    <w:p w14:paraId="075881AB">
      <w:pPr>
        <w:spacing w:line="700" w:lineRule="exact"/>
        <w:ind w:left="1491" w:leftChars="683" w:hanging="57" w:hangingChars="16"/>
        <w:jc w:val="left"/>
        <w:rPr>
          <w:rFonts w:eastAsia="仿宋_GB2312"/>
          <w:color w:val="auto"/>
          <w:kern w:val="0"/>
          <w:sz w:val="36"/>
          <w:szCs w:val="36"/>
          <w:highlight w:val="none"/>
        </w:rPr>
      </w:pPr>
      <w:r>
        <w:rPr>
          <w:rFonts w:eastAsia="仿宋_GB2312"/>
          <w:color w:val="auto"/>
          <w:kern w:val="0"/>
          <w:sz w:val="36"/>
          <w:szCs w:val="36"/>
          <w:highlight w:val="none"/>
        </w:rPr>
        <w:t>实施单位（公章）：</w:t>
      </w:r>
      <w:r>
        <w:rPr>
          <w:rFonts w:hint="eastAsia" w:eastAsia="仿宋_GB2312"/>
          <w:color w:val="auto"/>
          <w:kern w:val="0"/>
          <w:sz w:val="36"/>
          <w:szCs w:val="36"/>
          <w:highlight w:val="none"/>
        </w:rPr>
        <w:t>新疆维吾尔自治区生态环境厅第六生态环境监察专员办公室</w:t>
      </w:r>
    </w:p>
    <w:p w14:paraId="22659ABC">
      <w:pPr>
        <w:spacing w:line="700" w:lineRule="exact"/>
        <w:ind w:firstLine="1440" w:firstLineChars="400"/>
        <w:jc w:val="left"/>
        <w:rPr>
          <w:rFonts w:hint="eastAsia" w:eastAsia="仿宋_GB2312"/>
          <w:color w:val="auto"/>
          <w:w w:val="85"/>
          <w:kern w:val="0"/>
          <w:sz w:val="36"/>
          <w:szCs w:val="36"/>
          <w:highlight w:val="none"/>
          <w:lang w:val="en-US" w:eastAsia="zh-CN"/>
        </w:rPr>
      </w:pPr>
      <w:r>
        <w:rPr>
          <w:rFonts w:eastAsia="仿宋_GB2312"/>
          <w:color w:val="auto"/>
          <w:kern w:val="0"/>
          <w:sz w:val="36"/>
          <w:szCs w:val="36"/>
          <w:highlight w:val="none"/>
        </w:rPr>
        <w:t>主</w:t>
      </w:r>
      <w:r>
        <w:rPr>
          <w:rFonts w:hint="eastAsia" w:eastAsia="仿宋_GB2312"/>
          <w:color w:val="auto"/>
          <w:kern w:val="0"/>
          <w:sz w:val="36"/>
          <w:szCs w:val="36"/>
          <w:highlight w:val="none"/>
          <w:lang w:val="en-US" w:eastAsia="zh-CN"/>
        </w:rPr>
        <w:t>管部门（公章）：</w:t>
      </w:r>
      <w:r>
        <w:rPr>
          <w:rFonts w:hint="eastAsia" w:eastAsia="仿宋_GB2312"/>
          <w:color w:val="auto"/>
          <w:w w:val="85"/>
          <w:kern w:val="0"/>
          <w:sz w:val="36"/>
          <w:szCs w:val="36"/>
          <w:highlight w:val="none"/>
          <w:lang w:val="en-US" w:eastAsia="zh-CN"/>
        </w:rPr>
        <w:t>新疆维吾尔自治区生态环境厅</w:t>
      </w:r>
    </w:p>
    <w:p w14:paraId="5E75445C">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val="en-US" w:eastAsia="zh-CN"/>
        </w:rPr>
        <w:t>王继勇</w:t>
      </w:r>
    </w:p>
    <w:p w14:paraId="3E65E356">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2025</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2</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24</w:t>
      </w:r>
      <w:r>
        <w:rPr>
          <w:rFonts w:eastAsia="仿宋_GB2312"/>
          <w:color w:val="auto"/>
          <w:kern w:val="0"/>
          <w:sz w:val="36"/>
          <w:szCs w:val="36"/>
          <w:highlight w:val="none"/>
        </w:rPr>
        <w:t>日</w:t>
      </w:r>
    </w:p>
    <w:p w14:paraId="0D58C20A">
      <w:pPr>
        <w:spacing w:line="540" w:lineRule="exact"/>
        <w:jc w:val="center"/>
        <w:rPr>
          <w:rFonts w:eastAsia="仿宋_GB2312"/>
          <w:color w:val="auto"/>
          <w:kern w:val="0"/>
          <w:sz w:val="30"/>
          <w:szCs w:val="30"/>
          <w:highlight w:val="none"/>
        </w:rPr>
      </w:pPr>
    </w:p>
    <w:p w14:paraId="787E8C63">
      <w:pPr>
        <w:spacing w:line="540" w:lineRule="exact"/>
        <w:rPr>
          <w:rStyle w:val="24"/>
          <w:rFonts w:eastAsia="黑体"/>
          <w:b w:val="0"/>
          <w:color w:val="auto"/>
          <w:spacing w:val="-4"/>
          <w:sz w:val="32"/>
          <w:szCs w:val="32"/>
          <w:highlight w:val="none"/>
        </w:rPr>
      </w:pPr>
    </w:p>
    <w:p w14:paraId="7D6FCC90">
      <w:pPr>
        <w:spacing w:line="540" w:lineRule="exact"/>
        <w:ind w:firstLine="640"/>
        <w:rPr>
          <w:rStyle w:val="24"/>
          <w:rFonts w:eastAsia="黑体"/>
          <w:b w:val="0"/>
          <w:color w:val="auto"/>
          <w:spacing w:val="-4"/>
          <w:sz w:val="32"/>
          <w:szCs w:val="32"/>
          <w:highlight w:val="none"/>
        </w:rPr>
      </w:pPr>
    </w:p>
    <w:p w14:paraId="44F7E9A3">
      <w:pPr>
        <w:spacing w:line="540" w:lineRule="exact"/>
        <w:rPr>
          <w:rStyle w:val="24"/>
          <w:rFonts w:eastAsia="黑体"/>
          <w:b w:val="0"/>
          <w:color w:val="auto"/>
          <w:spacing w:val="-4"/>
          <w:sz w:val="32"/>
          <w:szCs w:val="32"/>
          <w:highlight w:val="none"/>
        </w:rPr>
      </w:pPr>
    </w:p>
    <w:p w14:paraId="70710935">
      <w:pPr>
        <w:spacing w:line="600" w:lineRule="exact"/>
        <w:jc w:val="center"/>
        <w:rPr>
          <w:rFonts w:eastAsia="黑体"/>
          <w:bCs/>
          <w:color w:val="auto"/>
          <w:sz w:val="32"/>
          <w:szCs w:val="32"/>
          <w:highlight w:val="none"/>
        </w:rPr>
      </w:pPr>
    </w:p>
    <w:p w14:paraId="1D39D107">
      <w:pPr>
        <w:spacing w:line="600" w:lineRule="exact"/>
        <w:rPr>
          <w:rFonts w:eastAsia="黑体"/>
          <w:bCs/>
          <w:color w:val="auto"/>
          <w:sz w:val="32"/>
          <w:szCs w:val="32"/>
          <w:highlight w:val="none"/>
        </w:rPr>
      </w:pPr>
      <w:r>
        <w:rPr>
          <w:rFonts w:eastAsia="黑体"/>
          <w:bCs/>
          <w:color w:val="auto"/>
          <w:sz w:val="32"/>
          <w:szCs w:val="32"/>
          <w:highlight w:val="none"/>
        </w:rPr>
        <w:t>一、基本情况</w:t>
      </w:r>
    </w:p>
    <w:p w14:paraId="61B19459">
      <w:pPr>
        <w:spacing w:line="600" w:lineRule="exact"/>
        <w:ind w:firstLine="641"/>
        <w:rPr>
          <w:rFonts w:eastAsia="楷体_GB2312"/>
          <w:b/>
          <w:bCs/>
          <w:color w:val="auto"/>
          <w:sz w:val="32"/>
          <w:szCs w:val="32"/>
          <w:highlight w:val="none"/>
        </w:rPr>
      </w:pPr>
      <w:r>
        <w:rPr>
          <w:rFonts w:eastAsia="楷体_GB2312"/>
          <w:b/>
          <w:bCs/>
          <w:color w:val="auto"/>
          <w:sz w:val="32"/>
          <w:szCs w:val="32"/>
          <w:highlight w:val="none"/>
        </w:rPr>
        <w:t>（一）项目概况</w:t>
      </w:r>
    </w:p>
    <w:p w14:paraId="3BF073ED">
      <w:pPr>
        <w:spacing w:line="600" w:lineRule="exact"/>
        <w:ind w:firstLine="641"/>
        <w:rPr>
          <w:rFonts w:eastAsia="仿宋_GB2312"/>
          <w:b/>
          <w:bCs/>
          <w:color w:val="auto"/>
          <w:sz w:val="32"/>
          <w:szCs w:val="32"/>
          <w:highlight w:val="none"/>
        </w:rPr>
      </w:pPr>
      <w:r>
        <w:rPr>
          <w:rFonts w:eastAsia="仿宋_GB2312"/>
          <w:b/>
          <w:bCs/>
          <w:color w:val="auto"/>
          <w:sz w:val="32"/>
          <w:szCs w:val="32"/>
          <w:highlight w:val="none"/>
        </w:rPr>
        <w:t>1、项目背景</w:t>
      </w:r>
    </w:p>
    <w:p w14:paraId="6D359168">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2019年自治区生态环境厅在全疆设立六个监察专员办公室。新疆维吾尔自治区生态环境厅第六生态环境监察专员办公室根据《关于自治区生态环境厅6个生态环境监察专员办公室编制和具体职责的批复》（新党编办</w:t>
      </w:r>
      <w:r>
        <w:rPr>
          <w:rFonts w:eastAsia="仿宋_GB2312"/>
          <w:color w:val="auto"/>
          <w:kern w:val="0"/>
          <w:sz w:val="32"/>
          <w:szCs w:val="32"/>
          <w:highlight w:val="none"/>
        </w:rPr>
        <w:t>〔</w:t>
      </w:r>
      <w:r>
        <w:rPr>
          <w:rFonts w:hint="eastAsia" w:ascii="仿宋_GB2312" w:eastAsia="仿宋_GB2312"/>
          <w:color w:val="auto"/>
          <w:sz w:val="32"/>
          <w:szCs w:val="32"/>
          <w:highlight w:val="none"/>
        </w:rPr>
        <w:t>2019</w:t>
      </w:r>
      <w:r>
        <w:rPr>
          <w:rFonts w:eastAsia="仿宋_GB2312"/>
          <w:color w:val="auto"/>
          <w:kern w:val="0"/>
          <w:sz w:val="32"/>
          <w:szCs w:val="32"/>
          <w:highlight w:val="none"/>
        </w:rPr>
        <w:t>〕</w:t>
      </w:r>
      <w:r>
        <w:rPr>
          <w:rFonts w:hint="eastAsia" w:ascii="仿宋_GB2312" w:eastAsia="仿宋_GB2312"/>
          <w:color w:val="auto"/>
          <w:sz w:val="32"/>
          <w:szCs w:val="32"/>
          <w:highlight w:val="none"/>
        </w:rPr>
        <w:t>59号）要求，我办负责对克州、喀什地区、和田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1E712AC2">
      <w:pPr>
        <w:pStyle w:val="19"/>
        <w:numPr>
          <w:ilvl w:val="0"/>
          <w:numId w:val="1"/>
        </w:numPr>
        <w:spacing w:before="0" w:after="0" w:line="60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2B3B8C08">
      <w:pPr>
        <w:spacing w:line="540" w:lineRule="exact"/>
        <w:ind w:firstLine="640" w:firstLineChars="200"/>
        <w:rPr>
          <w:color w:val="auto"/>
          <w:highlight w:val="none"/>
        </w:rPr>
      </w:pPr>
      <w:r>
        <w:rPr>
          <w:rFonts w:hint="eastAsia" w:ascii="仿宋_GB2312" w:hAnsi="仿宋_GB2312" w:eastAsia="仿宋_GB2312" w:cs="仿宋_GB2312"/>
          <w:color w:val="auto"/>
          <w:sz w:val="32"/>
          <w:szCs w:val="32"/>
          <w:highlight w:val="none"/>
        </w:rPr>
        <w:t>项目主要内容：根据生态环境监察专员办公室职责，202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第六生态环境监察专员办公室开展克州、喀什、和田地区生态环境监察工作，突出第二轮中央环保督察“回头看”、配合自治区环保督察开展现场监察和日常督导等重点工作，同时根据中央生态环境保护督察涉及</w:t>
      </w:r>
      <w:bookmarkStart w:id="4" w:name="_GoBack"/>
      <w:bookmarkEnd w:id="4"/>
      <w:r>
        <w:rPr>
          <w:rFonts w:hint="eastAsia" w:ascii="仿宋_GB2312" w:hAnsi="仿宋_GB2312" w:eastAsia="仿宋_GB2312" w:cs="仿宋_GB2312"/>
          <w:color w:val="auto"/>
          <w:sz w:val="32"/>
          <w:szCs w:val="32"/>
          <w:highlight w:val="none"/>
        </w:rPr>
        <w:t>的整改任务，督促辖区各地州生态环境保护工作持续改善，覆盖生态环境监察区域3个，形成督察检查专项报告及整改情况报告3次，监督（监察）频次</w:t>
      </w:r>
      <w:r>
        <w:rPr>
          <w:rFonts w:ascii="仿宋_GB2312" w:hAnsi="仿宋_GB2312" w:eastAsia="仿宋_GB2312" w:cs="仿宋_GB2312"/>
          <w:color w:val="auto"/>
          <w:sz w:val="32"/>
          <w:szCs w:val="32"/>
          <w:highlight w:val="none"/>
        </w:rPr>
        <w:t>9</w:t>
      </w:r>
      <w:r>
        <w:rPr>
          <w:rFonts w:hint="eastAsia" w:ascii="仿宋_GB2312" w:hAnsi="仿宋_GB2312" w:eastAsia="仿宋_GB2312" w:cs="仿宋_GB2312"/>
          <w:color w:val="auto"/>
          <w:sz w:val="32"/>
          <w:szCs w:val="32"/>
          <w:highlight w:val="none"/>
        </w:rPr>
        <w:t>次，报告质量通过率和区域覆盖率达到100%，</w:t>
      </w:r>
      <w:r>
        <w:rPr>
          <w:rFonts w:hint="eastAsia" w:ascii="仿宋_GB2312" w:hAnsi="仿宋_GB2312" w:eastAsia="仿宋_GB2312" w:cs="仿宋_GB2312"/>
          <w:color w:val="auto"/>
          <w:sz w:val="32"/>
          <w:szCs w:val="32"/>
          <w:highlight w:val="none"/>
          <w:lang w:val="en-US" w:eastAsia="zh-CN"/>
        </w:rPr>
        <w:t>监察结果反馈率和跟踪督办率达到100%，检查人员被投诉次数不高于2次，</w:t>
      </w:r>
      <w:r>
        <w:rPr>
          <w:rFonts w:hint="eastAsia" w:ascii="仿宋_GB2312" w:hAnsi="仿宋_GB2312" w:eastAsia="仿宋_GB2312" w:cs="仿宋_GB2312"/>
          <w:color w:val="auto"/>
          <w:sz w:val="32"/>
          <w:szCs w:val="32"/>
          <w:highlight w:val="none"/>
        </w:rPr>
        <w:t>持续开展生态环境保护监察、督察工作，不断构建新型生态环境保护监察体系，</w:t>
      </w:r>
      <w:r>
        <w:rPr>
          <w:rFonts w:hint="eastAsia" w:ascii="仿宋_GB2312" w:hAnsi="仿宋_GB2312" w:eastAsia="仿宋_GB2312" w:cs="仿宋_GB2312"/>
          <w:color w:val="auto"/>
          <w:sz w:val="32"/>
          <w:szCs w:val="32"/>
          <w:highlight w:val="none"/>
          <w:lang w:val="en-US" w:eastAsia="zh-CN"/>
        </w:rPr>
        <w:t>达到辖区生态环境保护质量持续改善的效果。</w:t>
      </w:r>
      <w:r>
        <w:rPr>
          <w:rFonts w:hint="eastAsia" w:ascii="仿宋_GB2312" w:hAnsi="仿宋_GB2312" w:eastAsia="仿宋_GB2312" w:cs="仿宋_GB2312"/>
          <w:color w:val="auto"/>
          <w:sz w:val="32"/>
          <w:szCs w:val="32"/>
          <w:highlight w:val="none"/>
        </w:rPr>
        <w:t>开展以上工作产生的费用共计90万元。</w:t>
      </w:r>
    </w:p>
    <w:p w14:paraId="0F28A36E">
      <w:pPr>
        <w:spacing w:line="600" w:lineRule="exact"/>
        <w:ind w:firstLine="640" w:firstLineChars="200"/>
        <w:rPr>
          <w:rFonts w:hint="eastAsia" w:eastAsia="仿宋_GB2312"/>
          <w:color w:val="auto"/>
          <w:sz w:val="32"/>
          <w:szCs w:val="32"/>
          <w:highlight w:val="none"/>
        </w:rPr>
      </w:pPr>
      <w:r>
        <w:rPr>
          <w:rFonts w:eastAsia="仿宋_GB2312"/>
          <w:color w:val="auto"/>
          <w:sz w:val="32"/>
          <w:szCs w:val="32"/>
          <w:highlight w:val="none"/>
        </w:rPr>
        <w:t>项目实施情况：</w:t>
      </w:r>
      <w:r>
        <w:rPr>
          <w:rFonts w:hint="eastAsia" w:eastAsia="仿宋_GB2312"/>
          <w:color w:val="auto"/>
          <w:sz w:val="32"/>
          <w:szCs w:val="32"/>
          <w:highlight w:val="none"/>
          <w:lang w:val="en-US" w:eastAsia="zh-CN"/>
        </w:rPr>
        <w:t>一是</w:t>
      </w:r>
      <w:r>
        <w:rPr>
          <w:rFonts w:hint="eastAsia" w:eastAsia="仿宋_GB2312"/>
          <w:color w:val="auto"/>
          <w:sz w:val="32"/>
          <w:szCs w:val="32"/>
          <w:highlight w:val="none"/>
        </w:rPr>
        <w:t>配合开展第二轮中央生态环境保护督察反馈意见整改下沉督导调研。按照《新疆维吾尔自治区和新疆生产建设兵团贯彻落实第二轮中央生态环境保护督察报告整改方案》要求，选派干部四次配合自治区督导三组对克州、喀什、和田3个地（州）进行了下沉督导调研。领导和干部同甘共苦、并肩作战，牺牲周末时间对南疆三地（州）第二轮中央生态环境保护督察主动认领的29项整改任务（克州10项、喀什地区10项、和田地区9项）做到了现场督导全覆盖。通过听取汇报、召开座谈会、调阅资料、现场抽查、组内讨论等方式，累计调阅了22个地（州）直部门24个县（市）3000余份整改档案材料，与南疆三地（州）整改办、10个整改任务较重的地（州）直部门和14个县（市）进行了座谈，现场督导96个点位，累计向南疆三地（州）整改办致反馈、提醒函12份（反馈函9份，提醒函3份），指出存在的各类问题43个（克州16个，喀什地区14个，和田地区13个）。目前，反馈、提醒的43个问题已整改40个（克州15个，喀什地区13个，和田地区12个），其余3个问题正在整改中。</w:t>
      </w:r>
    </w:p>
    <w:p w14:paraId="205B3A56">
      <w:pPr>
        <w:spacing w:line="560" w:lineRule="exact"/>
        <w:ind w:firstLine="640" w:firstLineChars="200"/>
        <w:rPr>
          <w:rStyle w:val="54"/>
          <w:rFonts w:hint="eastAsia" w:ascii="仿宋_GB2312" w:hAnsi="仿宋_GB2312" w:cs="仿宋_GB2312"/>
          <w:bCs/>
          <w:color w:val="auto"/>
          <w:sz w:val="32"/>
          <w:szCs w:val="32"/>
          <w:highlight w:val="none"/>
          <w:lang w:val="en-US"/>
        </w:rPr>
      </w:pPr>
      <w:r>
        <w:rPr>
          <w:rStyle w:val="54"/>
          <w:rFonts w:hint="eastAsia" w:ascii="仿宋_GB2312" w:hAnsi="仿宋_GB2312" w:cs="仿宋_GB2312"/>
          <w:bCs/>
          <w:color w:val="auto"/>
          <w:sz w:val="32"/>
          <w:szCs w:val="32"/>
          <w:highlight w:val="none"/>
          <w:lang w:val="en-US"/>
        </w:rPr>
        <w:t>二是扎实开展和田地区、克州生态环境保护例行督察。一是在和田地区，分三个小组赴和田地区8个县（市）开展前期调研，累计核查点位181个，新发现问题线索46条；在克州，分两个小组赴克州4个县（市）开展前期调研，累计核查点位111个，新发现问题线索34条。二是在和田地区，与12名在职厅级领导、7名重点县（市）主要负责同志进行了个别谈话，对14个地直相关部门和单位开展了走访问询，调查问询有关部门单位负责人28人次；在克州，与14名在职厅级领导、4名重点县（市）主要负责同志进行了个别谈话，对12个州直相关部门和单位开展了走访问询，调查问询有关部门单位负责人24人次。三是在和田地区，调阅了13批共5000余份资料，确定了6个方面29个具体问题线索，分5个工作组下沉至和田地区8个县（市）开展问题线索深入调查及核实取证，现场检查点位161个；在克州，调阅了12批共3800余份资料，确定了6个方面20个具体问题线索，分3个工作组下沉至克州4个县（市）开展问题线索深入调查及核实取证，现场检查点位93个。四是在和田地区，受理转办群众来电来信举报43件，对10件重点信访投诉件开展跟踪督办并回访群众，形成了6个典型案例及1篇督察报告报厅党组审阅。目前，督察报告已向和田地区进行了反馈，督察组交办的43件群众信访投诉件已办结37件，阶段性办结1件，未办结5件。责令企业整改13家，责令停产整治1家，移送公安机关1家，立案处罚3家，罚款金额337.03万元；在克州，受理转办群众来电来信举报32件，对8件重点信访投诉件开展跟踪督办并回访群众，形成了6个典型案例及1篇督察报告报厅党组审阅。目前，督察报告已向克州进行了反馈，督察组交办的32件群众信访投诉件已办结26件，未办结6件，责令企业整改5家。</w:t>
      </w:r>
    </w:p>
    <w:p w14:paraId="70F4852B">
      <w:pPr>
        <w:spacing w:line="560" w:lineRule="exact"/>
        <w:ind w:firstLine="640" w:firstLineChars="200"/>
        <w:rPr>
          <w:rFonts w:hint="default"/>
          <w:color w:val="auto"/>
          <w:highlight w:val="none"/>
          <w:lang w:val="en-US"/>
        </w:rPr>
      </w:pPr>
      <w:r>
        <w:rPr>
          <w:rStyle w:val="54"/>
          <w:rFonts w:hint="eastAsia" w:ascii="仿宋_GB2312" w:hAnsi="仿宋_GB2312" w:cs="仿宋_GB2312"/>
          <w:bCs/>
          <w:color w:val="auto"/>
          <w:sz w:val="32"/>
          <w:szCs w:val="32"/>
          <w:highlight w:val="none"/>
          <w:lang w:val="en-US"/>
        </w:rPr>
        <w:t>三是扎实开展喀什地区自治区生态环境保护督察“回头看”。通过采取听取汇报、座谈交流、现场核实和查阅资料等方式，组织干部就喀什地区12个县（市）2023年自治区生态环境保护督察反馈问题开展“回头看”。目前，已向喀什地委办、行署办致函反馈问题八大类24个。</w:t>
      </w:r>
    </w:p>
    <w:p w14:paraId="1ED8A263">
      <w:pPr>
        <w:spacing w:line="6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130731A8">
      <w:pPr>
        <w:spacing w:line="600" w:lineRule="exact"/>
        <w:ind w:firstLine="640" w:firstLineChars="200"/>
        <w:rPr>
          <w:rFonts w:eastAsia="仿宋_GB2312"/>
          <w:color w:val="auto"/>
          <w:sz w:val="20"/>
          <w:szCs w:val="20"/>
          <w:highlight w:val="none"/>
        </w:rPr>
      </w:pPr>
      <w:r>
        <w:rPr>
          <w:rFonts w:eastAsia="仿宋_GB2312"/>
          <w:color w:val="auto"/>
          <w:sz w:val="32"/>
          <w:szCs w:val="32"/>
          <w:highlight w:val="none"/>
        </w:rPr>
        <w:t>（1）资金安排</w:t>
      </w:r>
    </w:p>
    <w:p w14:paraId="63554AEC">
      <w:pPr>
        <w:spacing w:line="600" w:lineRule="exact"/>
        <w:ind w:firstLine="640" w:firstLineChars="200"/>
        <w:rPr>
          <w:rFonts w:eastAsia="仿宋_GB2312"/>
          <w:color w:val="auto"/>
          <w:sz w:val="32"/>
          <w:szCs w:val="32"/>
          <w:highlight w:val="none"/>
        </w:rPr>
      </w:pPr>
      <w:r>
        <w:rPr>
          <w:rFonts w:hint="default" w:eastAsia="仿宋_GB2312"/>
          <w:color w:val="auto"/>
          <w:sz w:val="32"/>
          <w:szCs w:val="32"/>
          <w:highlight w:val="none"/>
          <w:lang w:val="en-US" w:eastAsia="zh-CN"/>
        </w:rPr>
        <w:t>该项目年初预算数</w:t>
      </w:r>
      <w:r>
        <w:rPr>
          <w:rFonts w:hint="eastAsia" w:eastAsia="仿宋_GB2312"/>
          <w:color w:val="auto"/>
          <w:sz w:val="32"/>
          <w:szCs w:val="32"/>
          <w:highlight w:val="none"/>
          <w:lang w:val="en-US" w:eastAsia="zh-CN"/>
        </w:rPr>
        <w:t>90</w:t>
      </w:r>
      <w:r>
        <w:rPr>
          <w:rFonts w:hint="default" w:eastAsia="仿宋_GB2312"/>
          <w:color w:val="auto"/>
          <w:sz w:val="32"/>
          <w:szCs w:val="32"/>
          <w:highlight w:val="none"/>
          <w:lang w:val="en-US" w:eastAsia="zh-CN"/>
        </w:rPr>
        <w:t>万元，全年预算数</w:t>
      </w:r>
      <w:r>
        <w:rPr>
          <w:rFonts w:hint="eastAsia" w:eastAsia="仿宋_GB2312"/>
          <w:color w:val="auto"/>
          <w:sz w:val="32"/>
          <w:szCs w:val="32"/>
          <w:highlight w:val="none"/>
          <w:lang w:val="en-US" w:eastAsia="zh-CN"/>
        </w:rPr>
        <w:t>90</w:t>
      </w:r>
      <w:r>
        <w:rPr>
          <w:rFonts w:hint="default" w:eastAsia="仿宋_GB2312"/>
          <w:color w:val="auto"/>
          <w:sz w:val="32"/>
          <w:szCs w:val="32"/>
          <w:highlight w:val="none"/>
          <w:lang w:val="en-US" w:eastAsia="zh-CN"/>
        </w:rPr>
        <w:t>万元，该项目资金已全部落实到位，资金来源为</w:t>
      </w:r>
      <w:r>
        <w:rPr>
          <w:rFonts w:hint="eastAsia" w:eastAsia="仿宋_GB2312"/>
          <w:color w:val="auto"/>
          <w:sz w:val="32"/>
          <w:szCs w:val="32"/>
          <w:highlight w:val="none"/>
          <w:lang w:val="en-US" w:eastAsia="zh-CN"/>
        </w:rPr>
        <w:t>财政拨款</w:t>
      </w:r>
      <w:r>
        <w:rPr>
          <w:rFonts w:hint="default" w:eastAsia="仿宋_GB2312"/>
          <w:color w:val="auto"/>
          <w:sz w:val="32"/>
          <w:szCs w:val="32"/>
          <w:highlight w:val="none"/>
          <w:lang w:val="en-US" w:eastAsia="zh-CN"/>
        </w:rPr>
        <w:t>。</w:t>
      </w:r>
    </w:p>
    <w:p w14:paraId="073C4FA3">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（2）预算使用情况</w:t>
      </w:r>
      <w:bookmarkStart w:id="0" w:name="page10"/>
      <w:bookmarkEnd w:id="0"/>
    </w:p>
    <w:p w14:paraId="35375A4C">
      <w:pPr>
        <w:pStyle w:val="19"/>
        <w:spacing w:before="0" w:after="0" w:line="600" w:lineRule="exact"/>
        <w:ind w:firstLine="640" w:firstLineChars="200"/>
        <w:jc w:val="both"/>
        <w:rPr>
          <w:rFonts w:ascii="Times New Roman" w:hAnsi="Times New Roman" w:eastAsia="仿宋_GB2312"/>
          <w:b w:val="0"/>
          <w:bCs w:val="0"/>
          <w:color w:val="auto"/>
          <w:kern w:val="2"/>
          <w:highlight w:val="none"/>
        </w:rPr>
      </w:pPr>
      <w:r>
        <w:rPr>
          <w:rFonts w:hint="default" w:ascii="Times New Roman" w:hAnsi="Times New Roman" w:eastAsia="仿宋_GB2312"/>
          <w:b w:val="0"/>
          <w:bCs w:val="0"/>
          <w:color w:val="auto"/>
          <w:kern w:val="2"/>
          <w:highlight w:val="none"/>
          <w:lang w:val="en-US" w:eastAsia="zh-CN"/>
        </w:rPr>
        <w:t>该项目年初预算数</w:t>
      </w:r>
      <w:r>
        <w:rPr>
          <w:rFonts w:hint="eastAsia" w:ascii="Times New Roman" w:hAnsi="Times New Roman" w:eastAsia="仿宋_GB2312"/>
          <w:b w:val="0"/>
          <w:bCs w:val="0"/>
          <w:color w:val="auto"/>
          <w:kern w:val="2"/>
          <w:highlight w:val="none"/>
          <w:lang w:val="en-US" w:eastAsia="zh-CN"/>
        </w:rPr>
        <w:t>90</w:t>
      </w:r>
      <w:r>
        <w:rPr>
          <w:rFonts w:hint="default" w:ascii="Times New Roman" w:hAnsi="Times New Roman" w:eastAsia="仿宋_GB2312"/>
          <w:b w:val="0"/>
          <w:bCs w:val="0"/>
          <w:color w:val="auto"/>
          <w:kern w:val="2"/>
          <w:highlight w:val="none"/>
          <w:lang w:val="en-US" w:eastAsia="zh-CN"/>
        </w:rPr>
        <w:t>万元，全年预算数</w:t>
      </w:r>
      <w:r>
        <w:rPr>
          <w:rFonts w:hint="eastAsia" w:ascii="Times New Roman" w:hAnsi="Times New Roman" w:eastAsia="仿宋_GB2312"/>
          <w:b w:val="0"/>
          <w:bCs w:val="0"/>
          <w:color w:val="auto"/>
          <w:kern w:val="2"/>
          <w:highlight w:val="none"/>
          <w:lang w:val="en-US" w:eastAsia="zh-CN"/>
        </w:rPr>
        <w:t>90</w:t>
      </w:r>
      <w:r>
        <w:rPr>
          <w:rFonts w:hint="default" w:ascii="Times New Roman" w:hAnsi="Times New Roman" w:eastAsia="仿宋_GB2312"/>
          <w:b w:val="0"/>
          <w:bCs w:val="0"/>
          <w:color w:val="auto"/>
          <w:kern w:val="2"/>
          <w:highlight w:val="none"/>
          <w:lang w:val="en-US" w:eastAsia="zh-CN"/>
        </w:rPr>
        <w:t>万元</w:t>
      </w:r>
      <w:r>
        <w:rPr>
          <w:rFonts w:hint="eastAsia" w:ascii="Times New Roman" w:hAnsi="Times New Roman" w:eastAsia="仿宋_GB2312"/>
          <w:b w:val="0"/>
          <w:bCs w:val="0"/>
          <w:color w:val="auto"/>
          <w:kern w:val="2"/>
          <w:highlight w:val="none"/>
          <w:lang w:val="en-US" w:eastAsia="zh-CN"/>
        </w:rPr>
        <w:t>，</w:t>
      </w:r>
      <w:r>
        <w:rPr>
          <w:rFonts w:hint="default" w:ascii="Times New Roman" w:hAnsi="Times New Roman" w:eastAsia="仿宋_GB2312"/>
          <w:b w:val="0"/>
          <w:bCs w:val="0"/>
          <w:color w:val="auto"/>
          <w:kern w:val="2"/>
          <w:highlight w:val="none"/>
          <w:lang w:val="en-US" w:eastAsia="zh-CN"/>
        </w:rPr>
        <w:t>全年执行数</w:t>
      </w:r>
      <w:r>
        <w:rPr>
          <w:rFonts w:hint="eastAsia" w:ascii="Times New Roman" w:hAnsi="Times New Roman" w:eastAsia="仿宋_GB2312"/>
          <w:b w:val="0"/>
          <w:bCs w:val="0"/>
          <w:color w:val="auto"/>
          <w:kern w:val="2"/>
          <w:highlight w:val="none"/>
          <w:lang w:val="en-US" w:eastAsia="zh-CN"/>
        </w:rPr>
        <w:t>88.28</w:t>
      </w:r>
      <w:r>
        <w:rPr>
          <w:rFonts w:hint="default" w:ascii="Times New Roman" w:hAnsi="Times New Roman" w:eastAsia="仿宋_GB2312"/>
          <w:b w:val="0"/>
          <w:bCs w:val="0"/>
          <w:color w:val="auto"/>
          <w:kern w:val="2"/>
          <w:highlight w:val="none"/>
          <w:lang w:val="en-US" w:eastAsia="zh-CN"/>
        </w:rPr>
        <w:t>万元，预算执行率为</w:t>
      </w:r>
      <w:r>
        <w:rPr>
          <w:rFonts w:hint="eastAsia" w:ascii="Times New Roman" w:hAnsi="Times New Roman" w:eastAsia="仿宋_GB2312"/>
          <w:b w:val="0"/>
          <w:bCs w:val="0"/>
          <w:color w:val="auto"/>
          <w:kern w:val="2"/>
          <w:highlight w:val="none"/>
          <w:lang w:val="en-US" w:eastAsia="zh-CN"/>
        </w:rPr>
        <w:t>98.09</w:t>
      </w:r>
      <w:r>
        <w:rPr>
          <w:rFonts w:hint="default" w:ascii="Times New Roman" w:hAnsi="Times New Roman" w:eastAsia="仿宋_GB2312"/>
          <w:b w:val="0"/>
          <w:bCs w:val="0"/>
          <w:color w:val="auto"/>
          <w:kern w:val="2"/>
          <w:highlight w:val="none"/>
          <w:lang w:val="en-US" w:eastAsia="zh-CN"/>
        </w:rPr>
        <w:t>%，主要用于：</w:t>
      </w:r>
      <w:r>
        <w:rPr>
          <w:rFonts w:ascii="Times New Roman" w:hAnsi="Times New Roman" w:eastAsia="仿宋_GB2312"/>
          <w:b w:val="0"/>
          <w:bCs w:val="0"/>
          <w:color w:val="auto"/>
          <w:kern w:val="2"/>
          <w:highlight w:val="none"/>
        </w:rPr>
        <w:t>支付项目实施进程中的各项费用。</w:t>
      </w:r>
    </w:p>
    <w:p w14:paraId="2D0A1078">
      <w:pPr>
        <w:spacing w:line="60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按照单位财务制度等相关规定，资金支出符合</w:t>
      </w:r>
      <w:r>
        <w:rPr>
          <w:rFonts w:hint="eastAsia" w:ascii="Times New Roman" w:hAnsi="Times New Roman" w:eastAsia="仿宋_GB2312" w:cs="Times New Roman"/>
          <w:color w:val="auto"/>
          <w:sz w:val="32"/>
          <w:szCs w:val="32"/>
          <w:highlight w:val="none"/>
          <w:lang w:val="en-US" w:eastAsia="zh-CN"/>
        </w:rPr>
        <w:t>生态环境监察</w:t>
      </w:r>
      <w:r>
        <w:rPr>
          <w:rFonts w:ascii="Times New Roman" w:hAnsi="Times New Roman" w:eastAsia="仿宋_GB2312" w:cs="Times New Roman"/>
          <w:color w:val="auto"/>
          <w:sz w:val="32"/>
          <w:szCs w:val="32"/>
          <w:highlight w:val="none"/>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color w:val="auto"/>
          <w:sz w:val="32"/>
          <w:szCs w:val="32"/>
          <w:highlight w:val="none"/>
          <w:lang w:val="en-US" w:eastAsia="zh-CN"/>
        </w:rPr>
        <w:t>生态环境监察项目</w:t>
      </w:r>
      <w:r>
        <w:rPr>
          <w:rFonts w:ascii="Times New Roman" w:hAnsi="Times New Roman" w:eastAsia="仿宋_GB2312" w:cs="Times New Roman"/>
          <w:color w:val="auto"/>
          <w:sz w:val="32"/>
          <w:szCs w:val="32"/>
          <w:highlight w:val="none"/>
        </w:rPr>
        <w:t>资金的拨付程序，认真审核项目实施各阶段的相关材料和手续，根据项目实施进展情况拨付资金。</w:t>
      </w:r>
    </w:p>
    <w:p w14:paraId="2EC8D69C">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12509291">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76CB994F">
      <w:pPr>
        <w:spacing w:line="560" w:lineRule="exact"/>
        <w:ind w:firstLine="640" w:firstLineChars="200"/>
        <w:rPr>
          <w:rFonts w:eastAsia="黑体"/>
          <w:bCs/>
          <w:color w:val="auto"/>
          <w:highlight w:val="none"/>
        </w:rPr>
      </w:pPr>
      <w:r>
        <w:rPr>
          <w:rFonts w:hint="eastAsia" w:ascii="仿宋_GB2312" w:hAnsi="仿宋_GB2312" w:eastAsia="仿宋_GB2312" w:cs="仿宋_GB2312"/>
          <w:color w:val="auto"/>
          <w:sz w:val="32"/>
          <w:szCs w:val="32"/>
          <w:highlight w:val="none"/>
        </w:rPr>
        <w:t>根据生态环境监察专员办公室职责，202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新疆维吾尔自治区生态环境厅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3个，形成督察检查专项报告及整改情况报告3次，监察频次</w:t>
      </w:r>
      <w:r>
        <w:rPr>
          <w:rFonts w:ascii="仿宋_GB2312" w:hAnsi="仿宋_GB2312" w:eastAsia="仿宋_GB2312" w:cs="仿宋_GB2312"/>
          <w:color w:val="auto"/>
          <w:sz w:val="32"/>
          <w:szCs w:val="32"/>
          <w:highlight w:val="none"/>
        </w:rPr>
        <w:t>9</w:t>
      </w:r>
      <w:r>
        <w:rPr>
          <w:rFonts w:hint="eastAsia" w:ascii="仿宋_GB2312" w:hAnsi="仿宋_GB2312" w:eastAsia="仿宋_GB2312" w:cs="仿宋_GB2312"/>
          <w:color w:val="auto"/>
          <w:sz w:val="32"/>
          <w:szCs w:val="32"/>
          <w:highlight w:val="none"/>
        </w:rPr>
        <w:t>次，报告质量通过率和区域覆盖率达到100%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监察结果反馈率和跟踪督办率达到100%，检查人员被投诉次数不高于5次，</w:t>
      </w:r>
      <w:r>
        <w:rPr>
          <w:rFonts w:hint="eastAsia" w:ascii="仿宋_GB2312" w:hAnsi="仿宋_GB2312" w:eastAsia="仿宋_GB2312" w:cs="仿宋_GB2312"/>
          <w:color w:val="auto"/>
          <w:sz w:val="32"/>
          <w:szCs w:val="32"/>
          <w:highlight w:val="none"/>
        </w:rPr>
        <w:t>持续开展生态环境保护监察、督察工作，督促当地生态环境保护工作持续改善，不断构建新型生态环境保护监察体系。</w:t>
      </w:r>
    </w:p>
    <w:p w14:paraId="5CEF05A7">
      <w:pPr>
        <w:spacing w:line="600" w:lineRule="exact"/>
        <w:ind w:firstLine="640" w:firstLineChars="200"/>
        <w:rPr>
          <w:color w:val="auto"/>
          <w:highlight w:val="none"/>
        </w:rPr>
      </w:pPr>
      <w:r>
        <w:rPr>
          <w:rFonts w:eastAsia="仿宋_GB2312"/>
          <w:color w:val="auto"/>
          <w:sz w:val="32"/>
          <w:szCs w:val="32"/>
          <w:highlight w:val="none"/>
        </w:rPr>
        <w:t>2、阶段性目标</w:t>
      </w:r>
    </w:p>
    <w:p w14:paraId="22FA2CEF">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（1）前期准备：</w:t>
      </w:r>
      <w:r>
        <w:rPr>
          <w:rFonts w:hint="eastAsia" w:ascii="仿宋_GB2312" w:hAnsi="仿宋_GB2312" w:eastAsia="仿宋_GB2312" w:cs="仿宋_GB2312"/>
          <w:color w:val="auto"/>
          <w:sz w:val="32"/>
          <w:szCs w:val="32"/>
          <w:highlight w:val="none"/>
        </w:rPr>
        <w:t>通过制定月度项目实施计划，经我办全体大会通过后，有序开展后续项目。</w:t>
      </w:r>
    </w:p>
    <w:p w14:paraId="467B8B4B">
      <w:pPr>
        <w:spacing w:line="600" w:lineRule="exact"/>
        <w:ind w:firstLine="640" w:firstLineChars="200"/>
        <w:rPr>
          <w:rFonts w:eastAsia="黑体"/>
          <w:color w:val="auto"/>
          <w:sz w:val="32"/>
          <w:szCs w:val="32"/>
          <w:highlight w:val="none"/>
        </w:rPr>
      </w:pPr>
      <w:r>
        <w:rPr>
          <w:rFonts w:eastAsia="仿宋_GB2312"/>
          <w:color w:val="auto"/>
          <w:sz w:val="32"/>
          <w:szCs w:val="32"/>
          <w:highlight w:val="none"/>
        </w:rPr>
        <w:t>（2）组织实施：</w:t>
      </w:r>
      <w:r>
        <w:rPr>
          <w:rFonts w:hint="eastAsia" w:ascii="仿宋_GB2312" w:hAnsi="仿宋_GB2312" w:eastAsia="仿宋_GB2312" w:cs="仿宋_GB2312"/>
          <w:color w:val="auto"/>
          <w:sz w:val="32"/>
          <w:szCs w:val="32"/>
          <w:highlight w:val="none"/>
        </w:rPr>
        <w:t>资金一到位，立即根据项目要求实施计划。按照要求逐一进行项目部署安排，提高项目质量及效率性。</w:t>
      </w:r>
      <w:r>
        <w:rPr>
          <w:rFonts w:eastAsia="黑体"/>
          <w:color w:val="auto"/>
          <w:sz w:val="32"/>
          <w:szCs w:val="32"/>
          <w:highlight w:val="none"/>
        </w:rPr>
        <w:t>二、绩效评价工作开展情况</w:t>
      </w:r>
    </w:p>
    <w:p w14:paraId="19A7A18C">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5F8BEEC9">
      <w:pPr>
        <w:pStyle w:val="1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E57CD8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6F6B094">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2.</w:t>
      </w:r>
      <w:r>
        <w:rPr>
          <w:rFonts w:ascii="Times New Roman" w:hAnsi="Times New Roman" w:eastAsia="仿宋_GB2312"/>
          <w:b w:val="0"/>
          <w:bCs w:val="0"/>
          <w:color w:val="auto"/>
          <w:highlight w:val="none"/>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46DF51A">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3.</w:t>
      </w:r>
      <w:r>
        <w:rPr>
          <w:rFonts w:ascii="Times New Roman" w:hAnsi="Times New Roman" w:eastAsia="仿宋_GB2312"/>
          <w:b w:val="0"/>
          <w:bCs w:val="0"/>
          <w:color w:val="auto"/>
          <w:highlight w:val="none"/>
        </w:rPr>
        <w:t>绩效评价的对象</w:t>
      </w:r>
    </w:p>
    <w:p w14:paraId="24BF427D">
      <w:pPr>
        <w:pStyle w:val="19"/>
        <w:widowControl w:val="0"/>
        <w:spacing w:before="0" w:after="0" w:line="560" w:lineRule="exact"/>
        <w:ind w:firstLine="640" w:firstLineChars="200"/>
        <w:jc w:val="both"/>
        <w:outlineLvl w:val="9"/>
        <w:rPr>
          <w:rFonts w:ascii="仿宋_GB2312" w:hAnsi="仿宋_GB2312" w:eastAsia="仿宋_GB2312" w:cs="仿宋_GB2312"/>
          <w:color w:val="auto"/>
          <w:sz w:val="32"/>
          <w:szCs w:val="32"/>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新疆维吾尔自治区生态环境厅第六生态环境监察专员办公室</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rPr>
        <w:t>持续开展生态环境保护监察、督察工作，不断构建新型生态环境保护监察体系，</w:t>
      </w:r>
      <w:r>
        <w:rPr>
          <w:rFonts w:hint="eastAsia" w:ascii="Times New Roman" w:hAnsi="Times New Roman" w:eastAsia="仿宋_GB2312" w:cs="Times New Roman"/>
          <w:b w:val="0"/>
          <w:bCs w:val="0"/>
          <w:highlight w:val="none"/>
          <w:lang w:val="en-US" w:eastAsia="zh-CN"/>
        </w:rPr>
        <w:t>达到辖区生态环境保护质量持续改善的效果</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1B11862">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4.</w:t>
      </w:r>
      <w:r>
        <w:rPr>
          <w:rFonts w:ascii="Times New Roman" w:hAnsi="Times New Roman" w:eastAsia="仿宋_GB2312"/>
          <w:b w:val="0"/>
          <w:bCs w:val="0"/>
          <w:color w:val="auto"/>
          <w:highlight w:val="none"/>
        </w:rPr>
        <w:t>绩效评价的范围</w:t>
      </w:r>
    </w:p>
    <w:p w14:paraId="3F83EA6E">
      <w:pPr>
        <w:pStyle w:val="1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37392FF9">
      <w:pPr>
        <w:spacing w:line="60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34FD6713">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54F7682A">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478CDC7C">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43148162">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7DE8B000">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266160E0">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15A808EC">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16A0C9AC">
      <w:pPr>
        <w:spacing w:line="60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72D0DC5A">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1933B66E">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197623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30D9766F">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分，项目过程权重为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分，项目产出权重为</w:t>
      </w:r>
      <w:r>
        <w:rPr>
          <w:rFonts w:hint="eastAsia" w:eastAsia="仿宋_GB2312"/>
          <w:color w:val="auto"/>
          <w:spacing w:val="17"/>
          <w:sz w:val="32"/>
          <w:szCs w:val="32"/>
          <w:highlight w:val="none"/>
          <w:lang w:val="en-US" w:eastAsia="zh-CN"/>
        </w:rPr>
        <w:t>40</w:t>
      </w:r>
      <w:r>
        <w:rPr>
          <w:rFonts w:eastAsia="仿宋_GB2312"/>
          <w:color w:val="auto"/>
          <w:spacing w:val="17"/>
          <w:sz w:val="32"/>
          <w:szCs w:val="32"/>
          <w:highlight w:val="none"/>
        </w:rPr>
        <w:t>分，项目效益权重为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w:t>
      </w:r>
    </w:p>
    <w:p w14:paraId="3C8E679A">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3E43A90B">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0FB3C075">
      <w:pPr>
        <w:pStyle w:val="19"/>
        <w:spacing w:before="0" w:after="0" w:line="600" w:lineRule="exact"/>
        <w:ind w:firstLine="708" w:firstLineChars="200"/>
        <w:jc w:val="both"/>
        <w:rPr>
          <w:rFonts w:ascii="Times New Roman" w:hAnsi="Times New Roman" w:eastAsia="仿宋_GB2312"/>
          <w:b w:val="0"/>
          <w:bCs w:val="0"/>
          <w:color w:val="auto"/>
          <w:spacing w:val="17"/>
          <w:kern w:val="2"/>
          <w:highlight w:val="none"/>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DA84F2B">
      <w:pPr>
        <w:pStyle w:val="19"/>
        <w:widowControl w:val="0"/>
        <w:spacing w:before="0" w:after="0" w:line="60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1304A376">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0AF7F53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4BBBA76C">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4CEAAB28">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4CBD98FF">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25E19936">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26AA3318">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671BE402">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5AA8E82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绩效评价标准通常包括计划标准、行业标准、历史标准等，用于对绩效指标完成情况进行比较。本次评价主要采用了计划标准和</w:t>
      </w:r>
      <w:r>
        <w:rPr>
          <w:rFonts w:hint="eastAsia" w:eastAsia="仿宋_GB2312"/>
          <w:color w:val="auto"/>
          <w:spacing w:val="17"/>
          <w:sz w:val="32"/>
          <w:szCs w:val="32"/>
          <w:highlight w:val="none"/>
          <w:lang w:val="en-US" w:eastAsia="zh-CN"/>
        </w:rPr>
        <w:t>历史</w:t>
      </w:r>
      <w:r>
        <w:rPr>
          <w:rFonts w:eastAsia="仿宋_GB2312"/>
          <w:color w:val="auto"/>
          <w:spacing w:val="17"/>
          <w:sz w:val="32"/>
          <w:szCs w:val="32"/>
          <w:highlight w:val="none"/>
        </w:rPr>
        <w:t>标准。</w:t>
      </w:r>
    </w:p>
    <w:p w14:paraId="0CC81FC1">
      <w:pPr>
        <w:pStyle w:val="19"/>
        <w:numPr>
          <w:ilvl w:val="0"/>
          <w:numId w:val="3"/>
        </w:numPr>
        <w:spacing w:before="0" w:after="0" w:line="60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497BC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BB0013">
      <w:pPr>
        <w:numPr>
          <w:ilvl w:val="0"/>
          <w:numId w:val="4"/>
        </w:numPr>
        <w:spacing w:line="60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7B419597">
      <w:pPr>
        <w:pStyle w:val="1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color w:val="auto"/>
          <w:sz w:val="32"/>
          <w:szCs w:val="32"/>
          <w:highlight w:val="none"/>
          <w:lang w:val="en-US" w:eastAsia="zh-CN"/>
        </w:rPr>
        <w:t>生态环境监察项目</w:t>
      </w:r>
      <w:r>
        <w:rPr>
          <w:rFonts w:hint="default"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rPr>
        <w:t>开展喀什地区、克州、和田地区生态环境保护监察工作，聚焦第二轮中央生态环境督察“回头看”，开展第二轮中央生态环境督察和自治区生态环境保护督察整改任务和自治区级生态环境保护督察和督导工作任务</w:t>
      </w:r>
      <w:r>
        <w:rPr>
          <w:rFonts w:hint="default" w:ascii="Times New Roman" w:hAnsi="Times New Roman" w:eastAsia="仿宋_GB2312" w:cs="Times New Roman"/>
          <w:color w:val="auto"/>
          <w:sz w:val="32"/>
          <w:szCs w:val="32"/>
          <w:highlight w:val="none"/>
        </w:rPr>
        <w:t>等方面表现出色，达到了预期的标准与要求。同时，项目也在</w:t>
      </w:r>
      <w:r>
        <w:rPr>
          <w:rFonts w:hint="eastAsia" w:ascii="Times New Roman" w:hAnsi="Times New Roman" w:eastAsia="仿宋_GB2312" w:cs="Times New Roman"/>
          <w:color w:val="auto"/>
          <w:sz w:val="32"/>
          <w:szCs w:val="32"/>
          <w:highlight w:val="none"/>
          <w:lang w:val="en-US" w:eastAsia="zh-CN"/>
        </w:rPr>
        <w:t>派驻督察和监察检查方面</w:t>
      </w:r>
      <w:r>
        <w:rPr>
          <w:rFonts w:hint="default" w:ascii="Times New Roman" w:hAnsi="Times New Roman" w:eastAsia="仿宋_GB2312" w:cs="Times New Roman"/>
          <w:color w:val="auto"/>
          <w:sz w:val="32"/>
          <w:szCs w:val="32"/>
          <w:highlight w:val="none"/>
        </w:rPr>
        <w:t>取得了显著的成效，如</w:t>
      </w:r>
      <w:r>
        <w:rPr>
          <w:rFonts w:hint="eastAsia" w:ascii="Times New Roman" w:hAnsi="Times New Roman" w:eastAsia="仿宋_GB2312" w:cs="Times New Roman"/>
          <w:color w:val="auto"/>
          <w:sz w:val="32"/>
          <w:szCs w:val="32"/>
          <w:highlight w:val="none"/>
          <w:lang w:val="en-US"/>
        </w:rPr>
        <w:t>推动“绿水青山就是金山银山”的理念成为全党全社会的高度共识</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rPr>
        <w:t>生态环境保护“党政同责”“一岗双责”得到有效落实</w:t>
      </w:r>
      <w:r>
        <w:rPr>
          <w:rFonts w:hint="default" w:ascii="Times New Roman" w:hAnsi="Times New Roman" w:eastAsia="仿宋_GB2312" w:cs="Times New Roman"/>
          <w:color w:val="auto"/>
          <w:sz w:val="32"/>
          <w:szCs w:val="32"/>
          <w:highlight w:val="none"/>
        </w:rPr>
        <w:t>等。</w:t>
      </w:r>
    </w:p>
    <w:p w14:paraId="5D343ED6">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第六生态环境监察专员办公室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A1D552">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ascii="Times New Roman" w:hAnsi="Times New Roman"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监察结果反馈率与跟踪督办率</w:t>
      </w:r>
      <w:r>
        <w:rPr>
          <w:rFonts w:hint="default" w:ascii="Times New Roman" w:hAnsi="Times New Roman" w:eastAsia="仿宋_GB2312" w:cs="Times New Roman"/>
          <w:sz w:val="32"/>
          <w:szCs w:val="32"/>
          <w:highlight w:val="none"/>
        </w:rPr>
        <w:t>的提升，为项目的利益相关者带来了实实在在的利益。</w:t>
      </w:r>
    </w:p>
    <w:p w14:paraId="080B899D">
      <w:pPr>
        <w:pStyle w:val="19"/>
        <w:widowControl w:val="0"/>
        <w:spacing w:before="0" w:after="0" w:line="600" w:lineRule="exact"/>
        <w:ind w:firstLine="640" w:firstLineChars="200"/>
        <w:jc w:val="both"/>
        <w:outlineLvl w:val="9"/>
        <w:rPr>
          <w:rFonts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综上所述，</w:t>
      </w:r>
      <w:r>
        <w:rPr>
          <w:rFonts w:hint="eastAsia" w:ascii="Times New Roman" w:hAnsi="Times New Roman" w:eastAsia="仿宋_GB2312" w:cs="Times New Roman"/>
          <w:b w:val="0"/>
          <w:bCs w:val="0"/>
          <w:color w:val="auto"/>
          <w:highlight w:val="none"/>
          <w:lang w:val="en-US" w:eastAsia="zh-CN"/>
        </w:rPr>
        <w:t>生态环境监察项目</w:t>
      </w:r>
      <w:r>
        <w:rPr>
          <w:rFonts w:hint="default" w:ascii="Times New Roman" w:hAnsi="Times New Roman" w:eastAsia="仿宋_GB2312" w:cs="Times New Roman"/>
          <w:b w:val="0"/>
          <w:bCs w:val="0"/>
          <w:color w:val="auto"/>
          <w:highlight w:val="none"/>
        </w:rPr>
        <w:t>在绩效评价中表现出色，达到了项目的预期目标，并在多个方面取得了显著的成效。</w:t>
      </w:r>
    </w:p>
    <w:p w14:paraId="54598732">
      <w:pPr>
        <w:pStyle w:val="1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E0A5623">
      <w:pPr>
        <w:pStyle w:val="19"/>
        <w:widowControl w:val="0"/>
        <w:spacing w:before="0" w:after="0" w:line="600" w:lineRule="exact"/>
        <w:ind w:firstLine="640" w:firstLineChars="200"/>
        <w:jc w:val="both"/>
        <w:outlineLvl w:val="9"/>
        <w:rPr>
          <w:rFonts w:ascii="Times New Roman" w:hAnsi="Times New Roman" w:eastAsia="仿宋_GB2312"/>
          <w:color w:val="auto"/>
          <w:sz w:val="30"/>
          <w:szCs w:val="3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w:t>
      </w:r>
      <w:r>
        <w:rPr>
          <w:rFonts w:ascii="Times New Roman" w:hAnsi="Times New Roman" w:eastAsia="仿宋_GB2312"/>
          <w:b w:val="0"/>
          <w:bCs w:val="0"/>
          <w:color w:val="auto"/>
          <w:highlight w:val="none"/>
        </w:rPr>
        <w:t>最终评分结果：总得分为</w:t>
      </w:r>
      <w:r>
        <w:rPr>
          <w:rFonts w:hint="eastAsia" w:ascii="Times New Roman" w:hAnsi="Times New Roman" w:eastAsia="仿宋_GB2312"/>
          <w:b w:val="0"/>
          <w:bCs w:val="0"/>
          <w:color w:val="auto"/>
          <w:highlight w:val="none"/>
          <w:lang w:val="en-US" w:eastAsia="zh-CN"/>
        </w:rPr>
        <w:t>99.92</w:t>
      </w:r>
      <w:r>
        <w:rPr>
          <w:rFonts w:ascii="Times New Roman" w:hAnsi="Times New Roman" w:eastAsia="仿宋_GB2312"/>
          <w:b w:val="0"/>
          <w:bCs w:val="0"/>
          <w:color w:val="auto"/>
          <w:highlight w:val="none"/>
        </w:rPr>
        <w:t>分，属于“优”。其中，项目决策类指标权重为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%。项目过程类指标权重为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19.92</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99.60</w:t>
      </w:r>
      <w:r>
        <w:rPr>
          <w:rFonts w:ascii="Times New Roman" w:hAnsi="Times New Roman" w:eastAsia="仿宋_GB2312"/>
          <w:b w:val="0"/>
          <w:bCs w:val="0"/>
          <w:color w:val="auto"/>
          <w:highlight w:val="none"/>
        </w:rPr>
        <w:t>%。项目产出类指标权重为</w:t>
      </w:r>
      <w:r>
        <w:rPr>
          <w:rFonts w:hint="eastAsia" w:ascii="Times New Roman" w:hAnsi="Times New Roman" w:eastAsia="仿宋_GB2312"/>
          <w:b w:val="0"/>
          <w:bCs w:val="0"/>
          <w:color w:val="auto"/>
          <w:highlight w:val="none"/>
        </w:rPr>
        <w:t>40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40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%。项目效益类指标权重为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w:t>
      </w:r>
    </w:p>
    <w:p w14:paraId="0DA8308E">
      <w:pPr>
        <w:pStyle w:val="1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22"/>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19.92</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99.92</w:t>
            </w:r>
          </w:p>
        </w:tc>
      </w:tr>
    </w:tbl>
    <w:p w14:paraId="2F178E84">
      <w:pPr>
        <w:pageBreakBefore w:val="0"/>
        <w:kinsoku/>
        <w:wordWrap/>
        <w:overflowPunct/>
        <w:topLinePunct w:val="0"/>
        <w:autoSpaceDE/>
        <w:autoSpaceDN/>
        <w:bidi w:val="0"/>
        <w:adjustRightInd/>
        <w:snapToGrid/>
        <w:spacing w:line="560" w:lineRule="exact"/>
        <w:ind w:firstLine="320" w:firstLineChars="100"/>
        <w:textAlignment w:val="auto"/>
        <w:rPr>
          <w:rFonts w:eastAsia="黑体"/>
          <w:color w:val="auto"/>
          <w:sz w:val="32"/>
          <w:szCs w:val="32"/>
          <w:highlight w:val="none"/>
        </w:rPr>
      </w:pPr>
    </w:p>
    <w:p w14:paraId="1DBEA33C">
      <w:pPr>
        <w:pageBreakBefore w:val="0"/>
        <w:kinsoku/>
        <w:wordWrap/>
        <w:overflowPunct/>
        <w:topLinePunct w:val="0"/>
        <w:autoSpaceDE/>
        <w:autoSpaceDN/>
        <w:bidi w:val="0"/>
        <w:adjustRightInd/>
        <w:snapToGrid/>
        <w:spacing w:line="560" w:lineRule="exact"/>
        <w:ind w:firstLine="320" w:firstLineChars="100"/>
        <w:textAlignment w:val="auto"/>
        <w:rPr>
          <w:rFonts w:eastAsia="黑体"/>
          <w:color w:val="auto"/>
          <w:sz w:val="32"/>
          <w:szCs w:val="32"/>
          <w:highlight w:val="none"/>
        </w:rPr>
      </w:pPr>
      <w:r>
        <w:rPr>
          <w:rFonts w:eastAsia="黑体"/>
          <w:color w:val="auto"/>
          <w:sz w:val="32"/>
          <w:szCs w:val="32"/>
          <w:highlight w:val="none"/>
        </w:rPr>
        <w:t>四、绩效评价指标分析</w:t>
      </w:r>
    </w:p>
    <w:p w14:paraId="682A7450">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587CC5E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A11470">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B93BFCA">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hint="eastAsia" w:ascii="Times New Roman" w:hAnsi="Times New Roman" w:eastAsia="楷体_GB2312"/>
          <w:color w:val="auto"/>
          <w:highlight w:val="none"/>
        </w:rPr>
        <w:t>（二）</w:t>
      </w:r>
      <w:r>
        <w:rPr>
          <w:rFonts w:ascii="Times New Roman" w:hAnsi="Times New Roman" w:eastAsia="楷体_GB2312"/>
          <w:color w:val="auto"/>
          <w:highlight w:val="none"/>
        </w:rPr>
        <w:t>项目过程情况</w:t>
      </w:r>
    </w:p>
    <w:p w14:paraId="217CF8C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w:t>
      </w:r>
      <w:r>
        <w:rPr>
          <w:rFonts w:hint="default" w:ascii="Times New Roman" w:hAnsi="Times New Roman" w:eastAsia="仿宋_GB2312" w:cs="Times New Roman"/>
          <w:sz w:val="32"/>
          <w:szCs w:val="32"/>
          <w:highlight w:val="none"/>
          <w:lang w:val="en-US" w:eastAsia="zh-CN"/>
        </w:rPr>
        <w:t>为20分，实际得分</w:t>
      </w:r>
      <w:r>
        <w:rPr>
          <w:rFonts w:hint="eastAsia" w:eastAsia="仿宋_GB2312" w:cs="Times New Roman"/>
          <w:sz w:val="32"/>
          <w:szCs w:val="32"/>
          <w:highlight w:val="none"/>
          <w:lang w:val="en-US" w:eastAsia="zh-CN"/>
        </w:rPr>
        <w:t>19.92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99.60</w:t>
      </w:r>
      <w:r>
        <w:rPr>
          <w:rFonts w:hint="default" w:ascii="Times New Roman" w:hAnsi="Times New Roman" w:eastAsia="仿宋_GB2312" w:cs="Times New Roman"/>
          <w:sz w:val="32"/>
          <w:szCs w:val="32"/>
          <w:highlight w:val="none"/>
          <w:lang w:val="en-US" w:eastAsia="zh-CN"/>
        </w:rPr>
        <w:t>%。</w:t>
      </w:r>
    </w:p>
    <w:p w14:paraId="348574CD">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w:t>
      </w:r>
      <w:r>
        <w:rPr>
          <w:rFonts w:hint="default" w:ascii="Times New Roman" w:hAnsi="Times New Roman" w:eastAsia="仿宋_GB2312" w:cs="Times New Roman"/>
          <w:sz w:val="32"/>
          <w:szCs w:val="32"/>
          <w:highlight w:val="none"/>
          <w:lang w:val="en-US" w:eastAsia="zh-CN"/>
        </w:rPr>
        <w:t>算编制较为详细，项目资金支出总体能够按照预算执行，预算资金支出</w:t>
      </w:r>
      <w:r>
        <w:rPr>
          <w:rFonts w:hint="eastAsia" w:ascii="Times New Roman" w:hAnsi="Times New Roman" w:eastAsia="仿宋_GB2312" w:cs="Times New Roman"/>
          <w:sz w:val="32"/>
          <w:szCs w:val="32"/>
          <w:highlight w:val="none"/>
          <w:lang w:val="en-US" w:eastAsia="zh-CN"/>
        </w:rPr>
        <w:t>88.28</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98.09</w:t>
      </w:r>
      <w:r>
        <w:rPr>
          <w:rFonts w:hint="default" w:ascii="Times New Roman" w:hAnsi="Times New Roman" w:eastAsia="仿宋_GB2312" w:cs="Times New Roman"/>
          <w:sz w:val="32"/>
          <w:szCs w:val="32"/>
          <w:highlight w:val="none"/>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13F5ED2">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hint="eastAsia" w:ascii="Times New Roman" w:hAnsi="Times New Roman" w:eastAsia="楷体_GB2312"/>
          <w:color w:val="auto"/>
          <w:highlight w:val="none"/>
        </w:rPr>
        <w:t>（三）</w:t>
      </w:r>
      <w:r>
        <w:rPr>
          <w:rFonts w:ascii="Times New Roman" w:hAnsi="Times New Roman" w:eastAsia="楷体_GB2312"/>
          <w:color w:val="auto"/>
          <w:highlight w:val="none"/>
        </w:rPr>
        <w:t>项目产出</w:t>
      </w:r>
    </w:p>
    <w:p w14:paraId="2000369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rPr>
      </w:pPr>
      <w:r>
        <w:rPr>
          <w:rStyle w:val="53"/>
          <w:rFonts w:hint="eastAsia" w:ascii="仿宋_GB2312" w:hAnsi="仿宋_GB2312" w:eastAsia="仿宋_GB2312" w:cs="仿宋_GB2312"/>
          <w:b w:val="0"/>
          <w:bCs w:val="0"/>
          <w:color w:val="auto"/>
          <w:highlight w:val="none"/>
          <w:lang w:val="en-US" w:eastAsia="zh-CN"/>
        </w:rPr>
        <w:t>项目产出类指标包括产出数量、产出质量、产出时效、产出成本四方面的内容，由7个三级指标构成，权重分为40分，实际得分40分，得分率为100%。具体产出指标完成情况如下：</w:t>
      </w:r>
    </w:p>
    <w:p w14:paraId="2FB14D8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rPr>
      </w:pPr>
      <w:r>
        <w:rPr>
          <w:rStyle w:val="53"/>
          <w:rFonts w:hint="eastAsia" w:ascii="仿宋_GB2312" w:hAnsi="仿宋_GB2312" w:eastAsia="仿宋_GB2312" w:cs="仿宋_GB2312"/>
          <w:b w:val="0"/>
          <w:bCs w:val="0"/>
          <w:color w:val="auto"/>
          <w:highlight w:val="none"/>
        </w:rPr>
        <w:t>数量指标方面：</w:t>
      </w:r>
    </w:p>
    <w:p w14:paraId="2E122C38">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a.</w:t>
      </w:r>
      <w:r>
        <w:rPr>
          <w:rFonts w:hint="eastAsia" w:ascii="仿宋_GB2312" w:hAnsi="仿宋_GB2312" w:eastAsia="仿宋_GB2312" w:cs="仿宋_GB2312"/>
          <w:b w:val="0"/>
          <w:bCs w:val="0"/>
          <w:color w:val="auto"/>
          <w:sz w:val="32"/>
          <w:szCs w:val="32"/>
          <w:highlight w:val="none"/>
        </w:rPr>
        <w:t>覆盖生态环境监察区域</w:t>
      </w:r>
      <w:r>
        <w:rPr>
          <w:rFonts w:hint="eastAsia" w:ascii="仿宋_GB2312" w:hAnsi="仿宋_GB2312" w:eastAsia="仿宋_GB2312" w:cs="仿宋_GB2312"/>
          <w:b w:val="0"/>
          <w:bCs w:val="0"/>
          <w:color w:val="auto"/>
          <w:kern w:val="2"/>
          <w:sz w:val="32"/>
          <w:szCs w:val="32"/>
          <w:highlight w:val="none"/>
          <w:lang w:val="en-US" w:eastAsia="zh-CN" w:bidi="ar-SA"/>
        </w:rPr>
        <w:t>指标，指标值为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3个，实际完成3个，完成率100%，偏差率0%。</w:t>
      </w:r>
    </w:p>
    <w:p w14:paraId="22B88E47">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b.</w:t>
      </w:r>
      <w:r>
        <w:rPr>
          <w:rFonts w:hint="eastAsia" w:ascii="仿宋_GB2312" w:hAnsi="仿宋_GB2312" w:eastAsia="仿宋_GB2312" w:cs="仿宋_GB2312"/>
          <w:b w:val="0"/>
          <w:bCs w:val="0"/>
          <w:color w:val="auto"/>
          <w:sz w:val="32"/>
          <w:szCs w:val="32"/>
          <w:highlight w:val="none"/>
        </w:rPr>
        <w:t>监督（监察）频次</w:t>
      </w:r>
      <w:r>
        <w:rPr>
          <w:rFonts w:hint="eastAsia" w:ascii="仿宋_GB2312" w:hAnsi="仿宋_GB2312" w:eastAsia="仿宋_GB2312" w:cs="仿宋_GB2312"/>
          <w:b w:val="0"/>
          <w:bCs w:val="0"/>
          <w:color w:val="auto"/>
          <w:kern w:val="2"/>
          <w:sz w:val="32"/>
          <w:szCs w:val="32"/>
          <w:highlight w:val="none"/>
          <w:lang w:val="en-US" w:eastAsia="zh-CN" w:bidi="ar-SA"/>
        </w:rPr>
        <w:t>指标，指标值为</w:t>
      </w:r>
      <w:r>
        <w:rPr>
          <w:rFonts w:ascii="仿宋_GB2312" w:hAnsi="仿宋_GB2312" w:eastAsia="仿宋_GB2312" w:cs="仿宋_GB2312"/>
          <w:b w:val="0"/>
          <w:bCs w:val="0"/>
          <w:color w:val="auto"/>
          <w:sz w:val="32"/>
          <w:szCs w:val="32"/>
          <w:highlight w:val="none"/>
        </w:rPr>
        <w:t>＞=9</w:t>
      </w:r>
      <w:r>
        <w:rPr>
          <w:rFonts w:hint="eastAsia" w:ascii="仿宋_GB2312" w:hAnsi="仿宋_GB2312" w:eastAsia="仿宋_GB2312" w:cs="仿宋_GB2312"/>
          <w:b w:val="0"/>
          <w:bCs w:val="0"/>
          <w:color w:val="auto"/>
          <w:sz w:val="32"/>
          <w:szCs w:val="32"/>
          <w:highlight w:val="none"/>
          <w:lang w:val="en-US" w:eastAsia="zh-CN"/>
        </w:rPr>
        <w:t>次</w:t>
      </w:r>
      <w:r>
        <w:rPr>
          <w:rFonts w:hint="eastAsia" w:ascii="仿宋_GB2312" w:hAnsi="仿宋_GB2312" w:eastAsia="仿宋_GB2312" w:cs="仿宋_GB2312"/>
          <w:b w:val="0"/>
          <w:bCs w:val="0"/>
          <w:color w:val="auto"/>
          <w:kern w:val="2"/>
          <w:sz w:val="32"/>
          <w:szCs w:val="32"/>
          <w:highlight w:val="none"/>
          <w:lang w:val="en-US" w:eastAsia="zh-CN" w:bidi="ar-SA"/>
        </w:rPr>
        <w:t>，实际完成9次，完成率100%，偏差率0%。</w:t>
      </w:r>
    </w:p>
    <w:p w14:paraId="13C77C6A">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kern w:val="2"/>
          <w:sz w:val="32"/>
          <w:szCs w:val="32"/>
          <w:highlight w:val="none"/>
          <w:lang w:val="en-US" w:eastAsia="zh-CN" w:bidi="ar-SA"/>
        </w:rPr>
        <w:t>c.</w:t>
      </w:r>
      <w:r>
        <w:rPr>
          <w:rFonts w:hint="eastAsia" w:ascii="仿宋_GB2312" w:hAnsi="仿宋_GB2312" w:eastAsia="仿宋_GB2312" w:cs="仿宋_GB2312"/>
          <w:b w:val="0"/>
          <w:bCs w:val="0"/>
          <w:color w:val="auto"/>
          <w:sz w:val="32"/>
          <w:szCs w:val="32"/>
          <w:highlight w:val="none"/>
        </w:rPr>
        <w:t>形成督察检查专项报告，指标值</w:t>
      </w:r>
      <w:r>
        <w:rPr>
          <w:rFonts w:hint="eastAsia" w:ascii="仿宋_GB2312" w:hAnsi="仿宋_GB2312" w:eastAsia="仿宋_GB2312" w:cs="仿宋_GB2312"/>
          <w:b w:val="0"/>
          <w:bCs w:val="0"/>
          <w:color w:val="auto"/>
          <w:sz w:val="32"/>
          <w:szCs w:val="32"/>
          <w:highlight w:val="none"/>
          <w:lang w:val="en-US" w:eastAsia="zh-CN"/>
        </w:rPr>
        <w:t>为</w:t>
      </w:r>
      <w:r>
        <w:rPr>
          <w:rFonts w:ascii="仿宋_GB2312" w:hAnsi="仿宋_GB2312" w:eastAsia="仿宋_GB2312" w:cs="仿宋_GB2312"/>
          <w:b w:val="0"/>
          <w:bCs w:val="0"/>
          <w:color w:val="auto"/>
          <w:sz w:val="32"/>
          <w:szCs w:val="32"/>
          <w:highlight w:val="none"/>
        </w:rPr>
        <w:t>＞=3个</w:t>
      </w:r>
      <w:r>
        <w:rPr>
          <w:rFonts w:hint="eastAsia" w:ascii="仿宋_GB2312" w:hAnsi="仿宋_GB2312" w:eastAsia="仿宋_GB2312" w:cs="仿宋_GB2312"/>
          <w:b w:val="0"/>
          <w:bCs w:val="0"/>
          <w:color w:val="auto"/>
          <w:sz w:val="32"/>
          <w:szCs w:val="32"/>
          <w:highlight w:val="none"/>
        </w:rPr>
        <w:t>，实际完成</w:t>
      </w:r>
      <w:r>
        <w:rPr>
          <w:rFonts w:ascii="仿宋_GB2312" w:hAnsi="仿宋_GB2312" w:eastAsia="仿宋_GB2312" w:cs="仿宋_GB2312"/>
          <w:b w:val="0"/>
          <w:bCs w:val="0"/>
          <w:color w:val="auto"/>
          <w:sz w:val="32"/>
          <w:szCs w:val="32"/>
          <w:highlight w:val="none"/>
        </w:rPr>
        <w:t>3</w:t>
      </w:r>
      <w:r>
        <w:rPr>
          <w:rFonts w:hint="eastAsia" w:ascii="仿宋_GB2312" w:hAnsi="仿宋_GB2312" w:eastAsia="仿宋_GB2312" w:cs="仿宋_GB2312"/>
          <w:b w:val="0"/>
          <w:bCs w:val="0"/>
          <w:color w:val="auto"/>
          <w:sz w:val="32"/>
          <w:szCs w:val="32"/>
          <w:highlight w:val="none"/>
        </w:rPr>
        <w:t>个，完成率</w:t>
      </w:r>
      <w:r>
        <w:rPr>
          <w:rFonts w:ascii="仿宋_GB2312" w:hAnsi="仿宋_GB2312" w:eastAsia="仿宋_GB2312" w:cs="仿宋_GB2312"/>
          <w:b w:val="0"/>
          <w:bCs w:val="0"/>
          <w:color w:val="auto"/>
          <w:sz w:val="32"/>
          <w:szCs w:val="32"/>
          <w:highlight w:val="none"/>
        </w:rPr>
        <w:t>100</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偏差率0%</w:t>
      </w:r>
      <w:r>
        <w:rPr>
          <w:rFonts w:hint="eastAsia" w:ascii="仿宋_GB2312" w:hAnsi="仿宋_GB2312" w:eastAsia="仿宋_GB2312" w:cs="仿宋_GB2312"/>
          <w:b w:val="0"/>
          <w:bCs w:val="0"/>
          <w:color w:val="auto"/>
          <w:sz w:val="32"/>
          <w:szCs w:val="32"/>
          <w:highlight w:val="none"/>
        </w:rPr>
        <w:t>。</w:t>
      </w:r>
    </w:p>
    <w:p w14:paraId="48C8F9B1">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d.</w:t>
      </w:r>
      <w:r>
        <w:rPr>
          <w:rFonts w:hint="eastAsia" w:ascii="仿宋_GB2312" w:hAnsi="仿宋_GB2312" w:eastAsia="仿宋_GB2312" w:cs="仿宋_GB2312"/>
          <w:b w:val="0"/>
          <w:bCs w:val="0"/>
          <w:color w:val="auto"/>
          <w:sz w:val="32"/>
          <w:szCs w:val="32"/>
          <w:highlight w:val="none"/>
        </w:rPr>
        <w:t>形成环保督察整改情况报告</w:t>
      </w:r>
      <w:r>
        <w:rPr>
          <w:rFonts w:hint="eastAsia" w:ascii="仿宋_GB2312" w:hAnsi="仿宋_GB2312" w:eastAsia="仿宋_GB2312" w:cs="仿宋_GB2312"/>
          <w:b w:val="0"/>
          <w:bCs w:val="0"/>
          <w:color w:val="auto"/>
          <w:sz w:val="32"/>
          <w:szCs w:val="32"/>
          <w:highlight w:val="none"/>
          <w:lang w:val="en-US" w:eastAsia="zh-CN"/>
        </w:rPr>
        <w:t>指标，</w:t>
      </w:r>
      <w:r>
        <w:rPr>
          <w:rFonts w:hint="eastAsia" w:ascii="仿宋_GB2312" w:hAnsi="仿宋_GB2312" w:eastAsia="仿宋_GB2312" w:cs="仿宋_GB2312"/>
          <w:b w:val="0"/>
          <w:bCs w:val="0"/>
          <w:color w:val="auto"/>
          <w:kern w:val="2"/>
          <w:sz w:val="32"/>
          <w:szCs w:val="32"/>
          <w:highlight w:val="none"/>
          <w:lang w:val="en-US" w:eastAsia="zh-CN" w:bidi="ar-SA"/>
        </w:rPr>
        <w:t>指标值为</w:t>
      </w:r>
      <w:r>
        <w:rPr>
          <w:rFonts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3个，实际完成3个，完成率100%，偏差率0%。</w:t>
      </w:r>
    </w:p>
    <w:p w14:paraId="206457E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lang w:eastAsia="zh-CN"/>
        </w:rPr>
      </w:pPr>
      <w:r>
        <w:rPr>
          <w:rStyle w:val="53"/>
          <w:rFonts w:hint="eastAsia" w:ascii="仿宋_GB2312" w:hAnsi="仿宋_GB2312" w:eastAsia="仿宋_GB2312" w:cs="仿宋_GB2312"/>
          <w:b w:val="0"/>
          <w:bCs w:val="0"/>
          <w:color w:val="auto"/>
          <w:highlight w:val="none"/>
        </w:rPr>
        <w:t>质量指标方面：</w:t>
      </w:r>
    </w:p>
    <w:p w14:paraId="5DB02DDD">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highlight w:val="none"/>
          <w:lang w:val="en-US" w:eastAsia="zh-CN"/>
        </w:rPr>
        <w:t>a.报告质量通过率，</w:t>
      </w:r>
      <w:r>
        <w:rPr>
          <w:rFonts w:hint="eastAsia" w:ascii="仿宋_GB2312" w:hAnsi="仿宋_GB2312" w:eastAsia="仿宋_GB2312" w:cs="仿宋_GB2312"/>
          <w:b w:val="0"/>
          <w:bCs w:val="0"/>
          <w:color w:val="auto"/>
          <w:kern w:val="2"/>
          <w:sz w:val="32"/>
          <w:szCs w:val="32"/>
          <w:highlight w:val="none"/>
          <w:lang w:val="en-US" w:eastAsia="zh-CN" w:bidi="ar-SA"/>
        </w:rPr>
        <w:t>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100%，实际完成100%，完成率100%，偏差率0%。</w:t>
      </w:r>
    </w:p>
    <w:p w14:paraId="11DD03DF">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b.区域覆盖率，</w:t>
      </w:r>
      <w:r>
        <w:rPr>
          <w:rFonts w:hint="eastAsia" w:ascii="仿宋_GB2312" w:hAnsi="仿宋_GB2312" w:eastAsia="仿宋_GB2312" w:cs="仿宋_GB2312"/>
          <w:b w:val="0"/>
          <w:bCs w:val="0"/>
          <w:color w:val="auto"/>
          <w:kern w:val="2"/>
          <w:sz w:val="32"/>
          <w:szCs w:val="32"/>
          <w:highlight w:val="none"/>
          <w:lang w:val="en-US" w:eastAsia="zh-CN" w:bidi="ar-SA"/>
        </w:rPr>
        <w:t>指标</w:t>
      </w:r>
      <w:r>
        <w:rPr>
          <w:rFonts w:hint="eastAsia" w:ascii="仿宋_GB2312" w:hAnsi="仿宋_GB2312" w:eastAsia="仿宋_GB2312" w:cs="仿宋_GB2312"/>
          <w:b w:val="0"/>
          <w:bCs w:val="0"/>
          <w:color w:val="auto"/>
          <w:highlight w:val="none"/>
          <w:lang w:val="en-US" w:eastAsia="zh-CN"/>
        </w:rPr>
        <w:t>值为=100%，实际完成100%，完成率100%，偏差率0%。</w:t>
      </w:r>
    </w:p>
    <w:p w14:paraId="0B8A9CBB">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Style w:val="53"/>
          <w:rFonts w:hint="eastAsia" w:ascii="仿宋_GB2312" w:hAnsi="仿宋_GB2312" w:eastAsia="仿宋_GB2312" w:cs="仿宋_GB2312"/>
          <w:b w:val="0"/>
          <w:bCs w:val="0"/>
          <w:color w:val="auto"/>
          <w:highlight w:val="none"/>
          <w:lang w:val="en-US" w:eastAsia="zh-CN"/>
        </w:rPr>
        <w:t>时效</w:t>
      </w:r>
      <w:r>
        <w:rPr>
          <w:rStyle w:val="53"/>
          <w:rFonts w:hint="eastAsia" w:ascii="仿宋_GB2312" w:hAnsi="仿宋_GB2312" w:eastAsia="仿宋_GB2312" w:cs="仿宋_GB2312"/>
          <w:b w:val="0"/>
          <w:bCs w:val="0"/>
          <w:color w:val="auto"/>
          <w:highlight w:val="none"/>
        </w:rPr>
        <w:t>指标方面：</w:t>
      </w:r>
    </w:p>
    <w:p w14:paraId="1C062197">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a.年度督察任务按时</w:t>
      </w:r>
      <w:r>
        <w:rPr>
          <w:rFonts w:hint="eastAsia" w:ascii="仿宋_GB2312" w:hAnsi="仿宋_GB2312" w:eastAsia="仿宋_GB2312" w:cs="仿宋_GB2312"/>
          <w:b w:val="0"/>
          <w:bCs w:val="0"/>
          <w:color w:val="auto"/>
          <w:kern w:val="2"/>
          <w:sz w:val="32"/>
          <w:szCs w:val="32"/>
          <w:highlight w:val="none"/>
          <w:lang w:val="en-US" w:eastAsia="zh-CN" w:bidi="ar-SA"/>
        </w:rPr>
        <w:t>完成率，指标</w:t>
      </w:r>
      <w:r>
        <w:rPr>
          <w:rFonts w:hint="eastAsia" w:ascii="仿宋_GB2312" w:hAnsi="仿宋_GB2312" w:eastAsia="仿宋_GB2312" w:cs="仿宋_GB2312"/>
          <w:b w:val="0"/>
          <w:bCs w:val="0"/>
          <w:color w:val="auto"/>
          <w:highlight w:val="none"/>
          <w:lang w:val="en-US" w:eastAsia="zh-CN"/>
        </w:rPr>
        <w:t>值为=100%，实际完成100%，完成率100%，偏差率0%。</w:t>
      </w:r>
    </w:p>
    <w:p w14:paraId="1A9FCA8B">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color w:val="auto"/>
          <w:highlight w:val="none"/>
        </w:rPr>
      </w:pPr>
      <w:r>
        <w:rPr>
          <w:rFonts w:hint="eastAsia" w:ascii="Times New Roman" w:hAnsi="Times New Roman" w:eastAsia="楷体_GB2312"/>
          <w:color w:val="auto"/>
          <w:highlight w:val="none"/>
        </w:rPr>
        <w:t>（四）</w:t>
      </w:r>
      <w:r>
        <w:rPr>
          <w:rFonts w:hint="eastAsia" w:ascii="Times New Roman" w:hAnsi="Times New Roman" w:eastAsia="楷体_GB2312"/>
          <w:color w:val="auto"/>
          <w:highlight w:val="none"/>
          <w:lang w:val="en-US" w:eastAsia="zh-CN"/>
        </w:rPr>
        <w:t>项目</w:t>
      </w:r>
      <w:r>
        <w:rPr>
          <w:rFonts w:ascii="Times New Roman" w:hAnsi="Times New Roman" w:eastAsia="楷体_GB2312"/>
          <w:color w:val="auto"/>
          <w:highlight w:val="none"/>
        </w:rPr>
        <w:t>效益情况</w:t>
      </w:r>
    </w:p>
    <w:p w14:paraId="4B81683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ascii="Times New Roman" w:hAnsi="Times New Roman" w:cs="Times New Roman"/>
          <w:color w:val="auto"/>
          <w:highlight w:val="none"/>
        </w:rPr>
      </w:pPr>
      <w:r>
        <w:rPr>
          <w:rStyle w:val="53"/>
          <w:rFonts w:ascii="Times New Roman" w:hAnsi="Times New Roman" w:cs="Times New Roman"/>
          <w:color w:val="auto"/>
          <w:highlight w:val="none"/>
        </w:rPr>
        <w:t>社会效益指标方面：</w:t>
      </w:r>
    </w:p>
    <w:p w14:paraId="1F3F1CD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07B8EC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C72433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val="en-US" w:eastAsia="zh-CN"/>
        </w:rPr>
      </w:pPr>
      <w:r>
        <w:rPr>
          <w:rStyle w:val="53"/>
          <w:rFonts w:hint="eastAsia" w:eastAsia="仿宋_GB2312" w:cs="Times New Roman"/>
          <w:color w:val="auto"/>
          <w:highlight w:val="none"/>
          <w:lang w:val="en-US" w:eastAsia="zh-CN"/>
        </w:rPr>
        <w:t>a.跟踪督办率，指标值为=100%，实际完成100%，完成率100%，偏差率0%。</w:t>
      </w:r>
    </w:p>
    <w:p w14:paraId="4048F9A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color w:val="auto"/>
          <w:highlight w:val="none"/>
        </w:rPr>
      </w:pPr>
      <w:r>
        <w:rPr>
          <w:rStyle w:val="53"/>
          <w:rFonts w:hint="eastAsia" w:eastAsia="仿宋_GB2312" w:cs="Times New Roman"/>
          <w:color w:val="auto"/>
          <w:highlight w:val="none"/>
          <w:lang w:val="en-US" w:eastAsia="zh-CN"/>
        </w:rPr>
        <w:t>b.监察结果反馈率，指标值为=100%，实际完成100%，完成率100%，偏差率0%。</w:t>
      </w:r>
    </w:p>
    <w:p w14:paraId="22ECA29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eastAsia="zh-CN"/>
        </w:rPr>
      </w:pPr>
      <w:r>
        <w:rPr>
          <w:rStyle w:val="53"/>
          <w:rFonts w:hint="eastAsia" w:eastAsia="仿宋_GB2312" w:cs="Times New Roman"/>
          <w:color w:val="auto"/>
          <w:highlight w:val="none"/>
          <w:lang w:val="en-US" w:eastAsia="zh-CN"/>
        </w:rPr>
        <w:t>2.</w:t>
      </w:r>
      <w:r>
        <w:rPr>
          <w:rStyle w:val="53"/>
          <w:rFonts w:ascii="Times New Roman" w:hAnsi="Times New Roman" w:cs="Times New Roman"/>
          <w:color w:val="auto"/>
          <w:highlight w:val="none"/>
        </w:rPr>
        <w:t>满意度指标</w:t>
      </w:r>
    </w:p>
    <w:p w14:paraId="703C744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default" w:cs="Times New Roman"/>
          <w:b w:val="0"/>
          <w:bCs w:val="0"/>
          <w:color w:val="auto"/>
          <w:kern w:val="2"/>
          <w:highlight w:val="none"/>
          <w:lang w:val="en-US" w:eastAsia="zh-CN" w:bidi="ar-SA"/>
        </w:rPr>
      </w:pPr>
      <w:r>
        <w:rPr>
          <w:rStyle w:val="53"/>
          <w:rFonts w:hint="eastAsia" w:cs="Times New Roman"/>
          <w:b w:val="0"/>
          <w:bCs w:val="0"/>
          <w:color w:val="auto"/>
          <w:kern w:val="2"/>
          <w:highlight w:val="none"/>
          <w:lang w:val="en-US" w:eastAsia="zh-CN" w:bidi="ar-SA"/>
        </w:rPr>
        <w:t>a.检查人员被投诉次数，指标值为＜=5次，实际被投诉次数0次，</w:t>
      </w:r>
      <w:r>
        <w:rPr>
          <w:rStyle w:val="53"/>
          <w:rFonts w:hint="eastAsia" w:eastAsia="仿宋_GB2312" w:cs="Times New Roman"/>
          <w:color w:val="auto"/>
          <w:highlight w:val="none"/>
          <w:lang w:val="en-US" w:eastAsia="zh-CN"/>
        </w:rPr>
        <w:t>完成率100%，偏差率0%。</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0D8A4BD5">
      <w:pPr>
        <w:pStyle w:val="55"/>
        <w:spacing w:line="560" w:lineRule="exact"/>
        <w:ind w:firstLine="640"/>
        <w:rPr>
          <w:rFonts w:hint="eastAsia" w:ascii="Times New Roman" w:hAnsi="Times New Roman" w:eastAsia="宋体" w:cs="Times New Roman"/>
          <w:kern w:val="2"/>
          <w:sz w:val="32"/>
          <w:szCs w:val="32"/>
          <w:highlight w:val="none"/>
          <w:lang w:val="en-US" w:eastAsia="zh-CN" w:bidi="ar-SA"/>
        </w:rPr>
      </w:pPr>
      <w:r>
        <w:rPr>
          <w:rFonts w:hint="eastAsia" w:ascii="Times New Roman" w:hAnsi="Times New Roman" w:eastAsia="仿宋_GB2312" w:cs="Times New Roman"/>
          <w:kern w:val="2"/>
          <w:sz w:val="32"/>
          <w:szCs w:val="32"/>
          <w:lang w:val="en-US" w:eastAsia="zh-CN" w:bidi="ar-SA"/>
        </w:rPr>
        <w:t>生态环境监察</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90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90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88.28</w:t>
      </w:r>
      <w:r>
        <w:rPr>
          <w:rFonts w:hint="default"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98.09</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eastAsia="仿宋_GB2312" w:cs="Times New Roman"/>
          <w:kern w:val="2"/>
          <w:sz w:val="32"/>
          <w:szCs w:val="32"/>
          <w:highlight w:val="none"/>
          <w:lang w:val="en-US" w:eastAsia="zh-CN" w:bidi="ar-SA"/>
        </w:rPr>
        <w:t>1.91</w:t>
      </w:r>
      <w:r>
        <w:rPr>
          <w:rFonts w:hint="default" w:ascii="Times New Roman" w:hAnsi="Times New Roman" w:eastAsia="仿宋_GB2312" w:cs="Times New Roman"/>
          <w:kern w:val="2"/>
          <w:sz w:val="32"/>
          <w:szCs w:val="32"/>
          <w:highlight w:val="none"/>
          <w:lang w:val="en-US" w:eastAsia="zh-CN" w:bidi="ar-SA"/>
        </w:rPr>
        <w:t>%</w:t>
      </w:r>
      <w:r>
        <w:rPr>
          <w:rFonts w:hint="eastAsia"/>
          <w:highlight w:val="none"/>
          <w:lang w:eastAsia="zh-CN"/>
        </w:rPr>
        <w:t>，</w:t>
      </w:r>
      <w:r>
        <w:rPr>
          <w:rFonts w:hint="default" w:ascii="Times New Roman" w:hAnsi="Times New Roman" w:eastAsia="仿宋_GB2312" w:cs="Times New Roman"/>
          <w:color w:val="auto"/>
          <w:kern w:val="2"/>
          <w:sz w:val="32"/>
          <w:szCs w:val="32"/>
          <w:highlight w:val="none"/>
          <w:lang w:val="en-US" w:eastAsia="zh-Hans" w:bidi="ar-SA"/>
        </w:rPr>
        <w:t>偏差</w:t>
      </w:r>
      <w:r>
        <w:rPr>
          <w:rFonts w:hint="default"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kern w:val="2"/>
          <w:sz w:val="32"/>
          <w:szCs w:val="32"/>
          <w:highlight w:val="none"/>
          <w:lang w:val="en-US" w:eastAsia="zh-CN" w:bidi="ar-SA"/>
        </w:rPr>
        <w:t>租赁费中干部周转房费用因干部退休停止租用，对该部分支出未予执行</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改进</w:t>
      </w:r>
      <w:r>
        <w:rPr>
          <w:rFonts w:hint="default" w:ascii="Times New Roman" w:hAnsi="Times New Roman" w:eastAsia="仿宋_GB2312" w:cs="Times New Roman"/>
          <w:color w:val="auto"/>
          <w:kern w:val="2"/>
          <w:sz w:val="32"/>
          <w:szCs w:val="32"/>
          <w:highlight w:val="none"/>
          <w:lang w:val="en-US" w:eastAsia="zh-CN" w:bidi="ar-SA"/>
        </w:rPr>
        <w:t>措施</w:t>
      </w:r>
      <w:r>
        <w:rPr>
          <w:rFonts w:hint="eastAsia" w:eastAsia="仿宋_GB2312" w:cs="Times New Roman"/>
          <w:color w:val="auto"/>
          <w:kern w:val="2"/>
          <w:sz w:val="32"/>
          <w:szCs w:val="32"/>
          <w:highlight w:val="none"/>
          <w:lang w:val="en-US" w:eastAsia="zh-CN" w:bidi="ar-SA"/>
        </w:rPr>
        <w:t>在今后的工作中进一步细化预算编制工作，将财务和业务、工作计划和预算安排有效衔接，充分发挥财政资金经济效益</w:t>
      </w:r>
      <w:r>
        <w:rPr>
          <w:rFonts w:hint="default" w:ascii="Times New Roman" w:hAnsi="Times New Roman" w:eastAsia="仿宋_GB2312" w:cs="Times New Roman"/>
          <w:color w:val="auto"/>
          <w:kern w:val="2"/>
          <w:sz w:val="32"/>
          <w:szCs w:val="32"/>
          <w:highlight w:val="none"/>
          <w:lang w:val="en-US" w:eastAsia="zh-CN" w:bidi="ar-SA"/>
        </w:rPr>
        <w:t>。</w:t>
      </w:r>
    </w:p>
    <w:p w14:paraId="1CE4BCA1">
      <w:pPr>
        <w:pageBreakBefore w:val="0"/>
        <w:kinsoku/>
        <w:wordWrap/>
        <w:overflowPunct/>
        <w:topLinePunct w:val="0"/>
        <w:autoSpaceDE/>
        <w:autoSpaceDN/>
        <w:bidi w:val="0"/>
        <w:adjustRightInd/>
        <w:snapToGrid/>
        <w:spacing w:line="560" w:lineRule="exact"/>
        <w:ind w:firstLine="640" w:firstLineChars="200"/>
        <w:textAlignment w:val="auto"/>
        <w:rPr>
          <w:rStyle w:val="53"/>
          <w:rFonts w:ascii="Times New Roman" w:hAnsi="Times New Roman" w:cs="Times New Roman"/>
          <w:color w:val="auto"/>
          <w:highlight w:val="none"/>
        </w:rPr>
      </w:pPr>
      <w:r>
        <w:rPr>
          <w:rFonts w:eastAsia="黑体"/>
          <w:color w:val="auto"/>
          <w:sz w:val="32"/>
          <w:szCs w:val="32"/>
          <w:highlight w:val="none"/>
        </w:rPr>
        <w:t>五、主要经验及做法、存在的问题及原因分析</w:t>
      </w:r>
    </w:p>
    <w:p w14:paraId="4D6D7A94">
      <w:pPr>
        <w:keepNext/>
        <w:keepLines/>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楷体_GB2312"/>
          <w:b/>
          <w:bCs/>
          <w:color w:val="auto"/>
          <w:sz w:val="32"/>
          <w:szCs w:val="32"/>
          <w:highlight w:val="none"/>
        </w:rPr>
      </w:pPr>
      <w:r>
        <w:rPr>
          <w:rFonts w:eastAsia="楷体_GB2312"/>
          <w:b/>
          <w:bCs/>
          <w:color w:val="auto"/>
          <w:sz w:val="32"/>
          <w:szCs w:val="32"/>
          <w:highlight w:val="none"/>
        </w:rPr>
        <w:t>（一）主要经验及做法</w:t>
      </w:r>
    </w:p>
    <w:p w14:paraId="650C6C0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一是制定</w:t>
      </w:r>
      <w:r>
        <w:rPr>
          <w:rFonts w:hint="eastAsia" w:ascii="仿宋_GB2312" w:hAnsi="仿宋_GB2312" w:eastAsia="仿宋_GB2312" w:cs="仿宋_GB2312"/>
          <w:sz w:val="32"/>
          <w:szCs w:val="32"/>
        </w:rPr>
        <w:t>清晰的</w:t>
      </w:r>
      <w:r>
        <w:rPr>
          <w:rFonts w:hint="eastAsia" w:ascii="仿宋_GB2312" w:hAnsi="仿宋_GB2312" w:eastAsia="仿宋_GB2312" w:cs="仿宋_GB2312"/>
          <w:sz w:val="32"/>
          <w:szCs w:val="32"/>
          <w:lang w:val="en-US" w:eastAsia="zh-CN"/>
        </w:rPr>
        <w:t>年度工作计划和</w:t>
      </w:r>
      <w:r>
        <w:rPr>
          <w:rFonts w:hint="eastAsia" w:ascii="仿宋_GB2312" w:hAnsi="仿宋_GB2312" w:eastAsia="仿宋_GB2312" w:cs="仿宋_GB2312"/>
          <w:sz w:val="32"/>
          <w:szCs w:val="32"/>
        </w:rPr>
        <w:t>目标</w:t>
      </w:r>
      <w:r>
        <w:rPr>
          <w:rFonts w:hint="eastAsia" w:ascii="仿宋_GB2312" w:hAnsi="仿宋_GB2312" w:eastAsia="仿宋_GB2312" w:cs="仿宋_GB2312"/>
          <w:sz w:val="32"/>
          <w:szCs w:val="32"/>
          <w:lang w:val="en-US" w:eastAsia="zh-CN"/>
        </w:rPr>
        <w:t>任务</w:t>
      </w:r>
      <w:r>
        <w:rPr>
          <w:rFonts w:hint="eastAsia" w:ascii="仿宋_GB2312" w:hAnsi="仿宋_GB2312" w:eastAsia="仿宋_GB2312" w:cs="仿宋_GB2312"/>
          <w:sz w:val="32"/>
          <w:szCs w:val="32"/>
        </w:rPr>
        <w:t>，细化量化</w:t>
      </w:r>
      <w:r>
        <w:rPr>
          <w:rFonts w:hint="eastAsia" w:ascii="仿宋_GB2312" w:hAnsi="仿宋_GB2312" w:eastAsia="仿宋_GB2312" w:cs="仿宋_GB2312"/>
          <w:sz w:val="32"/>
          <w:szCs w:val="32"/>
          <w:lang w:val="en-US" w:eastAsia="zh-CN"/>
        </w:rPr>
        <w:t>时间节点及工作量</w:t>
      </w:r>
      <w:r>
        <w:rPr>
          <w:rFonts w:hint="eastAsia" w:ascii="仿宋_GB2312" w:hAnsi="仿宋_GB2312" w:eastAsia="仿宋_GB2312" w:cs="仿宋_GB2312"/>
          <w:sz w:val="32"/>
          <w:szCs w:val="32"/>
        </w:rPr>
        <w:t>，如</w:t>
      </w:r>
      <w:r>
        <w:rPr>
          <w:rFonts w:hint="eastAsia" w:ascii="仿宋_GB2312" w:hAnsi="仿宋_GB2312" w:eastAsia="仿宋_GB2312" w:cs="仿宋_GB2312"/>
          <w:color w:val="auto"/>
          <w:sz w:val="32"/>
          <w:szCs w:val="32"/>
          <w:highlight w:val="none"/>
          <w:lang w:val="en-US" w:eastAsia="zh-CN"/>
        </w:rPr>
        <w:t>覆盖生态环境监察区域</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lang w:val="en-US" w:eastAsia="zh-CN"/>
        </w:rPr>
        <w:t>形成督察检查专项报告</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严格按照工作部署尽职尽责开展好生态环境保护例行督察，</w:t>
      </w:r>
      <w:r>
        <w:rPr>
          <w:rFonts w:hint="eastAsia" w:ascii="仿宋_GB2312" w:hAnsi="仿宋_GB2312" w:eastAsia="仿宋_GB2312" w:cs="仿宋_GB2312"/>
          <w:sz w:val="32"/>
          <w:szCs w:val="32"/>
        </w:rPr>
        <w:t>进行实地</w:t>
      </w:r>
      <w:r>
        <w:rPr>
          <w:rFonts w:hint="eastAsia" w:ascii="仿宋_GB2312" w:hAnsi="仿宋_GB2312" w:eastAsia="仿宋_GB2312" w:cs="仿宋_GB2312"/>
          <w:sz w:val="32"/>
          <w:szCs w:val="32"/>
          <w:lang w:val="en-US" w:eastAsia="zh-CN"/>
        </w:rPr>
        <w:t>督察检查</w:t>
      </w:r>
      <w:r>
        <w:rPr>
          <w:rFonts w:hint="eastAsia" w:ascii="仿宋_GB2312" w:hAnsi="仿宋_GB2312" w:eastAsia="仿宋_GB2312" w:cs="仿宋_GB2312"/>
          <w:sz w:val="32"/>
          <w:szCs w:val="32"/>
        </w:rPr>
        <w:t>，收集</w:t>
      </w:r>
      <w:r>
        <w:rPr>
          <w:rFonts w:hint="eastAsia" w:ascii="仿宋_GB2312" w:hAnsi="仿宋_GB2312" w:eastAsia="仿宋_GB2312" w:cs="仿宋_GB2312"/>
          <w:sz w:val="32"/>
          <w:szCs w:val="32"/>
          <w:lang w:val="en-US" w:eastAsia="zh-CN"/>
        </w:rPr>
        <w:t>全面真实的社会现象</w:t>
      </w:r>
      <w:r>
        <w:rPr>
          <w:rFonts w:hint="eastAsia" w:ascii="仿宋_GB2312" w:hAnsi="仿宋_GB2312" w:eastAsia="仿宋_GB2312" w:cs="仿宋_GB2312"/>
          <w:sz w:val="32"/>
          <w:szCs w:val="32"/>
        </w:rPr>
        <w:t>，确保</w:t>
      </w:r>
      <w:r>
        <w:rPr>
          <w:rFonts w:hint="eastAsia" w:ascii="仿宋_GB2312" w:hAnsi="仿宋_GB2312" w:eastAsia="仿宋_GB2312" w:cs="仿宋_GB2312"/>
          <w:sz w:val="32"/>
          <w:szCs w:val="32"/>
          <w:lang w:val="en-US" w:eastAsia="zh-CN"/>
        </w:rPr>
        <w:t>工作成果经得起考验</w:t>
      </w:r>
      <w:r>
        <w:rPr>
          <w:rFonts w:hint="eastAsia" w:ascii="仿宋_GB2312" w:hAnsi="仿宋_GB2312" w:eastAsia="仿宋_GB2312" w:cs="仿宋_GB2312"/>
          <w:sz w:val="32"/>
          <w:szCs w:val="32"/>
        </w:rPr>
        <w:t>。</w:t>
      </w:r>
    </w:p>
    <w:p w14:paraId="062A07F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二是坚持</w:t>
      </w:r>
      <w:r>
        <w:rPr>
          <w:rFonts w:hint="eastAsia" w:ascii="仿宋_GB2312" w:hAnsi="仿宋_GB2312" w:eastAsia="仿宋_GB2312" w:cs="仿宋_GB2312"/>
          <w:sz w:val="32"/>
          <w:szCs w:val="32"/>
        </w:rPr>
        <w:t>问题导向，</w:t>
      </w:r>
      <w:r>
        <w:rPr>
          <w:rFonts w:hint="eastAsia" w:ascii="仿宋_GB2312" w:hAnsi="仿宋_GB2312" w:eastAsia="仿宋_GB2312" w:cs="仿宋_GB2312"/>
          <w:sz w:val="32"/>
          <w:szCs w:val="32"/>
          <w:lang w:val="en-US" w:eastAsia="zh-CN"/>
        </w:rPr>
        <w:t>紧盯</w:t>
      </w:r>
      <w:r>
        <w:rPr>
          <w:rFonts w:hint="eastAsia" w:ascii="仿宋_GB2312" w:hAnsi="仿宋_GB2312" w:eastAsia="仿宋_GB2312" w:cs="仿宋_GB2312"/>
          <w:sz w:val="32"/>
          <w:szCs w:val="32"/>
        </w:rPr>
        <w:t>整改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针对</w:t>
      </w:r>
      <w:r>
        <w:rPr>
          <w:rFonts w:hint="eastAsia" w:ascii="仿宋_GB2312" w:hAnsi="仿宋_GB2312" w:eastAsia="仿宋_GB2312" w:cs="仿宋_GB2312"/>
          <w:sz w:val="32"/>
          <w:szCs w:val="32"/>
          <w:lang w:val="en-US" w:eastAsia="zh-CN"/>
        </w:rPr>
        <w:t>督察</w:t>
      </w:r>
      <w:r>
        <w:rPr>
          <w:rFonts w:hint="eastAsia" w:ascii="仿宋_GB2312" w:hAnsi="仿宋_GB2312" w:eastAsia="仿宋_GB2312" w:cs="仿宋_GB2312"/>
          <w:sz w:val="32"/>
          <w:szCs w:val="32"/>
        </w:rPr>
        <w:t>发现的问题，及时</w:t>
      </w:r>
      <w:r>
        <w:rPr>
          <w:rFonts w:hint="eastAsia" w:ascii="仿宋_GB2312" w:hAnsi="仿宋_GB2312" w:eastAsia="仿宋_GB2312" w:cs="仿宋_GB2312"/>
          <w:sz w:val="32"/>
          <w:szCs w:val="32"/>
          <w:lang w:val="en-US" w:eastAsia="zh-CN"/>
        </w:rPr>
        <w:t>反馈存在问题</w:t>
      </w:r>
      <w:r>
        <w:rPr>
          <w:rFonts w:hint="eastAsia" w:ascii="仿宋_GB2312" w:hAnsi="仿宋_GB2312" w:eastAsia="仿宋_GB2312" w:cs="仿宋_GB2312"/>
          <w:sz w:val="32"/>
          <w:szCs w:val="32"/>
        </w:rPr>
        <w:t>，并跟踪落实情况，确保问题得到有效解决。鼓励</w:t>
      </w:r>
      <w:r>
        <w:rPr>
          <w:rFonts w:hint="eastAsia" w:ascii="仿宋_GB2312" w:hAnsi="仿宋_GB2312" w:eastAsia="仿宋_GB2312" w:cs="仿宋_GB2312"/>
          <w:sz w:val="32"/>
          <w:szCs w:val="32"/>
          <w:lang w:val="en-US" w:eastAsia="zh-CN"/>
        </w:rPr>
        <w:t>地方广开言路，鼓励</w:t>
      </w:r>
      <w:r>
        <w:rPr>
          <w:rFonts w:hint="eastAsia" w:ascii="仿宋_GB2312" w:hAnsi="仿宋_GB2312" w:eastAsia="仿宋_GB2312" w:cs="仿宋_GB2312"/>
          <w:sz w:val="32"/>
          <w:szCs w:val="32"/>
        </w:rPr>
        <w:t>公众参与环境监察，设立举报渠道，接受社会监督，提升项目透明度和公信力。</w:t>
      </w:r>
    </w:p>
    <w:p w14:paraId="18FAAE6F">
      <w:pPr>
        <w:keepNext/>
        <w:keepLines/>
        <w:pageBreakBefore w:val="0"/>
        <w:numPr>
          <w:ilvl w:val="0"/>
          <w:numId w:val="5"/>
        </w:numPr>
        <w:kinsoku/>
        <w:wordWrap/>
        <w:overflowPunct/>
        <w:topLinePunct w:val="0"/>
        <w:autoSpaceDE/>
        <w:autoSpaceDN/>
        <w:bidi w:val="0"/>
        <w:adjustRightInd/>
        <w:snapToGrid/>
        <w:spacing w:line="560" w:lineRule="exact"/>
        <w:ind w:firstLine="643" w:firstLineChars="200"/>
        <w:textAlignment w:val="auto"/>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499B2681">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1.本单位没有专业的财务管理人员，对财务管理、政府采购流程等工作程序不尽掌握。</w:t>
      </w:r>
    </w:p>
    <w:p w14:paraId="434010D0">
      <w:pPr>
        <w:pageBreakBefore w:val="0"/>
        <w:kinsoku/>
        <w:wordWrap/>
        <w:overflowPunct/>
        <w:topLinePunct w:val="0"/>
        <w:autoSpaceDE/>
        <w:autoSpaceDN/>
        <w:bidi w:val="0"/>
        <w:adjustRightInd/>
        <w:snapToGrid/>
        <w:spacing w:line="560" w:lineRule="exact"/>
        <w:ind w:firstLine="640" w:firstLineChars="200"/>
        <w:textAlignment w:val="auto"/>
        <w:outlineLvl w:val="0"/>
        <w:rPr>
          <w:color w:val="auto"/>
          <w:highlight w:val="none"/>
        </w:rPr>
      </w:pPr>
      <w:r>
        <w:rPr>
          <w:rFonts w:hint="eastAsia" w:ascii="仿宋_GB2312" w:hAnsi="仿宋_GB2312" w:eastAsia="仿宋_GB2312" w:cs="仿宋_GB2312"/>
          <w:color w:val="auto"/>
          <w:sz w:val="32"/>
          <w:szCs w:val="32"/>
          <w:highlight w:val="none"/>
        </w:rPr>
        <w:t>2.本单位作为自治区生态环境厅派出机构，单位人员较少，内部控制管理工作要求的关键岗位不能定期轮岗轮换。</w:t>
      </w:r>
    </w:p>
    <w:p w14:paraId="415E35E2">
      <w:pPr>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highlight w:val="none"/>
        </w:rPr>
      </w:pPr>
      <w:r>
        <w:rPr>
          <w:rFonts w:eastAsia="黑体"/>
          <w:color w:val="auto"/>
          <w:sz w:val="32"/>
          <w:szCs w:val="32"/>
          <w:highlight w:val="none"/>
        </w:rPr>
        <w:t>有关建议</w:t>
      </w:r>
    </w:p>
    <w:p w14:paraId="1C06B1E5">
      <w:pPr>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28"/>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D2B5BC5">
      <w:pPr>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highlight w:val="none"/>
        </w:rPr>
      </w:pPr>
      <w:r>
        <w:rPr>
          <w:rFonts w:eastAsia="黑体"/>
          <w:color w:val="auto"/>
          <w:sz w:val="32"/>
          <w:szCs w:val="32"/>
          <w:highlight w:val="none"/>
        </w:rPr>
        <w:t>其他需要说</w:t>
      </w:r>
      <w:bookmarkStart w:id="1" w:name="page8"/>
      <w:bookmarkEnd w:id="1"/>
      <w:r>
        <w:rPr>
          <w:rFonts w:eastAsia="黑体"/>
          <w:color w:val="auto"/>
          <w:sz w:val="32"/>
          <w:szCs w:val="32"/>
          <w:highlight w:val="none"/>
        </w:rPr>
        <w:t>明的问题</w:t>
      </w:r>
    </w:p>
    <w:p w14:paraId="12890741">
      <w:pPr>
        <w:pStyle w:val="21"/>
        <w:pageBreakBefore w:val="0"/>
        <w:kinsoku/>
        <w:wordWrap/>
        <w:overflowPunct/>
        <w:topLinePunct w:val="0"/>
        <w:autoSpaceDE/>
        <w:autoSpaceDN/>
        <w:bidi w:val="0"/>
        <w:adjustRightInd/>
        <w:snapToGrid/>
        <w:spacing w:line="560" w:lineRule="exact"/>
        <w:ind w:firstLine="320" w:firstLineChars="100"/>
        <w:textAlignment w:val="auto"/>
        <w:rPr>
          <w:rFonts w:ascii="Times New Roman" w:hAnsi="Times New Roman" w:eastAsia="方正小标宋简体"/>
          <w:b/>
          <w:color w:val="auto"/>
          <w:kern w:val="0"/>
          <w:sz w:val="32"/>
          <w:szCs w:val="32"/>
          <w:highlight w:val="none"/>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color w:val="auto"/>
          <w:sz w:val="32"/>
          <w:szCs w:val="32"/>
          <w:highlight w:val="none"/>
        </w:rPr>
        <w:t>无。</w:t>
      </w:r>
    </w:p>
    <w:p w14:paraId="357B59D5">
      <w:pPr>
        <w:spacing w:line="600" w:lineRule="exact"/>
        <w:rPr>
          <w:bCs/>
          <w:color w:val="auto"/>
          <w:sz w:val="32"/>
          <w:szCs w:val="32"/>
          <w:highlight w:val="none"/>
        </w:rPr>
      </w:pPr>
      <w:r>
        <w:rPr>
          <w:bCs/>
          <w:color w:val="auto"/>
          <w:sz w:val="32"/>
          <w:szCs w:val="32"/>
          <w:highlight w:val="none"/>
        </w:rPr>
        <w:t>附件1</w:t>
      </w:r>
    </w:p>
    <w:p w14:paraId="68173202">
      <w:pPr>
        <w:spacing w:line="600" w:lineRule="exact"/>
        <w:jc w:val="center"/>
        <w:rPr>
          <w:bCs/>
          <w:color w:val="auto"/>
          <w:sz w:val="32"/>
          <w:szCs w:val="32"/>
          <w:highlight w:val="none"/>
        </w:rPr>
      </w:pPr>
      <w:bookmarkStart w:id="2" w:name="_Toc30064_WPSOffice_Level1"/>
      <w:bookmarkStart w:id="3" w:name="_Toc26499_WPSOffice_Level2"/>
      <w:r>
        <w:rPr>
          <w:rFonts w:hint="eastAsia" w:ascii="仿宋_GB2312" w:hAnsi="仿宋_GB2312" w:eastAsia="仿宋_GB2312" w:cs="仿宋_GB2312"/>
          <w:b/>
          <w:bCs/>
          <w:sz w:val="28"/>
          <w:szCs w:val="40"/>
          <w:highlight w:val="none"/>
          <w:lang w:val="en-US" w:eastAsia="zh-CN"/>
        </w:rPr>
        <w:t>生态环境监察项目</w:t>
      </w:r>
      <w:r>
        <w:rPr>
          <w:rFonts w:hint="eastAsia" w:ascii="仿宋_GB2312" w:hAnsi="仿宋_GB2312" w:eastAsia="仿宋_GB2312" w:cs="仿宋_GB2312"/>
          <w:b/>
          <w:bCs/>
          <w:sz w:val="28"/>
          <w:szCs w:val="40"/>
          <w:highlight w:val="none"/>
        </w:rPr>
        <w:t>绩效评价指标体系及综合评分表</w:t>
      </w:r>
      <w:bookmarkEnd w:id="2"/>
      <w:bookmarkEnd w:id="3"/>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74585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27E516DF">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2" w:type="pct"/>
            <w:shd w:val="clear" w:color="auto" w:fill="FFFFFF"/>
            <w:vAlign w:val="center"/>
          </w:tcPr>
          <w:p w14:paraId="2FA3AE55">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14:paraId="39CC3211">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14:paraId="25FCECB4">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4" w:type="pct"/>
            <w:shd w:val="clear" w:color="auto" w:fill="FFFFFF"/>
            <w:vAlign w:val="center"/>
          </w:tcPr>
          <w:p w14:paraId="6C77B43B">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14:paraId="501BBF61">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14:paraId="17D9CD02">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3BAC5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43621312">
            <w:pPr>
              <w:widowControl/>
              <w:spacing w:line="0" w:lineRule="atLeast"/>
              <w:jc w:val="center"/>
              <w:rPr>
                <w:color w:val="auto"/>
                <w:kern w:val="0"/>
                <w:sz w:val="22"/>
                <w:szCs w:val="22"/>
                <w:highlight w:val="none"/>
              </w:rPr>
            </w:pPr>
            <w:r>
              <w:rPr>
                <w:color w:val="auto"/>
                <w:kern w:val="0"/>
                <w:sz w:val="22"/>
                <w:szCs w:val="22"/>
                <w:highlight w:val="none"/>
              </w:rPr>
              <w:t>决策　</w:t>
            </w:r>
          </w:p>
          <w:p w14:paraId="258C88F9">
            <w:pPr>
              <w:widowControl/>
              <w:spacing w:line="0" w:lineRule="atLeast"/>
              <w:jc w:val="center"/>
              <w:rPr>
                <w:color w:val="auto"/>
                <w:kern w:val="0"/>
                <w:sz w:val="22"/>
                <w:szCs w:val="22"/>
                <w:highlight w:val="none"/>
              </w:rPr>
            </w:pPr>
            <w:r>
              <w:rPr>
                <w:color w:val="auto"/>
                <w:kern w:val="0"/>
                <w:sz w:val="22"/>
                <w:szCs w:val="22"/>
                <w:highlight w:val="none"/>
              </w:rPr>
              <w:t>　</w:t>
            </w:r>
          </w:p>
          <w:p w14:paraId="7B01BF98">
            <w:pPr>
              <w:spacing w:line="0" w:lineRule="atLeast"/>
              <w:jc w:val="center"/>
              <w:rPr>
                <w:color w:val="auto"/>
                <w:kern w:val="0"/>
                <w:sz w:val="22"/>
                <w:szCs w:val="22"/>
                <w:highlight w:val="none"/>
              </w:rPr>
            </w:pPr>
            <w:r>
              <w:rPr>
                <w:color w:val="auto"/>
                <w:kern w:val="0"/>
                <w:sz w:val="22"/>
                <w:szCs w:val="22"/>
                <w:highlight w:val="none"/>
              </w:rPr>
              <w:t>　</w:t>
            </w:r>
          </w:p>
        </w:tc>
        <w:tc>
          <w:tcPr>
            <w:tcW w:w="302" w:type="pct"/>
            <w:vMerge w:val="restart"/>
            <w:shd w:val="clear" w:color="auto" w:fill="FFFFFF"/>
            <w:vAlign w:val="center"/>
          </w:tcPr>
          <w:p w14:paraId="25E1FE71">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14:paraId="472BD741">
            <w:pPr>
              <w:widowControl/>
              <w:spacing w:line="0" w:lineRule="atLeast"/>
              <w:jc w:val="center"/>
              <w:rPr>
                <w:color w:val="auto"/>
                <w:kern w:val="0"/>
                <w:sz w:val="22"/>
                <w:szCs w:val="22"/>
                <w:highlight w:val="none"/>
              </w:rPr>
            </w:pPr>
            <w:r>
              <w:rPr>
                <w:color w:val="auto"/>
                <w:kern w:val="0"/>
                <w:sz w:val="22"/>
                <w:szCs w:val="22"/>
                <w:highlight w:val="none"/>
              </w:rPr>
              <w:t>立项依据</w:t>
            </w:r>
          </w:p>
          <w:p w14:paraId="3C61EB3F">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14:paraId="62F54134">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4" w:type="pct"/>
            <w:shd w:val="clear" w:color="auto" w:fill="FFFFFF"/>
            <w:vAlign w:val="center"/>
          </w:tcPr>
          <w:p w14:paraId="4EC2F899">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14:paraId="3CA1278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3E3E9F92">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CF78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260B1090">
            <w:pPr>
              <w:spacing w:line="0" w:lineRule="atLeast"/>
              <w:jc w:val="center"/>
              <w:rPr>
                <w:color w:val="auto"/>
                <w:kern w:val="0"/>
                <w:sz w:val="22"/>
                <w:szCs w:val="22"/>
                <w:highlight w:val="none"/>
              </w:rPr>
            </w:pPr>
          </w:p>
        </w:tc>
        <w:tc>
          <w:tcPr>
            <w:tcW w:w="302" w:type="pct"/>
            <w:vMerge w:val="continue"/>
            <w:shd w:val="clear" w:color="auto" w:fill="FFFFFF"/>
            <w:vAlign w:val="center"/>
          </w:tcPr>
          <w:p w14:paraId="58D58542">
            <w:pPr>
              <w:widowControl/>
              <w:spacing w:line="0" w:lineRule="atLeast"/>
              <w:jc w:val="center"/>
              <w:rPr>
                <w:color w:val="auto"/>
                <w:kern w:val="0"/>
                <w:sz w:val="22"/>
                <w:szCs w:val="22"/>
                <w:highlight w:val="none"/>
              </w:rPr>
            </w:pPr>
          </w:p>
        </w:tc>
        <w:tc>
          <w:tcPr>
            <w:tcW w:w="344" w:type="pct"/>
            <w:shd w:val="clear" w:color="auto" w:fill="FFFFFF"/>
            <w:vAlign w:val="center"/>
          </w:tcPr>
          <w:p w14:paraId="48ABEEEC">
            <w:pPr>
              <w:widowControl/>
              <w:spacing w:line="0" w:lineRule="atLeast"/>
              <w:jc w:val="center"/>
              <w:rPr>
                <w:color w:val="auto"/>
                <w:kern w:val="0"/>
                <w:sz w:val="22"/>
                <w:szCs w:val="22"/>
                <w:highlight w:val="none"/>
              </w:rPr>
            </w:pPr>
            <w:r>
              <w:rPr>
                <w:color w:val="auto"/>
                <w:kern w:val="0"/>
                <w:sz w:val="22"/>
                <w:szCs w:val="22"/>
                <w:highlight w:val="none"/>
              </w:rPr>
              <w:t>立项程序</w:t>
            </w:r>
          </w:p>
          <w:p w14:paraId="1B72EE61">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14:paraId="60772364">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4" w:type="pct"/>
            <w:shd w:val="clear" w:color="auto" w:fill="FFFFFF"/>
            <w:vAlign w:val="center"/>
          </w:tcPr>
          <w:p w14:paraId="2DB70485">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14:paraId="53523815">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2A02BF25">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40CBA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6D708F80">
            <w:pPr>
              <w:spacing w:line="0" w:lineRule="atLeast"/>
              <w:jc w:val="center"/>
              <w:rPr>
                <w:color w:val="auto"/>
                <w:kern w:val="0"/>
                <w:sz w:val="22"/>
                <w:szCs w:val="22"/>
                <w:highlight w:val="none"/>
              </w:rPr>
            </w:pPr>
          </w:p>
        </w:tc>
        <w:tc>
          <w:tcPr>
            <w:tcW w:w="302" w:type="pct"/>
            <w:shd w:val="clear" w:color="auto" w:fill="FFFFFF"/>
            <w:vAlign w:val="center"/>
          </w:tcPr>
          <w:p w14:paraId="37BB941A">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14:paraId="412F5C34">
            <w:pPr>
              <w:widowControl/>
              <w:spacing w:line="0" w:lineRule="atLeast"/>
              <w:jc w:val="center"/>
              <w:rPr>
                <w:color w:val="auto"/>
                <w:kern w:val="0"/>
                <w:sz w:val="22"/>
                <w:szCs w:val="22"/>
                <w:highlight w:val="none"/>
              </w:rPr>
            </w:pPr>
            <w:r>
              <w:rPr>
                <w:color w:val="auto"/>
                <w:kern w:val="0"/>
                <w:sz w:val="22"/>
                <w:szCs w:val="22"/>
                <w:highlight w:val="none"/>
              </w:rPr>
              <w:t>绩效目标</w:t>
            </w:r>
          </w:p>
          <w:p w14:paraId="64486968">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14:paraId="1017BBE6">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4" w:type="pct"/>
            <w:shd w:val="clear" w:color="000000" w:fill="FFFFFF"/>
            <w:vAlign w:val="center"/>
          </w:tcPr>
          <w:p w14:paraId="6414C1EC">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6BB753AD">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14:paraId="0D23FDDC">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0C65D0DB">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0711D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304BC2C6">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2" w:type="pct"/>
            <w:shd w:val="clear" w:color="auto" w:fill="FFFFFF"/>
            <w:vAlign w:val="center"/>
          </w:tcPr>
          <w:p w14:paraId="3D6E6BD7">
            <w:pPr>
              <w:widowControl/>
              <w:spacing w:line="0" w:lineRule="atLeast"/>
              <w:jc w:val="center"/>
              <w:rPr>
                <w:color w:val="auto"/>
                <w:kern w:val="0"/>
                <w:sz w:val="22"/>
                <w:szCs w:val="22"/>
                <w:highlight w:val="none"/>
              </w:rPr>
            </w:pPr>
            <w:r>
              <w:rPr>
                <w:color w:val="auto"/>
                <w:kern w:val="0"/>
                <w:sz w:val="22"/>
                <w:szCs w:val="22"/>
                <w:highlight w:val="none"/>
              </w:rPr>
              <w:t>绩效目标</w:t>
            </w:r>
          </w:p>
        </w:tc>
        <w:tc>
          <w:tcPr>
            <w:tcW w:w="344" w:type="pct"/>
            <w:shd w:val="clear" w:color="auto" w:fill="FFFFFF"/>
            <w:vAlign w:val="center"/>
          </w:tcPr>
          <w:p w14:paraId="08AC6057">
            <w:pPr>
              <w:widowControl/>
              <w:spacing w:line="0" w:lineRule="atLeast"/>
              <w:jc w:val="center"/>
              <w:rPr>
                <w:color w:val="auto"/>
                <w:kern w:val="0"/>
                <w:sz w:val="22"/>
                <w:szCs w:val="22"/>
                <w:highlight w:val="none"/>
              </w:rPr>
            </w:pPr>
            <w:r>
              <w:rPr>
                <w:color w:val="auto"/>
                <w:kern w:val="0"/>
                <w:sz w:val="22"/>
                <w:szCs w:val="22"/>
                <w:highlight w:val="none"/>
              </w:rPr>
              <w:t>绩效指标</w:t>
            </w:r>
          </w:p>
          <w:p w14:paraId="05F8F1A9">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14:paraId="2E6C2B4F">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4" w:type="pct"/>
            <w:shd w:val="clear" w:color="000000" w:fill="FFFFFF"/>
            <w:vAlign w:val="center"/>
          </w:tcPr>
          <w:p w14:paraId="3413010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14:paraId="76086FAD">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000000" w:fill="FFFFFF"/>
            <w:vAlign w:val="center"/>
          </w:tcPr>
          <w:p w14:paraId="71BC203E">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51389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50599ED5">
            <w:pPr>
              <w:spacing w:line="0" w:lineRule="atLeast"/>
              <w:jc w:val="center"/>
              <w:rPr>
                <w:color w:val="auto"/>
                <w:kern w:val="0"/>
                <w:sz w:val="22"/>
                <w:szCs w:val="22"/>
                <w:highlight w:val="none"/>
              </w:rPr>
            </w:pPr>
          </w:p>
        </w:tc>
        <w:tc>
          <w:tcPr>
            <w:tcW w:w="302" w:type="pct"/>
            <w:vMerge w:val="restart"/>
            <w:shd w:val="clear" w:color="auto" w:fill="FFFFFF"/>
            <w:vAlign w:val="center"/>
          </w:tcPr>
          <w:p w14:paraId="2824E12F">
            <w:pPr>
              <w:widowControl/>
              <w:spacing w:line="0" w:lineRule="atLeast"/>
              <w:jc w:val="center"/>
              <w:rPr>
                <w:color w:val="auto"/>
                <w:kern w:val="0"/>
                <w:sz w:val="22"/>
                <w:szCs w:val="22"/>
                <w:highlight w:val="none"/>
              </w:rPr>
            </w:pPr>
            <w:r>
              <w:rPr>
                <w:color w:val="auto"/>
                <w:kern w:val="0"/>
                <w:sz w:val="22"/>
                <w:szCs w:val="22"/>
                <w:highlight w:val="none"/>
              </w:rPr>
              <w:t>资金投入</w:t>
            </w:r>
          </w:p>
          <w:p w14:paraId="2FC415B1">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7045E7B3">
            <w:pPr>
              <w:widowControl/>
              <w:spacing w:line="0" w:lineRule="atLeast"/>
              <w:jc w:val="center"/>
              <w:rPr>
                <w:color w:val="auto"/>
                <w:kern w:val="0"/>
                <w:sz w:val="22"/>
                <w:szCs w:val="22"/>
                <w:highlight w:val="none"/>
              </w:rPr>
            </w:pPr>
            <w:r>
              <w:rPr>
                <w:color w:val="auto"/>
                <w:kern w:val="0"/>
                <w:sz w:val="22"/>
                <w:szCs w:val="22"/>
                <w:highlight w:val="none"/>
              </w:rPr>
              <w:t>预算编制</w:t>
            </w:r>
          </w:p>
          <w:p w14:paraId="4167E6EA">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14:paraId="624CAEC9">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522EC9E8">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14:paraId="1BE07B8D">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auto" w:fill="FFFFFF"/>
            <w:vAlign w:val="center"/>
          </w:tcPr>
          <w:p w14:paraId="49B4854A">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79E9A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6482181E">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0A233E1C">
            <w:pPr>
              <w:widowControl/>
              <w:spacing w:line="0" w:lineRule="atLeast"/>
              <w:jc w:val="center"/>
              <w:rPr>
                <w:color w:val="auto"/>
                <w:kern w:val="0"/>
                <w:sz w:val="22"/>
                <w:szCs w:val="22"/>
                <w:highlight w:val="none"/>
              </w:rPr>
            </w:pPr>
          </w:p>
        </w:tc>
        <w:tc>
          <w:tcPr>
            <w:tcW w:w="344" w:type="pct"/>
            <w:shd w:val="clear" w:color="auto" w:fill="FFFFFF"/>
            <w:vAlign w:val="center"/>
          </w:tcPr>
          <w:p w14:paraId="2DB55FC0">
            <w:pPr>
              <w:widowControl/>
              <w:spacing w:line="0" w:lineRule="atLeast"/>
              <w:jc w:val="center"/>
              <w:rPr>
                <w:color w:val="auto"/>
                <w:kern w:val="0"/>
                <w:sz w:val="22"/>
                <w:szCs w:val="22"/>
                <w:highlight w:val="none"/>
              </w:rPr>
            </w:pPr>
            <w:r>
              <w:rPr>
                <w:color w:val="auto"/>
                <w:kern w:val="0"/>
                <w:sz w:val="22"/>
                <w:szCs w:val="22"/>
                <w:highlight w:val="none"/>
              </w:rPr>
              <w:t>资金分配</w:t>
            </w:r>
          </w:p>
          <w:p w14:paraId="669D57C3">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14:paraId="22461DCF">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510228DC">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14:paraId="72FD821A">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2E8916EA">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65289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3AA94E62">
            <w:pPr>
              <w:spacing w:line="0" w:lineRule="atLeast"/>
              <w:jc w:val="center"/>
              <w:rPr>
                <w:color w:val="auto"/>
                <w:kern w:val="0"/>
                <w:sz w:val="22"/>
                <w:szCs w:val="22"/>
                <w:highlight w:val="none"/>
              </w:rPr>
            </w:pPr>
            <w:r>
              <w:rPr>
                <w:color w:val="auto"/>
                <w:kern w:val="0"/>
                <w:sz w:val="22"/>
                <w:szCs w:val="22"/>
                <w:highlight w:val="none"/>
              </w:rPr>
              <w:t>过程</w:t>
            </w:r>
          </w:p>
        </w:tc>
        <w:tc>
          <w:tcPr>
            <w:tcW w:w="302" w:type="pct"/>
            <w:vMerge w:val="restart"/>
            <w:shd w:val="clear" w:color="auto" w:fill="FFFFFF"/>
            <w:vAlign w:val="center"/>
          </w:tcPr>
          <w:p w14:paraId="218C3A85">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078A5E8F">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14:paraId="05031773">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4" w:type="pct"/>
            <w:shd w:val="clear" w:color="000000" w:fill="FFFFFF"/>
            <w:vAlign w:val="center"/>
          </w:tcPr>
          <w:p w14:paraId="15C5DB01">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27568CA1">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0ED44E0D">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14:paraId="03350D6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3446F4F8">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B632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4496DFE1">
            <w:pPr>
              <w:spacing w:line="0" w:lineRule="atLeast"/>
              <w:jc w:val="center"/>
              <w:rPr>
                <w:color w:val="auto"/>
                <w:kern w:val="0"/>
                <w:sz w:val="22"/>
                <w:szCs w:val="22"/>
                <w:highlight w:val="none"/>
              </w:rPr>
            </w:pPr>
          </w:p>
        </w:tc>
        <w:tc>
          <w:tcPr>
            <w:tcW w:w="302" w:type="pct"/>
            <w:vMerge w:val="continue"/>
            <w:shd w:val="clear" w:color="auto" w:fill="FFFFFF"/>
            <w:vAlign w:val="center"/>
          </w:tcPr>
          <w:p w14:paraId="0E097104">
            <w:pPr>
              <w:spacing w:line="0" w:lineRule="atLeast"/>
              <w:jc w:val="center"/>
              <w:rPr>
                <w:color w:val="auto"/>
                <w:kern w:val="0"/>
                <w:sz w:val="22"/>
                <w:szCs w:val="22"/>
                <w:highlight w:val="none"/>
              </w:rPr>
            </w:pPr>
          </w:p>
        </w:tc>
        <w:tc>
          <w:tcPr>
            <w:tcW w:w="344" w:type="pct"/>
            <w:shd w:val="clear" w:color="auto" w:fill="FFFFFF"/>
            <w:vAlign w:val="center"/>
          </w:tcPr>
          <w:p w14:paraId="22D14BC6">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14:paraId="585BD96D">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4" w:type="pct"/>
            <w:shd w:val="clear" w:color="auto" w:fill="FFFFFF"/>
            <w:vAlign w:val="center"/>
          </w:tcPr>
          <w:p w14:paraId="1713B281">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14:paraId="10E05EA6">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auto" w:fill="FFFFFF"/>
            <w:vAlign w:val="center"/>
          </w:tcPr>
          <w:p w14:paraId="7FD7DE83">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3.92</w:t>
            </w:r>
          </w:p>
        </w:tc>
      </w:tr>
      <w:tr w14:paraId="5DC41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0B805C79">
            <w:pPr>
              <w:widowControl/>
              <w:spacing w:line="0" w:lineRule="atLeast"/>
              <w:jc w:val="center"/>
              <w:rPr>
                <w:color w:val="auto"/>
                <w:kern w:val="0"/>
                <w:sz w:val="22"/>
                <w:szCs w:val="22"/>
                <w:highlight w:val="none"/>
              </w:rPr>
            </w:pPr>
            <w:r>
              <w:rPr>
                <w:color w:val="auto"/>
                <w:kern w:val="0"/>
                <w:sz w:val="22"/>
                <w:szCs w:val="22"/>
                <w:highlight w:val="none"/>
              </w:rPr>
              <w:t>　</w:t>
            </w:r>
          </w:p>
          <w:p w14:paraId="3FB9A04D">
            <w:pPr>
              <w:spacing w:line="0" w:lineRule="atLeast"/>
              <w:jc w:val="center"/>
              <w:rPr>
                <w:color w:val="auto"/>
                <w:kern w:val="0"/>
                <w:sz w:val="22"/>
                <w:szCs w:val="22"/>
                <w:highlight w:val="none"/>
              </w:rPr>
            </w:pPr>
            <w:r>
              <w:rPr>
                <w:color w:val="auto"/>
                <w:kern w:val="0"/>
                <w:sz w:val="22"/>
                <w:szCs w:val="22"/>
                <w:highlight w:val="none"/>
              </w:rPr>
              <w:t>过程　</w:t>
            </w:r>
          </w:p>
        </w:tc>
        <w:tc>
          <w:tcPr>
            <w:tcW w:w="302" w:type="pct"/>
            <w:shd w:val="clear" w:color="auto" w:fill="FFFFFF"/>
            <w:vAlign w:val="center"/>
          </w:tcPr>
          <w:p w14:paraId="38549FB1">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05C3512D">
            <w:pPr>
              <w:widowControl/>
              <w:spacing w:line="0" w:lineRule="atLeast"/>
              <w:jc w:val="center"/>
              <w:rPr>
                <w:color w:val="auto"/>
                <w:kern w:val="0"/>
                <w:sz w:val="22"/>
                <w:szCs w:val="22"/>
                <w:highlight w:val="none"/>
              </w:rPr>
            </w:pPr>
            <w:r>
              <w:rPr>
                <w:color w:val="auto"/>
                <w:kern w:val="0"/>
                <w:sz w:val="22"/>
                <w:szCs w:val="22"/>
                <w:highlight w:val="none"/>
              </w:rPr>
              <w:t>资金使用</w:t>
            </w:r>
          </w:p>
          <w:p w14:paraId="0F0E723E">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14:paraId="731569A4">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4" w:type="pct"/>
            <w:shd w:val="clear" w:color="000000" w:fill="FFFFFF"/>
            <w:vAlign w:val="center"/>
          </w:tcPr>
          <w:p w14:paraId="7242752C">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14:paraId="49E1128C">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3BA61D81">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038A3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CECF01F">
            <w:pPr>
              <w:spacing w:line="0" w:lineRule="atLeast"/>
              <w:jc w:val="center"/>
              <w:rPr>
                <w:color w:val="auto"/>
                <w:kern w:val="0"/>
                <w:sz w:val="22"/>
                <w:szCs w:val="22"/>
                <w:highlight w:val="none"/>
              </w:rPr>
            </w:pPr>
          </w:p>
        </w:tc>
        <w:tc>
          <w:tcPr>
            <w:tcW w:w="302" w:type="pct"/>
            <w:vMerge w:val="restart"/>
            <w:shd w:val="clear" w:color="auto" w:fill="FFFFFF"/>
            <w:vAlign w:val="center"/>
          </w:tcPr>
          <w:p w14:paraId="061624F2">
            <w:pPr>
              <w:widowControl/>
              <w:spacing w:line="0" w:lineRule="atLeast"/>
              <w:jc w:val="center"/>
              <w:rPr>
                <w:color w:val="auto"/>
                <w:kern w:val="0"/>
                <w:sz w:val="22"/>
                <w:szCs w:val="22"/>
                <w:highlight w:val="none"/>
              </w:rPr>
            </w:pPr>
            <w:r>
              <w:rPr>
                <w:color w:val="auto"/>
                <w:kern w:val="0"/>
                <w:sz w:val="22"/>
                <w:szCs w:val="22"/>
                <w:highlight w:val="none"/>
              </w:rPr>
              <w:t>组织实施</w:t>
            </w:r>
          </w:p>
          <w:p w14:paraId="3E2FECAD">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0B36CB40">
            <w:pPr>
              <w:widowControl/>
              <w:spacing w:line="0" w:lineRule="atLeast"/>
              <w:jc w:val="center"/>
              <w:rPr>
                <w:color w:val="auto"/>
                <w:kern w:val="0"/>
                <w:sz w:val="22"/>
                <w:szCs w:val="22"/>
                <w:highlight w:val="none"/>
              </w:rPr>
            </w:pPr>
            <w:r>
              <w:rPr>
                <w:color w:val="auto"/>
                <w:kern w:val="0"/>
                <w:sz w:val="22"/>
                <w:szCs w:val="22"/>
                <w:highlight w:val="none"/>
              </w:rPr>
              <w:t>管理制度</w:t>
            </w:r>
          </w:p>
          <w:p w14:paraId="604F42DF">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14:paraId="0E51E146">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4" w:type="pct"/>
            <w:shd w:val="clear" w:color="000000" w:fill="FFFFFF"/>
            <w:vAlign w:val="center"/>
          </w:tcPr>
          <w:p w14:paraId="64E132B3">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14:paraId="78078044">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195BE3C1">
            <w:pPr>
              <w:widowControl/>
              <w:spacing w:line="0" w:lineRule="atLeast"/>
              <w:jc w:val="center"/>
              <w:rPr>
                <w:b/>
                <w:bCs/>
                <w:color w:val="auto"/>
                <w:kern w:val="0"/>
                <w:sz w:val="22"/>
                <w:szCs w:val="22"/>
                <w:highlight w:val="none"/>
              </w:rPr>
            </w:pPr>
            <w:r>
              <w:rPr>
                <w:rFonts w:hint="eastAsia"/>
                <w:b/>
                <w:bCs/>
                <w:color w:val="auto"/>
                <w:kern w:val="0"/>
                <w:sz w:val="22"/>
                <w:szCs w:val="22"/>
                <w:highlight w:val="none"/>
                <w:lang w:val="en-US" w:eastAsia="zh-CN"/>
              </w:rPr>
              <w:t>4</w:t>
            </w:r>
          </w:p>
        </w:tc>
      </w:tr>
      <w:tr w14:paraId="1B01E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2C96DECD">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00D59F93">
            <w:pPr>
              <w:widowControl/>
              <w:spacing w:line="0" w:lineRule="atLeast"/>
              <w:jc w:val="center"/>
              <w:rPr>
                <w:color w:val="auto"/>
                <w:kern w:val="0"/>
                <w:sz w:val="22"/>
                <w:szCs w:val="22"/>
                <w:highlight w:val="none"/>
              </w:rPr>
            </w:pPr>
          </w:p>
        </w:tc>
        <w:tc>
          <w:tcPr>
            <w:tcW w:w="344" w:type="pct"/>
            <w:shd w:val="clear" w:color="auto" w:fill="FFFFFF"/>
            <w:vAlign w:val="center"/>
          </w:tcPr>
          <w:p w14:paraId="67DFEEAC">
            <w:pPr>
              <w:widowControl/>
              <w:spacing w:line="0" w:lineRule="atLeast"/>
              <w:jc w:val="center"/>
              <w:rPr>
                <w:color w:val="auto"/>
                <w:kern w:val="0"/>
                <w:sz w:val="22"/>
                <w:szCs w:val="22"/>
                <w:highlight w:val="none"/>
              </w:rPr>
            </w:pPr>
            <w:r>
              <w:rPr>
                <w:color w:val="auto"/>
                <w:kern w:val="0"/>
                <w:sz w:val="22"/>
                <w:szCs w:val="22"/>
                <w:highlight w:val="none"/>
              </w:rPr>
              <w:t>制度执行</w:t>
            </w:r>
          </w:p>
          <w:p w14:paraId="3B04530A">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14:paraId="4E960CBA">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4" w:type="pct"/>
            <w:shd w:val="clear" w:color="000000" w:fill="FFFFFF"/>
            <w:vAlign w:val="center"/>
          </w:tcPr>
          <w:p w14:paraId="1300FB8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14:paraId="4DA6444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16FB7C1F">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3D7F67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539F3F60">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2" w:type="pct"/>
            <w:shd w:val="clear" w:color="auto" w:fill="FFFFFF"/>
            <w:vAlign w:val="center"/>
          </w:tcPr>
          <w:p w14:paraId="0EF653D0">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14:paraId="4C48E5D6">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14:paraId="7ED6689E">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4" w:type="pct"/>
            <w:shd w:val="clear" w:color="000000" w:fill="FFFFFF"/>
            <w:vAlign w:val="center"/>
          </w:tcPr>
          <w:p w14:paraId="5D748222">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2FD17959">
            <w:pPr>
              <w:widowControl/>
              <w:spacing w:line="0" w:lineRule="atLeast"/>
              <w:jc w:val="center"/>
              <w:rPr>
                <w:b/>
                <w:bCs/>
                <w:color w:val="auto"/>
                <w:kern w:val="0"/>
                <w:sz w:val="22"/>
                <w:szCs w:val="22"/>
                <w:highlight w:val="none"/>
              </w:rPr>
            </w:pPr>
            <w:r>
              <w:rPr>
                <w:b/>
                <w:bCs/>
                <w:color w:val="auto"/>
                <w:kern w:val="0"/>
                <w:sz w:val="22"/>
                <w:szCs w:val="22"/>
                <w:highlight w:val="none"/>
              </w:rPr>
              <w:t>1</w:t>
            </w:r>
            <w:r>
              <w:rPr>
                <w:rFonts w:hint="eastAsia"/>
                <w:b/>
                <w:bCs/>
                <w:color w:val="auto"/>
                <w:kern w:val="0"/>
                <w:sz w:val="22"/>
                <w:szCs w:val="22"/>
                <w:highlight w:val="none"/>
              </w:rPr>
              <w:t>0</w:t>
            </w:r>
          </w:p>
        </w:tc>
        <w:tc>
          <w:tcPr>
            <w:tcW w:w="537" w:type="pct"/>
            <w:shd w:val="clear" w:color="000000" w:fill="FFFFFF"/>
            <w:vAlign w:val="center"/>
          </w:tcPr>
          <w:p w14:paraId="6E816503">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8CC3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1B95A59C">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2" w:type="pct"/>
            <w:shd w:val="clear" w:color="auto" w:fill="FFFFFF"/>
            <w:vAlign w:val="center"/>
          </w:tcPr>
          <w:p w14:paraId="638F6461">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14:paraId="177B1F57">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14:paraId="2DD5BAD6">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4" w:type="pct"/>
            <w:shd w:val="clear" w:color="000000" w:fill="FFFFFF"/>
            <w:vAlign w:val="center"/>
          </w:tcPr>
          <w:p w14:paraId="7DE286C9">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08CACAD8">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33EE73A">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3B05190D">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4D1E8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256AE0C5">
            <w:pPr>
              <w:spacing w:line="0" w:lineRule="atLeast"/>
              <w:jc w:val="center"/>
              <w:rPr>
                <w:color w:val="auto"/>
                <w:kern w:val="0"/>
                <w:sz w:val="22"/>
                <w:szCs w:val="22"/>
                <w:highlight w:val="none"/>
              </w:rPr>
            </w:pPr>
          </w:p>
        </w:tc>
        <w:tc>
          <w:tcPr>
            <w:tcW w:w="302" w:type="pct"/>
            <w:shd w:val="clear" w:color="auto" w:fill="FFFFFF"/>
            <w:vAlign w:val="center"/>
          </w:tcPr>
          <w:p w14:paraId="4A772453">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14:paraId="2C587DBF">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14:paraId="611C2A68">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4" w:type="pct"/>
            <w:shd w:val="clear" w:color="000000" w:fill="FFFFFF"/>
            <w:vAlign w:val="center"/>
          </w:tcPr>
          <w:p w14:paraId="0D601421">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14:paraId="5628EF75">
            <w:pPr>
              <w:widowControl/>
              <w:spacing w:line="0" w:lineRule="atLeast"/>
              <w:jc w:val="center"/>
              <w:rPr>
                <w:b/>
                <w:bCs/>
                <w:color w:val="auto"/>
                <w:kern w:val="0"/>
                <w:sz w:val="22"/>
                <w:szCs w:val="22"/>
                <w:highlight w:val="none"/>
              </w:rPr>
            </w:pPr>
            <w:r>
              <w:rPr>
                <w:b/>
                <w:bCs/>
                <w:color w:val="auto"/>
                <w:kern w:val="0"/>
                <w:sz w:val="22"/>
                <w:szCs w:val="22"/>
                <w:highlight w:val="none"/>
              </w:rPr>
              <w:t>1</w:t>
            </w:r>
            <w:r>
              <w:rPr>
                <w:rFonts w:hint="eastAsia"/>
                <w:b/>
                <w:bCs/>
                <w:color w:val="auto"/>
                <w:kern w:val="0"/>
                <w:sz w:val="22"/>
                <w:szCs w:val="22"/>
                <w:highlight w:val="none"/>
              </w:rPr>
              <w:t>0</w:t>
            </w:r>
          </w:p>
        </w:tc>
        <w:tc>
          <w:tcPr>
            <w:tcW w:w="537" w:type="pct"/>
            <w:shd w:val="clear" w:color="000000" w:fill="FFFFFF"/>
            <w:vAlign w:val="center"/>
          </w:tcPr>
          <w:p w14:paraId="5B05F908">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4675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378948CB">
            <w:pPr>
              <w:widowControl/>
              <w:spacing w:line="0" w:lineRule="atLeast"/>
              <w:jc w:val="center"/>
              <w:rPr>
                <w:color w:val="auto"/>
                <w:kern w:val="0"/>
                <w:sz w:val="22"/>
                <w:szCs w:val="22"/>
                <w:highlight w:val="none"/>
              </w:rPr>
            </w:pPr>
          </w:p>
        </w:tc>
        <w:tc>
          <w:tcPr>
            <w:tcW w:w="302" w:type="pct"/>
            <w:shd w:val="clear" w:color="auto" w:fill="FFFFFF"/>
            <w:vAlign w:val="center"/>
          </w:tcPr>
          <w:p w14:paraId="027B1502">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14:paraId="25B0D93A">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14:paraId="60C5EC3E">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4" w:type="pct"/>
            <w:shd w:val="clear" w:color="000000" w:fill="FFFFFF"/>
            <w:vAlign w:val="center"/>
          </w:tcPr>
          <w:p w14:paraId="5F9E775B">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2F94DEFE">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04EBCCB4">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53378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39B37DDC">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2" w:type="pct"/>
            <w:vMerge w:val="restart"/>
            <w:shd w:val="clear" w:color="auto" w:fill="FFFFFF"/>
            <w:vAlign w:val="center"/>
          </w:tcPr>
          <w:p w14:paraId="300BA0A5">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14:paraId="1F108B8C">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14:paraId="03973DA1">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4" w:type="pct"/>
            <w:shd w:val="clear" w:color="auto" w:fill="FFFFFF"/>
            <w:vAlign w:val="center"/>
          </w:tcPr>
          <w:p w14:paraId="128C521B">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48AD5F72">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15</w:t>
            </w:r>
          </w:p>
        </w:tc>
        <w:tc>
          <w:tcPr>
            <w:tcW w:w="537" w:type="pct"/>
            <w:shd w:val="clear" w:color="auto" w:fill="FFFFFF"/>
            <w:vAlign w:val="center"/>
          </w:tcPr>
          <w:p w14:paraId="14F5C15B">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15</w:t>
            </w:r>
          </w:p>
        </w:tc>
      </w:tr>
      <w:tr w14:paraId="2EA98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29CE0676">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533B7B31">
            <w:pPr>
              <w:widowControl/>
              <w:spacing w:line="0" w:lineRule="atLeast"/>
              <w:jc w:val="center"/>
              <w:rPr>
                <w:color w:val="auto"/>
                <w:kern w:val="0"/>
                <w:sz w:val="22"/>
                <w:szCs w:val="22"/>
                <w:highlight w:val="none"/>
              </w:rPr>
            </w:pPr>
          </w:p>
        </w:tc>
        <w:tc>
          <w:tcPr>
            <w:tcW w:w="344" w:type="pct"/>
            <w:shd w:val="clear" w:color="auto" w:fill="FFFFFF"/>
            <w:vAlign w:val="center"/>
          </w:tcPr>
          <w:p w14:paraId="1A0C12BA">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14:paraId="174319CC">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4" w:type="pct"/>
            <w:shd w:val="clear" w:color="000000" w:fill="FFFFFF"/>
            <w:vAlign w:val="center"/>
          </w:tcPr>
          <w:p w14:paraId="15292F21">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53E3285E">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5</w:t>
            </w:r>
          </w:p>
        </w:tc>
        <w:tc>
          <w:tcPr>
            <w:tcW w:w="537" w:type="pct"/>
            <w:shd w:val="clear" w:color="000000" w:fill="FFFFFF"/>
            <w:vAlign w:val="center"/>
          </w:tcPr>
          <w:p w14:paraId="51478B2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5</w:t>
            </w:r>
          </w:p>
        </w:tc>
      </w:tr>
    </w:tbl>
    <w:p w14:paraId="464FAB1C">
      <w:pPr>
        <w:pStyle w:val="19"/>
        <w:rPr>
          <w:rFonts w:ascii="Times New Roman" w:hAnsi="Times New Roman"/>
          <w:color w:val="auto"/>
          <w:highlight w:val="none"/>
        </w:rPr>
      </w:pPr>
    </w:p>
    <w:p w14:paraId="68EB1A98">
      <w:pPr>
        <w:rPr>
          <w:color w:val="auto"/>
          <w:highlight w:val="none"/>
        </w:rPr>
      </w:pPr>
    </w:p>
    <w:p w14:paraId="11681354">
      <w:pPr>
        <w:spacing w:line="540" w:lineRule="exact"/>
        <w:ind w:firstLine="640"/>
        <w:rPr>
          <w:rStyle w:val="24"/>
          <w:rFonts w:eastAsia="黑体"/>
          <w:bCs w:val="0"/>
          <w:color w:val="auto"/>
          <w:spacing w:val="-4"/>
          <w:sz w:val="32"/>
          <w:szCs w:val="32"/>
          <w:highlight w:val="none"/>
        </w:rPr>
      </w:pPr>
    </w:p>
    <w:p w14:paraId="29DBA372">
      <w:pPr>
        <w:spacing w:line="540" w:lineRule="exact"/>
        <w:ind w:firstLine="640"/>
        <w:rPr>
          <w:rStyle w:val="24"/>
          <w:rFonts w:eastAsia="黑体"/>
          <w:bCs w:val="0"/>
          <w:color w:val="auto"/>
          <w:spacing w:val="-4"/>
          <w:sz w:val="32"/>
          <w:szCs w:val="32"/>
          <w:highlight w:val="none"/>
        </w:rPr>
      </w:pPr>
    </w:p>
    <w:p w14:paraId="77BD14FA">
      <w:pPr>
        <w:spacing w:line="540" w:lineRule="exact"/>
        <w:ind w:firstLine="640"/>
        <w:rPr>
          <w:rStyle w:val="24"/>
          <w:rFonts w:eastAsia="黑体"/>
          <w:bCs w:val="0"/>
          <w:color w:val="auto"/>
          <w:spacing w:val="-4"/>
          <w:sz w:val="32"/>
          <w:szCs w:val="32"/>
          <w:highlight w:val="none"/>
        </w:rPr>
      </w:pPr>
    </w:p>
    <w:p w14:paraId="455EC83D">
      <w:pPr>
        <w:spacing w:line="540" w:lineRule="exact"/>
        <w:ind w:firstLine="640"/>
        <w:rPr>
          <w:rStyle w:val="24"/>
          <w:rFonts w:eastAsia="黑体"/>
          <w:bCs w:val="0"/>
          <w:color w:val="auto"/>
          <w:spacing w:val="-4"/>
          <w:sz w:val="32"/>
          <w:szCs w:val="32"/>
          <w:highlight w:val="none"/>
        </w:rPr>
      </w:pPr>
    </w:p>
    <w:p w14:paraId="6C28A399">
      <w:pPr>
        <w:spacing w:line="600" w:lineRule="exact"/>
        <w:rPr>
          <w:rFonts w:hint="default" w:ascii="Times New Roman" w:hAnsi="Times New Roman" w:eastAsia="宋体" w:cs="Times New Roman"/>
          <w:bCs/>
          <w:color w:val="auto"/>
          <w:sz w:val="32"/>
          <w:szCs w:val="32"/>
          <w:highlight w:val="none"/>
          <w:lang w:val="en-US" w:eastAsia="zh-CN"/>
        </w:rPr>
      </w:pPr>
      <w:r>
        <w:rPr>
          <w:rFonts w:hint="eastAsia" w:ascii="Times New Roman" w:hAnsi="Times New Roman" w:eastAsia="宋体" w:cs="Times New Roman"/>
          <w:bCs/>
          <w:color w:val="auto"/>
          <w:sz w:val="32"/>
          <w:szCs w:val="32"/>
          <w:highlight w:val="none"/>
          <w:lang w:val="en-US" w:eastAsia="zh-CN"/>
        </w:rPr>
        <w:t>附件2</w:t>
      </w:r>
    </w:p>
    <w:tbl>
      <w:tblPr>
        <w:tblStyle w:val="22"/>
        <w:tblW w:w="139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5"/>
        <w:gridCol w:w="661"/>
        <w:gridCol w:w="871"/>
        <w:gridCol w:w="1877"/>
        <w:gridCol w:w="666"/>
        <w:gridCol w:w="756"/>
        <w:gridCol w:w="787"/>
        <w:gridCol w:w="737"/>
        <w:gridCol w:w="949"/>
        <w:gridCol w:w="1119"/>
        <w:gridCol w:w="1188"/>
        <w:gridCol w:w="1598"/>
        <w:gridCol w:w="949"/>
        <w:gridCol w:w="1257"/>
      </w:tblGrid>
      <w:tr w14:paraId="0FEE8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940" w:type="dxa"/>
            <w:gridSpan w:val="14"/>
            <w:tcBorders>
              <w:top w:val="nil"/>
              <w:left w:val="nil"/>
              <w:bottom w:val="nil"/>
              <w:right w:val="nil"/>
            </w:tcBorders>
            <w:shd w:val="clear" w:color="auto" w:fill="auto"/>
            <w:vAlign w:val="center"/>
          </w:tcPr>
          <w:p w14:paraId="0A4E32B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F2D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94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6AEC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596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7D3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7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5B09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生态环境监察项目</w:t>
            </w:r>
          </w:p>
        </w:tc>
      </w:tr>
      <w:tr w14:paraId="6A851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5310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9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E08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自治区生态环境厅</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5949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1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0BD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新疆维吾尔自治区生态环境厅第六生态环境监察专员办公室</w:t>
            </w:r>
          </w:p>
        </w:tc>
      </w:tr>
      <w:tr w14:paraId="79DD2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EED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51979">
            <w:pPr>
              <w:jc w:val="center"/>
              <w:rPr>
                <w:rFonts w:hint="eastAsia" w:ascii="宋体" w:hAnsi="宋体" w:eastAsia="宋体" w:cs="宋体"/>
                <w:b/>
                <w:bCs/>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FA4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9E3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3EE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F65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D00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FF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300DC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2FB84">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915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5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A02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08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88.28</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54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7A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98.09%</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D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2B090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5A78B">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47A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7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737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D6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88.28</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61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9F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5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E94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4F7C1">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4A6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3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E0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0D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A2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70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C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3F15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482C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CE49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01CB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0799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08FD7">
            <w:pPr>
              <w:jc w:val="center"/>
              <w:rPr>
                <w:rFonts w:hint="eastAsia" w:ascii="宋体" w:hAnsi="宋体" w:eastAsia="宋体" w:cs="宋体"/>
                <w:b/>
                <w:bCs/>
                <w:i w:val="0"/>
                <w:iCs w:val="0"/>
                <w:color w:val="000000"/>
                <w:sz w:val="18"/>
                <w:szCs w:val="18"/>
                <w:u w:val="none"/>
              </w:rPr>
            </w:pP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0241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生态环境监察项目的实施，2024年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覆盖生态环境监察区域3个，形成督察检查专项报告3个、环保督察整改情况报告3个，监察频次9次，报告质量通过率和区域覆盖率达到100%，监察结果反馈率和跟踪督办率达到100%，检查人员被投诉次数不高于2次。达到辖区生态环境保护质量持续改善的效果。</w:t>
            </w:r>
          </w:p>
        </w:tc>
        <w:tc>
          <w:tcPr>
            <w:tcW w:w="7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B430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是在和田地区核查点位181个，确定了6个方面29个具体问题线索，现场检查点位161个；在克州，受理转办群众来电来信举报32件，对8件重点信访投诉件开展跟踪督办并回访群众，形成了督察报告报厅党组审阅。目前，督察报告已向克州进行了反馈，督察组交办的32件群众信访投诉件已办结26件，未办结6件，责令企业整改5家。在克州核查点位111个，新发现问题线索34条。二是在克州，现场检查点位93个，受理转办群众来电来信举报43件，对10件重点信访投诉件开展跟踪督办并回访群众，形成督察报告报厅党组审阅。目前，督察报告已向和田地区进行了反馈，督察组交办的43件群众信访投诉件已办结37件，阶段性办结1件，未办结5件。责令企业整改13家，责令停产整治1家，移送公安机关1家，立案处罚3家，罚款金额337.03万元；三是扎实开展喀什地区自治区生态环境保护督察“回头看”。目前，已向喀什地委办、行署办致函反馈问题八大类24个。督察取得的成效，主要体现在以下几方面：一是推动“绿水青山就是金山银山”的理念成为全党全社会的高度共识，二是生态环境保护“党政同责”“一岗双责”得到有效落实，三是推动各地实现经济效益、环境效益、社会效益多赢。</w:t>
            </w:r>
          </w:p>
        </w:tc>
      </w:tr>
      <w:tr w14:paraId="2F74B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AA694">
            <w:pPr>
              <w:jc w:val="center"/>
              <w:rPr>
                <w:rFonts w:hint="eastAsia" w:ascii="宋体" w:hAnsi="宋体" w:eastAsia="宋体" w:cs="宋体"/>
                <w:i w:val="0"/>
                <w:iCs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462D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0B87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FCF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C1DA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033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B92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5866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C06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BEA3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84DDC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80C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2FB7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A4DF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0B5D4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ABE69">
            <w:pPr>
              <w:jc w:val="center"/>
              <w:rPr>
                <w:rFonts w:hint="eastAsia" w:ascii="宋体" w:hAnsi="宋体" w:eastAsia="宋体" w:cs="宋体"/>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4DAE1">
            <w:pPr>
              <w:jc w:val="center"/>
              <w:rPr>
                <w:rFonts w:hint="eastAsia" w:ascii="宋体" w:hAnsi="宋体" w:eastAsia="宋体" w:cs="宋体"/>
                <w:b/>
                <w:bCs/>
                <w:i w:val="0"/>
                <w:iCs w:val="0"/>
                <w:color w:val="000000"/>
                <w:sz w:val="18"/>
                <w:szCs w:val="18"/>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88808">
            <w:pPr>
              <w:jc w:val="center"/>
              <w:rPr>
                <w:rFonts w:hint="eastAsia" w:ascii="宋体" w:hAnsi="宋体" w:eastAsia="宋体" w:cs="宋体"/>
                <w:b/>
                <w:bCs/>
                <w:i w:val="0"/>
                <w:iCs w:val="0"/>
                <w:color w:val="000000"/>
                <w:sz w:val="18"/>
                <w:szCs w:val="18"/>
                <w:u w:val="none"/>
              </w:rPr>
            </w:pPr>
          </w:p>
        </w:tc>
        <w:tc>
          <w:tcPr>
            <w:tcW w:w="1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35E86">
            <w:pPr>
              <w:jc w:val="center"/>
              <w:rPr>
                <w:rFonts w:hint="eastAsia" w:ascii="宋体" w:hAnsi="宋体" w:eastAsia="宋体" w:cs="宋体"/>
                <w:b/>
                <w:bCs/>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622AD">
            <w:pPr>
              <w:jc w:val="center"/>
              <w:rPr>
                <w:rFonts w:hint="eastAsia" w:ascii="宋体" w:hAnsi="宋体" w:eastAsia="宋体" w:cs="宋体"/>
                <w:b/>
                <w:bCs/>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376C3">
            <w:pPr>
              <w:jc w:val="center"/>
              <w:rPr>
                <w:rFonts w:hint="eastAsia" w:ascii="宋体" w:hAnsi="宋体" w:eastAsia="宋体" w:cs="宋体"/>
                <w:b/>
                <w:bCs/>
                <w:i w:val="0"/>
                <w:iCs w:val="0"/>
                <w:color w:val="000000"/>
                <w:sz w:val="18"/>
                <w:szCs w:val="18"/>
                <w:u w:val="none"/>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B2196">
            <w:pPr>
              <w:jc w:val="center"/>
              <w:rPr>
                <w:rFonts w:hint="eastAsia" w:ascii="宋体" w:hAnsi="宋体" w:eastAsia="宋体" w:cs="宋体"/>
                <w:b/>
                <w:bCs/>
                <w:i w:val="0"/>
                <w:iCs w:val="0"/>
                <w:color w:val="000000"/>
                <w:sz w:val="18"/>
                <w:szCs w:val="18"/>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01CAF">
            <w:pPr>
              <w:jc w:val="center"/>
              <w:rPr>
                <w:rFonts w:hint="eastAsia" w:ascii="宋体" w:hAnsi="宋体" w:eastAsia="宋体" w:cs="宋体"/>
                <w:b/>
                <w:bCs/>
                <w:i w:val="0"/>
                <w:iCs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453EE">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54434">
            <w:pPr>
              <w:jc w:val="center"/>
              <w:rPr>
                <w:rFonts w:hint="eastAsia" w:ascii="宋体" w:hAnsi="宋体" w:eastAsia="宋体" w:cs="宋体"/>
                <w:b/>
                <w:bCs/>
                <w:i w:val="0"/>
                <w:iCs w:val="0"/>
                <w:color w:val="000000"/>
                <w:sz w:val="18"/>
                <w:szCs w:val="18"/>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11B01">
            <w:pPr>
              <w:jc w:val="center"/>
              <w:rPr>
                <w:rFonts w:hint="eastAsia" w:ascii="宋体" w:hAnsi="宋体" w:eastAsia="宋体" w:cs="宋体"/>
                <w:b/>
                <w:bCs/>
                <w:i w:val="0"/>
                <w:iCs w:val="0"/>
                <w:color w:val="000000"/>
                <w:sz w:val="18"/>
                <w:szCs w:val="18"/>
                <w:u w:val="none"/>
              </w:rPr>
            </w:pPr>
          </w:p>
        </w:tc>
        <w:tc>
          <w:tcPr>
            <w:tcW w:w="1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A00DA">
            <w:pPr>
              <w:jc w:val="center"/>
              <w:rPr>
                <w:rFonts w:hint="eastAsia" w:ascii="宋体" w:hAnsi="宋体" w:eastAsia="宋体" w:cs="宋体"/>
                <w:b/>
                <w:bCs/>
                <w:i w:val="0"/>
                <w:iCs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84DC4">
            <w:pPr>
              <w:jc w:val="center"/>
              <w:rPr>
                <w:rFonts w:hint="eastAsia" w:ascii="宋体" w:hAnsi="宋体" w:eastAsia="宋体" w:cs="宋体"/>
                <w:b/>
                <w:bCs/>
                <w:i w:val="0"/>
                <w:iCs w:val="0"/>
                <w:color w:val="000000"/>
                <w:sz w:val="18"/>
                <w:szCs w:val="18"/>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4E5D6">
            <w:pPr>
              <w:jc w:val="center"/>
              <w:rPr>
                <w:rFonts w:hint="eastAsia" w:ascii="宋体" w:hAnsi="宋体" w:eastAsia="宋体" w:cs="宋体"/>
                <w:b/>
                <w:bCs/>
                <w:i w:val="0"/>
                <w:iCs w:val="0"/>
                <w:color w:val="000000"/>
                <w:sz w:val="18"/>
                <w:szCs w:val="18"/>
                <w:u w:val="none"/>
              </w:rPr>
            </w:pPr>
          </w:p>
        </w:tc>
      </w:tr>
      <w:tr w14:paraId="2717C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4F0C6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674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9A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8F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覆盖生态环境监察区域</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0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C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02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7E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1E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F8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2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0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4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EFEF">
            <w:pPr>
              <w:jc w:val="center"/>
              <w:rPr>
                <w:rFonts w:hint="eastAsia" w:ascii="宋体" w:hAnsi="宋体" w:eastAsia="宋体" w:cs="宋体"/>
                <w:i w:val="0"/>
                <w:iCs w:val="0"/>
                <w:color w:val="000000"/>
                <w:sz w:val="18"/>
                <w:szCs w:val="18"/>
                <w:u w:val="none"/>
              </w:rPr>
            </w:pPr>
          </w:p>
        </w:tc>
      </w:tr>
      <w:tr w14:paraId="1E894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A4A7C">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0A21D">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6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E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形成督察检查专项报告</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6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5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1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8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B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B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3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7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6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B2E5E">
            <w:pPr>
              <w:jc w:val="center"/>
              <w:rPr>
                <w:rFonts w:hint="eastAsia" w:ascii="宋体" w:hAnsi="宋体" w:eastAsia="宋体" w:cs="宋体"/>
                <w:i w:val="0"/>
                <w:iCs w:val="0"/>
                <w:color w:val="000000"/>
                <w:sz w:val="18"/>
                <w:szCs w:val="18"/>
                <w:u w:val="none"/>
              </w:rPr>
            </w:pPr>
          </w:p>
        </w:tc>
      </w:tr>
      <w:tr w14:paraId="2E9EA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AF013">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9C791">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B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9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形成环保督察整改情况报告</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8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4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D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F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D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4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6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1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B968">
            <w:pPr>
              <w:jc w:val="center"/>
              <w:rPr>
                <w:rFonts w:hint="eastAsia" w:ascii="宋体" w:hAnsi="宋体" w:eastAsia="宋体" w:cs="宋体"/>
                <w:i w:val="0"/>
                <w:iCs w:val="0"/>
                <w:color w:val="000000"/>
                <w:sz w:val="18"/>
                <w:szCs w:val="18"/>
                <w:u w:val="none"/>
              </w:rPr>
            </w:pPr>
          </w:p>
        </w:tc>
      </w:tr>
      <w:tr w14:paraId="586C7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B1AD9">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150C2">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5B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81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监督（监察）频次</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DF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C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&gt;=9次</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E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=9次</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39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4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3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3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4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0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8E4B">
            <w:pPr>
              <w:jc w:val="center"/>
              <w:rPr>
                <w:rFonts w:hint="eastAsia" w:ascii="宋体" w:hAnsi="宋体" w:eastAsia="宋体" w:cs="宋体"/>
                <w:i w:val="0"/>
                <w:iCs w:val="0"/>
                <w:color w:val="000000"/>
                <w:sz w:val="18"/>
                <w:szCs w:val="18"/>
                <w:u w:val="none"/>
              </w:rPr>
            </w:pPr>
          </w:p>
        </w:tc>
      </w:tr>
      <w:tr w14:paraId="05ABA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DF7D5">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9A9B3">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2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6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报告质量通过率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7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E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6F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B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B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31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F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2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4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AE1A">
            <w:pPr>
              <w:jc w:val="center"/>
              <w:rPr>
                <w:rFonts w:hint="eastAsia" w:ascii="宋体" w:hAnsi="宋体" w:eastAsia="宋体" w:cs="宋体"/>
                <w:i w:val="0"/>
                <w:iCs w:val="0"/>
                <w:color w:val="000000"/>
                <w:sz w:val="18"/>
                <w:szCs w:val="18"/>
                <w:u w:val="none"/>
              </w:rPr>
            </w:pPr>
          </w:p>
        </w:tc>
      </w:tr>
      <w:tr w14:paraId="6387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2E552">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EF5C8">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D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3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区域覆盖率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9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E3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A1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80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9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A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0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3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8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DA769">
            <w:pPr>
              <w:jc w:val="center"/>
              <w:rPr>
                <w:rFonts w:hint="eastAsia" w:ascii="宋体" w:hAnsi="宋体" w:eastAsia="宋体" w:cs="宋体"/>
                <w:i w:val="0"/>
                <w:iCs w:val="0"/>
                <w:color w:val="000000"/>
                <w:sz w:val="18"/>
                <w:szCs w:val="18"/>
                <w:u w:val="none"/>
              </w:rPr>
            </w:pPr>
          </w:p>
        </w:tc>
      </w:tr>
      <w:tr w14:paraId="23DD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CF81C">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EA749">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AD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8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年度督察任务按时完成率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CB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8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09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4A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D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0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A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5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9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C621">
            <w:pPr>
              <w:jc w:val="center"/>
              <w:rPr>
                <w:rFonts w:hint="eastAsia" w:ascii="宋体" w:hAnsi="宋体" w:eastAsia="宋体" w:cs="宋体"/>
                <w:i w:val="0"/>
                <w:iCs w:val="0"/>
                <w:color w:val="000000"/>
                <w:sz w:val="18"/>
                <w:szCs w:val="18"/>
                <w:u w:val="none"/>
              </w:rPr>
            </w:pPr>
          </w:p>
        </w:tc>
      </w:tr>
      <w:tr w14:paraId="6B3F0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702F5">
            <w:pPr>
              <w:jc w:val="center"/>
              <w:rPr>
                <w:rFonts w:hint="eastAsia" w:ascii="宋体" w:hAnsi="宋体" w:eastAsia="宋体" w:cs="宋体"/>
                <w:b/>
                <w:bCs/>
                <w:i w:val="0"/>
                <w:iCs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B3F5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B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4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监察结果反馈率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7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8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D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E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7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8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8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1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C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4670">
            <w:pPr>
              <w:jc w:val="center"/>
              <w:rPr>
                <w:rFonts w:hint="eastAsia" w:ascii="宋体" w:hAnsi="宋体" w:eastAsia="宋体" w:cs="宋体"/>
                <w:i w:val="0"/>
                <w:iCs w:val="0"/>
                <w:color w:val="000000"/>
                <w:sz w:val="18"/>
                <w:szCs w:val="18"/>
                <w:u w:val="none"/>
              </w:rPr>
            </w:pPr>
          </w:p>
        </w:tc>
      </w:tr>
      <w:tr w14:paraId="30064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5C831">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F099E">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28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A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跟踪督办率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A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6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54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0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0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0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8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B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0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F47F">
            <w:pPr>
              <w:jc w:val="center"/>
              <w:rPr>
                <w:rFonts w:hint="eastAsia" w:ascii="宋体" w:hAnsi="宋体" w:eastAsia="宋体" w:cs="宋体"/>
                <w:i w:val="0"/>
                <w:iCs w:val="0"/>
                <w:color w:val="000000"/>
                <w:sz w:val="18"/>
                <w:szCs w:val="18"/>
                <w:u w:val="none"/>
              </w:rPr>
            </w:pPr>
          </w:p>
        </w:tc>
      </w:tr>
      <w:tr w14:paraId="38169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ABB20">
            <w:pPr>
              <w:jc w:val="center"/>
              <w:rPr>
                <w:rFonts w:hint="eastAsia" w:ascii="宋体" w:hAnsi="宋体" w:eastAsia="宋体" w:cs="宋体"/>
                <w:b/>
                <w:bCs/>
                <w:i w:val="0"/>
                <w:iCs w:val="0"/>
                <w:color w:val="000000"/>
                <w:sz w:val="18"/>
                <w:szCs w:val="18"/>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A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9E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CE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检查人员被投诉次数</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F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A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&lt;=5次</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8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E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9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B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5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7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F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77989">
            <w:pPr>
              <w:jc w:val="center"/>
              <w:rPr>
                <w:rFonts w:hint="eastAsia" w:ascii="宋体" w:hAnsi="宋体" w:eastAsia="宋体" w:cs="宋体"/>
                <w:i w:val="0"/>
                <w:iCs w:val="0"/>
                <w:color w:val="000000"/>
                <w:sz w:val="18"/>
                <w:szCs w:val="18"/>
                <w:u w:val="none"/>
              </w:rPr>
            </w:pPr>
          </w:p>
        </w:tc>
      </w:tr>
      <w:tr w14:paraId="23238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937" w:type="dxa"/>
            <w:gridSpan w:val="4"/>
            <w:tcBorders>
              <w:top w:val="single" w:color="000000" w:sz="4" w:space="0"/>
              <w:left w:val="single" w:color="000000" w:sz="4" w:space="0"/>
              <w:bottom w:val="single" w:color="000000" w:sz="4" w:space="0"/>
              <w:right w:val="nil"/>
            </w:tcBorders>
            <w:shd w:val="clear" w:color="auto" w:fill="auto"/>
            <w:vAlign w:val="center"/>
          </w:tcPr>
          <w:p w14:paraId="2B5922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B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6" w:type="dxa"/>
            <w:tcBorders>
              <w:top w:val="single" w:color="000000" w:sz="4" w:space="0"/>
              <w:left w:val="nil"/>
              <w:bottom w:val="single" w:color="000000" w:sz="4" w:space="0"/>
              <w:right w:val="single" w:color="000000" w:sz="4" w:space="0"/>
            </w:tcBorders>
            <w:shd w:val="clear" w:color="auto" w:fill="auto"/>
            <w:vAlign w:val="center"/>
          </w:tcPr>
          <w:p w14:paraId="57D72A0F">
            <w:pPr>
              <w:rPr>
                <w:rFonts w:hint="eastAsia" w:ascii="宋体" w:hAnsi="宋体" w:eastAsia="宋体" w:cs="宋体"/>
                <w:b/>
                <w:bCs/>
                <w:i w:val="0"/>
                <w:iCs w:val="0"/>
                <w:color w:val="000000"/>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C443">
            <w:pPr>
              <w:jc w:val="cente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CB87">
            <w:pPr>
              <w:jc w:val="cente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C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100</w:t>
            </w:r>
            <w:r>
              <w:rPr>
                <w:rFonts w:hint="eastAsia" w:ascii="宋体" w:hAnsi="宋体" w:eastAsia="宋体" w:cs="宋体"/>
                <w:i w:val="0"/>
                <w:iCs w:val="0"/>
                <w:color w:val="000000"/>
                <w:kern w:val="0"/>
                <w:sz w:val="18"/>
                <w:szCs w:val="18"/>
                <w:u w:val="none"/>
                <w:lang w:val="en-US" w:eastAsia="zh-CN" w:bidi="ar"/>
              </w:rPr>
              <w:t>分</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C098">
            <w:pP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1008">
            <w:pPr>
              <w:rPr>
                <w:rFonts w:hint="eastAsia" w:ascii="宋体" w:hAnsi="宋体" w:eastAsia="宋体" w:cs="宋体"/>
                <w:i w:val="0"/>
                <w:iCs w:val="0"/>
                <w:color w:val="000000"/>
                <w:sz w:val="18"/>
                <w:szCs w:val="18"/>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ACC8">
            <w:pP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90E0">
            <w:pPr>
              <w:rPr>
                <w:rFonts w:hint="eastAsia" w:ascii="宋体" w:hAnsi="宋体" w:eastAsia="宋体" w:cs="宋体"/>
                <w:i w:val="0"/>
                <w:iCs w:val="0"/>
                <w:color w:val="000000"/>
                <w:sz w:val="18"/>
                <w:szCs w:val="18"/>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7D9">
            <w:pPr>
              <w:rPr>
                <w:rFonts w:hint="eastAsia" w:ascii="宋体" w:hAnsi="宋体" w:eastAsia="宋体" w:cs="宋体"/>
                <w:i w:val="0"/>
                <w:iCs w:val="0"/>
                <w:color w:val="000000"/>
                <w:sz w:val="18"/>
                <w:szCs w:val="18"/>
                <w:u w:val="none"/>
              </w:rPr>
            </w:pPr>
          </w:p>
        </w:tc>
      </w:tr>
    </w:tbl>
    <w:p w14:paraId="76C9192E">
      <w:pPr>
        <w:spacing w:line="540" w:lineRule="exact"/>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488C35">
        <w:pPr>
          <w:pStyle w:val="15"/>
          <w:jc w:val="center"/>
        </w:pPr>
        <w:r>
          <w:fldChar w:fldCharType="begin"/>
        </w:r>
        <w:r>
          <w:instrText xml:space="preserve">PAGE   \* MERGEFORMAT</w:instrText>
        </w:r>
        <w:r>
          <w:fldChar w:fldCharType="separate"/>
        </w:r>
        <w:r>
          <w:rPr>
            <w:lang w:val="zh-CN"/>
          </w:rPr>
          <w:t>17</w:t>
        </w:r>
        <w:r>
          <w:fldChar w:fldCharType="end"/>
        </w:r>
      </w:p>
    </w:sdtContent>
  </w:sdt>
  <w:p w14:paraId="1DC8F355">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4CD2B0F"/>
    <w:multiLevelType w:val="singleLevel"/>
    <w:tmpl w:val="F4CD2B0F"/>
    <w:lvl w:ilvl="0" w:tentative="0">
      <w:start w:val="1"/>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9220CA"/>
    <w:rsid w:val="02ED4765"/>
    <w:rsid w:val="051A56F5"/>
    <w:rsid w:val="066D6EAA"/>
    <w:rsid w:val="06DC1681"/>
    <w:rsid w:val="08C662D4"/>
    <w:rsid w:val="09BD4D95"/>
    <w:rsid w:val="0B0F58D6"/>
    <w:rsid w:val="0BA36F53"/>
    <w:rsid w:val="0F8D41CB"/>
    <w:rsid w:val="0FEE2F21"/>
    <w:rsid w:val="10E50832"/>
    <w:rsid w:val="11C75270"/>
    <w:rsid w:val="12637CC3"/>
    <w:rsid w:val="12E657C5"/>
    <w:rsid w:val="133C6E2A"/>
    <w:rsid w:val="15BD71C5"/>
    <w:rsid w:val="16244721"/>
    <w:rsid w:val="167C7687"/>
    <w:rsid w:val="168B3546"/>
    <w:rsid w:val="180E295A"/>
    <w:rsid w:val="1970472E"/>
    <w:rsid w:val="1A2374E0"/>
    <w:rsid w:val="1C317CE2"/>
    <w:rsid w:val="1C3B673A"/>
    <w:rsid w:val="1DD45808"/>
    <w:rsid w:val="1DED42AC"/>
    <w:rsid w:val="1E3E561C"/>
    <w:rsid w:val="1F983115"/>
    <w:rsid w:val="20005763"/>
    <w:rsid w:val="20FB313D"/>
    <w:rsid w:val="220B4804"/>
    <w:rsid w:val="27734588"/>
    <w:rsid w:val="278B653F"/>
    <w:rsid w:val="282475E3"/>
    <w:rsid w:val="29E421D9"/>
    <w:rsid w:val="2BB87A4D"/>
    <w:rsid w:val="2C2A3039"/>
    <w:rsid w:val="2C6100C1"/>
    <w:rsid w:val="307A753E"/>
    <w:rsid w:val="3235157C"/>
    <w:rsid w:val="3264220D"/>
    <w:rsid w:val="32A83563"/>
    <w:rsid w:val="32C816BC"/>
    <w:rsid w:val="38872456"/>
    <w:rsid w:val="3963178C"/>
    <w:rsid w:val="3BA5236D"/>
    <w:rsid w:val="3CED0699"/>
    <w:rsid w:val="3CEF440A"/>
    <w:rsid w:val="3D4756E6"/>
    <w:rsid w:val="3EB02FD6"/>
    <w:rsid w:val="3F902C0F"/>
    <w:rsid w:val="40126B9E"/>
    <w:rsid w:val="41CC2676"/>
    <w:rsid w:val="45501262"/>
    <w:rsid w:val="46B21672"/>
    <w:rsid w:val="47394A4E"/>
    <w:rsid w:val="4B5123E4"/>
    <w:rsid w:val="4C5E43AD"/>
    <w:rsid w:val="4F552460"/>
    <w:rsid w:val="4FCC6863"/>
    <w:rsid w:val="500A214A"/>
    <w:rsid w:val="512C18D3"/>
    <w:rsid w:val="51AD293E"/>
    <w:rsid w:val="522D604D"/>
    <w:rsid w:val="5297585E"/>
    <w:rsid w:val="52AD7D6F"/>
    <w:rsid w:val="5549519D"/>
    <w:rsid w:val="5557596B"/>
    <w:rsid w:val="5B596DFC"/>
    <w:rsid w:val="5DAE6D00"/>
    <w:rsid w:val="5DF03945"/>
    <w:rsid w:val="5F03526B"/>
    <w:rsid w:val="600339F4"/>
    <w:rsid w:val="60DF7FBD"/>
    <w:rsid w:val="61552D7D"/>
    <w:rsid w:val="628A2EDA"/>
    <w:rsid w:val="62E515AF"/>
    <w:rsid w:val="637C2815"/>
    <w:rsid w:val="666B4FDC"/>
    <w:rsid w:val="678278F4"/>
    <w:rsid w:val="67FF13C8"/>
    <w:rsid w:val="682144B7"/>
    <w:rsid w:val="685E3EBD"/>
    <w:rsid w:val="6B503F77"/>
    <w:rsid w:val="6E311968"/>
    <w:rsid w:val="6F1122E6"/>
    <w:rsid w:val="749F7D37"/>
    <w:rsid w:val="75FB6E70"/>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1"/>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w:basedOn w:val="12"/>
    <w:qFormat/>
    <w:uiPriority w:val="0"/>
    <w:pPr>
      <w:spacing w:after="0"/>
      <w:ind w:firstLine="200" w:firstLineChars="200"/>
    </w:pPr>
  </w:style>
  <w:style w:type="paragraph" w:styleId="21">
    <w:name w:val="Body Text First Indent 2"/>
    <w:basedOn w:val="13"/>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2"/>
    <w:qFormat/>
    <w:uiPriority w:val="9"/>
    <w:rPr>
      <w:rFonts w:asciiTheme="majorHAnsi" w:hAnsiTheme="majorHAnsi" w:eastAsiaTheme="majorEastAsia"/>
      <w:b/>
      <w:bCs/>
      <w:kern w:val="32"/>
      <w:sz w:val="32"/>
      <w:szCs w:val="32"/>
    </w:rPr>
  </w:style>
  <w:style w:type="character" w:customStyle="1" w:styleId="27">
    <w:name w:val="标题 2 字符"/>
    <w:basedOn w:val="23"/>
    <w:link w:val="3"/>
    <w:semiHidden/>
    <w:qFormat/>
    <w:uiPriority w:val="9"/>
    <w:rPr>
      <w:rFonts w:asciiTheme="majorHAnsi" w:hAnsiTheme="majorHAnsi" w:eastAsiaTheme="majorEastAsia"/>
      <w:b/>
      <w:bCs/>
      <w:i/>
      <w:iCs/>
      <w:sz w:val="28"/>
      <w:szCs w:val="28"/>
    </w:rPr>
  </w:style>
  <w:style w:type="character" w:customStyle="1" w:styleId="28">
    <w:name w:val="标题 3 字符"/>
    <w:basedOn w:val="23"/>
    <w:link w:val="4"/>
    <w:semiHidden/>
    <w:qFormat/>
    <w:uiPriority w:val="9"/>
    <w:rPr>
      <w:rFonts w:asciiTheme="majorHAnsi" w:hAnsiTheme="majorHAnsi" w:eastAsiaTheme="majorEastAsia"/>
      <w:b/>
      <w:bCs/>
      <w:sz w:val="26"/>
      <w:szCs w:val="26"/>
    </w:rPr>
  </w:style>
  <w:style w:type="character" w:customStyle="1" w:styleId="29">
    <w:name w:val="标题 4 字符"/>
    <w:basedOn w:val="23"/>
    <w:link w:val="5"/>
    <w:semiHidden/>
    <w:qFormat/>
    <w:uiPriority w:val="9"/>
    <w:rPr>
      <w:b/>
      <w:bCs/>
      <w:sz w:val="28"/>
      <w:szCs w:val="28"/>
    </w:rPr>
  </w:style>
  <w:style w:type="character" w:customStyle="1" w:styleId="30">
    <w:name w:val="标题 5 字符"/>
    <w:basedOn w:val="23"/>
    <w:link w:val="6"/>
    <w:semiHidden/>
    <w:qFormat/>
    <w:uiPriority w:val="9"/>
    <w:rPr>
      <w:b/>
      <w:bCs/>
      <w:i/>
      <w:iCs/>
      <w:sz w:val="26"/>
      <w:szCs w:val="26"/>
    </w:rPr>
  </w:style>
  <w:style w:type="character" w:customStyle="1" w:styleId="31">
    <w:name w:val="标题 6 字符"/>
    <w:basedOn w:val="23"/>
    <w:link w:val="7"/>
    <w:semiHidden/>
    <w:qFormat/>
    <w:uiPriority w:val="9"/>
    <w:rPr>
      <w:b/>
      <w:bCs/>
    </w:rPr>
  </w:style>
  <w:style w:type="character" w:customStyle="1" w:styleId="32">
    <w:name w:val="标题 7 字符"/>
    <w:basedOn w:val="23"/>
    <w:link w:val="8"/>
    <w:semiHidden/>
    <w:qFormat/>
    <w:uiPriority w:val="9"/>
    <w:rPr>
      <w:sz w:val="24"/>
      <w:szCs w:val="24"/>
    </w:rPr>
  </w:style>
  <w:style w:type="character" w:customStyle="1" w:styleId="33">
    <w:name w:val="标题 8 字符"/>
    <w:basedOn w:val="23"/>
    <w:link w:val="9"/>
    <w:semiHidden/>
    <w:qFormat/>
    <w:uiPriority w:val="9"/>
    <w:rPr>
      <w:i/>
      <w:iCs/>
      <w:sz w:val="24"/>
      <w:szCs w:val="24"/>
    </w:rPr>
  </w:style>
  <w:style w:type="character" w:customStyle="1" w:styleId="34">
    <w:name w:val="标题 9 字符"/>
    <w:basedOn w:val="23"/>
    <w:link w:val="10"/>
    <w:semiHidden/>
    <w:qFormat/>
    <w:uiPriority w:val="9"/>
    <w:rPr>
      <w:rFonts w:asciiTheme="majorHAnsi" w:hAnsiTheme="majorHAnsi" w:eastAsiaTheme="majorEastAsia"/>
    </w:rPr>
  </w:style>
  <w:style w:type="character" w:customStyle="1" w:styleId="35">
    <w:name w:val="标题 字符"/>
    <w:basedOn w:val="23"/>
    <w:link w:val="19"/>
    <w:qFormat/>
    <w:uiPriority w:val="10"/>
    <w:rPr>
      <w:rFonts w:asciiTheme="majorHAnsi" w:hAnsiTheme="majorHAnsi" w:eastAsiaTheme="majorEastAsia"/>
      <w:b/>
      <w:bCs/>
      <w:kern w:val="28"/>
      <w:sz w:val="32"/>
      <w:szCs w:val="32"/>
    </w:rPr>
  </w:style>
  <w:style w:type="character" w:customStyle="1" w:styleId="36">
    <w:name w:val="副标题 字符"/>
    <w:basedOn w:val="23"/>
    <w:link w:val="17"/>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2"/>
    <w:next w:val="1"/>
    <w:semiHidden/>
    <w:unhideWhenUsed/>
    <w:qFormat/>
    <w:uiPriority w:val="39"/>
    <w:pPr>
      <w:outlineLvl w:val="9"/>
    </w:pPr>
    <w:rPr>
      <w:lang w:eastAsia="en-US" w:bidi="en-US"/>
    </w:rPr>
  </w:style>
  <w:style w:type="character" w:customStyle="1" w:styleId="49">
    <w:name w:val="页眉 字符"/>
    <w:basedOn w:val="23"/>
    <w:link w:val="16"/>
    <w:qFormat/>
    <w:uiPriority w:val="99"/>
    <w:rPr>
      <w:rFonts w:ascii="Calibri" w:hAnsi="Calibri" w:eastAsia="宋体"/>
      <w:kern w:val="2"/>
      <w:sz w:val="18"/>
      <w:szCs w:val="18"/>
    </w:rPr>
  </w:style>
  <w:style w:type="character" w:customStyle="1" w:styleId="50">
    <w:name w:val="页脚 字符"/>
    <w:basedOn w:val="23"/>
    <w:link w:val="15"/>
    <w:qFormat/>
    <w:uiPriority w:val="99"/>
    <w:rPr>
      <w:rFonts w:ascii="Calibri" w:hAnsi="Calibri" w:eastAsia="宋体"/>
      <w:kern w:val="2"/>
      <w:sz w:val="18"/>
      <w:szCs w:val="18"/>
    </w:rPr>
  </w:style>
  <w:style w:type="character" w:customStyle="1" w:styleId="51">
    <w:name w:val="批注框文本 字符"/>
    <w:basedOn w:val="23"/>
    <w:link w:val="14"/>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character" w:customStyle="1" w:styleId="54">
    <w:name w:val="NormalCharacter"/>
    <w:autoRedefine/>
    <w:qFormat/>
    <w:uiPriority w:val="0"/>
    <w:rPr>
      <w:rFonts w:ascii="Times New Roman" w:hAnsi="Times New Roman" w:eastAsia="仿宋_GB2312" w:cs="Times New Roman"/>
      <w:kern w:val="2"/>
      <w:sz w:val="30"/>
      <w:szCs w:val="24"/>
      <w:lang w:val="en-US" w:eastAsia="zh-CN" w:bidi="ar-SA"/>
    </w:rPr>
  </w:style>
  <w:style w:type="paragraph" w:customStyle="1" w:styleId="55">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392</Words>
  <Characters>406</Characters>
  <Lines>50</Lines>
  <Paragraphs>14</Paragraphs>
  <TotalTime>0</TotalTime>
  <ScaleCrop>false</ScaleCrop>
  <LinksUpToDate>false</LinksUpToDate>
  <CharactersWithSpaces>407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2020-07-05T00:35:00Z</dcterms:created>
  <dc:creator>赵 恺（预算处）</dc:creator>
  <cp:lastModifiedBy>Joey</cp:lastModifiedBy>
  <cp:lastPrinted>2020-01-01T00:02:00Z</cp:lastPrinted>
  <dcterms:modified xsi:type="dcterms:W3CDTF">2025-09-03T14:32:50Z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36B174D50D394706A1848AC34CC2B90D_13</vt:lpwstr>
  </property>
  <property fmtid="{D5CDD505-2E9C-101B-9397-08002B2CF9AE}" pid="4" name="KSOSaveFontToCloudKey">
    <vt:lpwstr>0_btnclosed</vt:lpwstr>
  </property>
  <property fmtid="{D5CDD505-2E9C-101B-9397-08002B2CF9AE}" pid="5" name="KSOTemplateDocerSaveRecord">
    <vt:lpwstr>eyJoZGlkIjoiNWY0NzU0ZGQzYzg5MTlmYWY4ZGZlYzY2M2Q2NjUyMGMiLCJ1c2VySWQiOiIzMTA1NzAxMDkifQ==</vt:lpwstr>
  </property>
</Properties>
</file>