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10" w:name="_GoBack"/>
      <w:bookmarkEnd w:id="10"/>
    </w:p>
    <w:p>
      <w:pPr>
        <w:spacing w:line="540" w:lineRule="exact"/>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生态环境监察</w:t>
      </w:r>
      <w:r>
        <w:rPr>
          <w:rFonts w:eastAsia="方正小标宋_GBK"/>
          <w:kern w:val="0"/>
          <w:sz w:val="48"/>
          <w:szCs w:val="48"/>
        </w:rPr>
        <w:t>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1"/>
      </w:pPr>
    </w:p>
    <w:p>
      <w:pPr>
        <w:spacing w:line="540" w:lineRule="exact"/>
        <w:rPr>
          <w:rFonts w:eastAsia="仿宋_GB2312"/>
          <w:kern w:val="0"/>
          <w:sz w:val="30"/>
          <w:szCs w:val="30"/>
        </w:rPr>
      </w:pPr>
    </w:p>
    <w:p>
      <w:pPr>
        <w:spacing w:line="700" w:lineRule="exact"/>
        <w:ind w:left="3236" w:leftChars="684" w:hanging="1800" w:hangingChars="500"/>
        <w:jc w:val="left"/>
        <w:rPr>
          <w:rFonts w:hint="default" w:eastAsia="仿宋_GB2312"/>
          <w:kern w:val="0"/>
          <w:sz w:val="36"/>
          <w:szCs w:val="36"/>
          <w:lang w:val="en-US"/>
        </w:rPr>
      </w:pPr>
      <w:r>
        <w:rPr>
          <w:rFonts w:eastAsia="仿宋_GB2312"/>
          <w:kern w:val="0"/>
          <w:sz w:val="36"/>
          <w:szCs w:val="36"/>
        </w:rPr>
        <w:t>项目名称：</w:t>
      </w:r>
      <w:r>
        <w:rPr>
          <w:rFonts w:hint="eastAsia" w:eastAsia="仿宋_GB2312"/>
          <w:kern w:val="0"/>
          <w:sz w:val="30"/>
          <w:szCs w:val="30"/>
          <w:lang w:val="en-US" w:eastAsia="zh-CN"/>
        </w:rPr>
        <w:t>生态环境监察项目</w:t>
      </w:r>
    </w:p>
    <w:p>
      <w:pPr>
        <w:spacing w:line="700" w:lineRule="exact"/>
        <w:ind w:left="3236" w:leftChars="684" w:hanging="1800" w:hangingChars="500"/>
        <w:jc w:val="right"/>
        <w:rPr>
          <w:rFonts w:eastAsia="仿宋_GB2312"/>
          <w:kern w:val="0"/>
          <w:sz w:val="36"/>
          <w:szCs w:val="36"/>
        </w:rPr>
      </w:pPr>
      <w:r>
        <w:rPr>
          <w:rFonts w:hint="eastAsia" w:eastAsia="仿宋_GB2312"/>
          <w:kern w:val="0"/>
          <w:sz w:val="36"/>
          <w:szCs w:val="36"/>
        </w:rPr>
        <w:t>实施单位（公章）：</w:t>
      </w:r>
      <w:r>
        <w:rPr>
          <w:rFonts w:hint="eastAsia" w:eastAsia="仿宋_GB2312"/>
          <w:kern w:val="0"/>
          <w:sz w:val="30"/>
          <w:szCs w:val="30"/>
        </w:rPr>
        <w:t>新疆维吾尔自治区生态环境厅第三生态环境监察专员办公室</w:t>
      </w:r>
    </w:p>
    <w:p>
      <w:pPr>
        <w:spacing w:line="700" w:lineRule="exact"/>
        <w:ind w:firstLine="1440" w:firstLineChars="400"/>
        <w:jc w:val="left"/>
        <w:rPr>
          <w:rFonts w:eastAsia="仿宋_GB2312"/>
          <w:kern w:val="0"/>
          <w:sz w:val="30"/>
          <w:szCs w:val="30"/>
        </w:rPr>
      </w:pPr>
      <w:r>
        <w:rPr>
          <w:rFonts w:hint="eastAsia" w:eastAsia="仿宋_GB2312"/>
          <w:kern w:val="0"/>
          <w:sz w:val="36"/>
          <w:szCs w:val="36"/>
        </w:rPr>
        <w:t>主管部门（公章）：</w:t>
      </w:r>
      <w:r>
        <w:rPr>
          <w:rFonts w:hint="eastAsia" w:eastAsia="仿宋_GB2312"/>
          <w:kern w:val="0"/>
          <w:sz w:val="30"/>
          <w:szCs w:val="30"/>
        </w:rPr>
        <w:t>新疆维吾尔自治区生态环境厅</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0"/>
          <w:szCs w:val="30"/>
        </w:rPr>
        <w:t>张旭</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eastAsia="仿宋_GB2312"/>
          <w:kern w:val="0"/>
          <w:sz w:val="30"/>
          <w:szCs w:val="30"/>
        </w:rPr>
        <w:t>：</w:t>
      </w:r>
      <w:r>
        <w:rPr>
          <w:rFonts w:hint="eastAsia" w:ascii="宋体" w:hAnsi="宋体" w:cs="宋体"/>
          <w:kern w:val="0"/>
          <w:sz w:val="30"/>
          <w:szCs w:val="30"/>
        </w:rPr>
        <w:t>2024年</w:t>
      </w:r>
      <w:r>
        <w:rPr>
          <w:rFonts w:hint="eastAsia" w:ascii="宋体" w:hAnsi="宋体" w:cs="宋体"/>
          <w:kern w:val="0"/>
          <w:sz w:val="30"/>
          <w:szCs w:val="30"/>
          <w:lang w:val="en-US" w:eastAsia="zh-CN"/>
        </w:rPr>
        <w:t>3</w:t>
      </w:r>
      <w:r>
        <w:rPr>
          <w:rFonts w:hint="eastAsia" w:ascii="宋体" w:hAnsi="宋体" w:cs="宋体"/>
          <w:kern w:val="0"/>
          <w:sz w:val="30"/>
          <w:szCs w:val="30"/>
        </w:rPr>
        <w:t>月</w:t>
      </w:r>
      <w:r>
        <w:rPr>
          <w:rFonts w:hint="eastAsia" w:ascii="宋体" w:hAnsi="宋体" w:cs="宋体"/>
          <w:kern w:val="0"/>
          <w:sz w:val="30"/>
          <w:szCs w:val="30"/>
          <w:lang w:val="en-US" w:eastAsia="zh-CN"/>
        </w:rPr>
        <w:t>31</w:t>
      </w:r>
      <w:r>
        <w:rPr>
          <w:rFonts w:hint="eastAsia" w:ascii="宋体" w:hAnsi="宋体" w:cs="宋体"/>
          <w:kern w:val="0"/>
          <w:sz w:val="30"/>
          <w:szCs w:val="30"/>
        </w:rPr>
        <w:t>日</w:t>
      </w: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黑体"/>
          <w:bCs/>
          <w:sz w:val="32"/>
          <w:szCs w:val="32"/>
        </w:rPr>
      </w:pPr>
      <w:r>
        <w:rPr>
          <w:rFonts w:eastAsia="黑体"/>
          <w:bCs/>
          <w:sz w:val="32"/>
          <w:szCs w:val="32"/>
        </w:rPr>
        <w:t>一、基本情况</w:t>
      </w:r>
    </w:p>
    <w:p>
      <w:pPr>
        <w:keepNext w:val="0"/>
        <w:keepLines w:val="0"/>
        <w:pageBreakBefore w:val="0"/>
        <w:kinsoku/>
        <w:wordWrap/>
        <w:overflowPunct/>
        <w:topLinePunct w:val="0"/>
        <w:autoSpaceDE/>
        <w:autoSpaceDN/>
        <w:bidi w:val="0"/>
        <w:spacing w:after="0" w:line="560" w:lineRule="exact"/>
        <w:ind w:left="0" w:leftChars="0" w:firstLine="643" w:firstLineChars="200"/>
        <w:jc w:val="both"/>
        <w:textAlignment w:val="auto"/>
        <w:rPr>
          <w:rFonts w:eastAsia="楷体_GB2312"/>
          <w:b/>
          <w:bCs/>
          <w:sz w:val="32"/>
          <w:szCs w:val="32"/>
        </w:rPr>
      </w:pPr>
      <w:r>
        <w:rPr>
          <w:rFonts w:eastAsia="楷体_GB2312"/>
          <w:b/>
          <w:bCs/>
          <w:sz w:val="32"/>
          <w:szCs w:val="32"/>
        </w:rPr>
        <w:t>（一）项目概况</w:t>
      </w:r>
    </w:p>
    <w:p>
      <w:pPr>
        <w:keepNext w:val="0"/>
        <w:keepLines w:val="0"/>
        <w:pageBreakBefore w:val="0"/>
        <w:kinsoku/>
        <w:wordWrap/>
        <w:overflowPunct/>
        <w:topLinePunct w:val="0"/>
        <w:autoSpaceDE/>
        <w:autoSpaceDN/>
        <w:bidi w:val="0"/>
        <w:spacing w:after="0" w:line="560" w:lineRule="exact"/>
        <w:ind w:left="0" w:leftChars="0" w:firstLine="643" w:firstLineChars="200"/>
        <w:jc w:val="both"/>
        <w:textAlignment w:val="auto"/>
        <w:rPr>
          <w:rFonts w:eastAsia="仿宋_GB2312"/>
          <w:b/>
          <w:bCs/>
          <w:sz w:val="32"/>
          <w:szCs w:val="32"/>
        </w:rPr>
      </w:pPr>
      <w:r>
        <w:rPr>
          <w:rFonts w:eastAsia="仿宋_GB2312"/>
          <w:b/>
          <w:bCs/>
          <w:sz w:val="32"/>
          <w:szCs w:val="32"/>
        </w:rPr>
        <w:t>1、项目背景</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Style w:val="17"/>
          <w:rFonts w:eastAsia="黑体"/>
          <w:b w:val="0"/>
          <w:spacing w:val="-4"/>
          <w:sz w:val="32"/>
          <w:szCs w:val="32"/>
          <w:highlight w:val="yellow"/>
        </w:rPr>
      </w:pPr>
      <w:r>
        <w:rPr>
          <w:rFonts w:hint="eastAsia" w:eastAsia="仿宋_GB2312"/>
          <w:sz w:val="32"/>
          <w:szCs w:val="32"/>
        </w:rPr>
        <w:t>2019年自治区生态环境厅在全疆设立六个监察专员办公室。新疆维吾尔自治区生态环境厅第三生态环境监察专员办公室根据《关于自治区生态环境厅6个生态环境监察专员办公室编制和具体职责的批复》（新党编办</w:t>
      </w:r>
      <w:r>
        <w:rPr>
          <w:rFonts w:eastAsia="仿宋_GB2312"/>
          <w:sz w:val="32"/>
          <w:szCs w:val="32"/>
        </w:rPr>
        <w:t>〔</w:t>
      </w:r>
      <w:r>
        <w:rPr>
          <w:rFonts w:hint="eastAsia" w:eastAsia="仿宋_GB2312"/>
          <w:sz w:val="32"/>
          <w:szCs w:val="32"/>
        </w:rPr>
        <w:t>2019</w:t>
      </w:r>
      <w:r>
        <w:rPr>
          <w:rFonts w:eastAsia="仿宋_GB2312"/>
          <w:sz w:val="32"/>
          <w:szCs w:val="32"/>
        </w:rPr>
        <w:t>〕</w:t>
      </w:r>
      <w:r>
        <w:rPr>
          <w:rFonts w:hint="eastAsia" w:eastAsia="仿宋_GB2312"/>
          <w:sz w:val="32"/>
          <w:szCs w:val="32"/>
        </w:rPr>
        <w:t>59号）要求，我办负责对乌鲁木齐市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pPr>
        <w:pStyle w:val="11"/>
        <w:keepNext w:val="0"/>
        <w:keepLines w:val="0"/>
        <w:pageBreakBefore w:val="0"/>
        <w:numPr>
          <w:ilvl w:val="0"/>
          <w:numId w:val="1"/>
        </w:numPr>
        <w:kinsoku/>
        <w:wordWrap/>
        <w:overflowPunct/>
        <w:topLinePunct w:val="0"/>
        <w:autoSpaceDE/>
        <w:autoSpaceDN/>
        <w:bidi w:val="0"/>
        <w:spacing w:before="0" w:after="0" w:line="560" w:lineRule="exact"/>
        <w:ind w:left="0" w:leftChars="0" w:firstLine="643" w:firstLineChars="200"/>
        <w:jc w:val="both"/>
        <w:textAlignment w:val="auto"/>
        <w:rPr>
          <w:rFonts w:ascii="Times New Roman" w:hAnsi="Times New Roman" w:eastAsia="仿宋_GB2312"/>
          <w:kern w:val="2"/>
        </w:rPr>
      </w:pPr>
      <w:r>
        <w:rPr>
          <w:rFonts w:ascii="Times New Roman" w:hAnsi="Times New Roman" w:eastAsia="仿宋_GB2312"/>
          <w:kern w:val="2"/>
        </w:rPr>
        <w:t>项目主要内容：</w:t>
      </w:r>
    </w:p>
    <w:p>
      <w:pPr>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仿宋_GB2312" w:hAnsi="仿宋" w:eastAsia="仿宋_GB2312"/>
          <w:sz w:val="32"/>
          <w:szCs w:val="32"/>
        </w:rPr>
      </w:pPr>
      <w:r>
        <w:rPr>
          <w:rFonts w:hint="eastAsia" w:eastAsia="仿宋_GB2312"/>
          <w:sz w:val="32"/>
          <w:szCs w:val="32"/>
        </w:rPr>
        <w:t>项目</w:t>
      </w:r>
      <w:r>
        <w:rPr>
          <w:rFonts w:hint="eastAsia" w:ascii="仿宋_GB2312" w:hAnsi="仿宋" w:eastAsia="仿宋_GB2312"/>
          <w:sz w:val="32"/>
          <w:szCs w:val="32"/>
        </w:rPr>
        <w:t>主要工作内容如下：</w:t>
      </w:r>
    </w:p>
    <w:p>
      <w:pPr>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(一)保障第三生态环境监察专员办公室生态环境监察工作。</w:t>
      </w:r>
      <w:r>
        <w:rPr>
          <w:rFonts w:hint="eastAsia" w:ascii="Calibri" w:hAnsi="Calibri" w:eastAsia="仿宋_GB2312"/>
          <w:sz w:val="32"/>
          <w:szCs w:val="32"/>
        </w:rPr>
        <w:t>第三生态环境监察专员办公室负责乌鲁木齐市生态环境监察工作，办公地点设在乌鲁木齐市，需要对乌鲁木齐市开展生态环境监察工作，</w:t>
      </w:r>
      <w:r>
        <w:rPr>
          <w:rFonts w:hint="eastAsia" w:ascii="仿宋_GB2312" w:hAnsi="仿宋" w:eastAsia="仿宋_GB2312"/>
          <w:sz w:val="32"/>
          <w:szCs w:val="32"/>
        </w:rPr>
        <w:t>根据《新疆维吾尔自治区党政机关事业单位工作人员差旅费管理办法》及当地实际情况，核算差旅费、劳务费及</w:t>
      </w:r>
      <w:r>
        <w:rPr>
          <w:rFonts w:hint="eastAsia" w:ascii="Calibri" w:hAnsi="Calibri" w:eastAsia="仿宋_GB2312"/>
          <w:sz w:val="32"/>
          <w:szCs w:val="32"/>
        </w:rPr>
        <w:t>产生的租车等其他交通费。</w:t>
      </w:r>
      <w:bookmarkStart w:id="0" w:name="_Toc487445331"/>
    </w:p>
    <w:bookmarkEnd w:id="0"/>
    <w:p>
      <w:pPr>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（二）保障第三生态环境监察专员办公室日常工作正常运转为保障第三生态环境监察专员办公室日常工作正常运转，根据国家和自治区有关相关标准，核算第三生态环境监察专员办公室</w:t>
      </w:r>
      <w:r>
        <w:rPr>
          <w:rFonts w:hint="eastAsia" w:ascii="仿宋_GB2312" w:hAnsi="仿宋" w:eastAsia="仿宋_GB2312"/>
          <w:sz w:val="32"/>
          <w:szCs w:val="32"/>
          <w:lang w:val="en-US" w:eastAsia="zh-CN"/>
        </w:rPr>
        <w:t>2024</w:t>
      </w:r>
      <w:r>
        <w:rPr>
          <w:rFonts w:hint="eastAsia" w:ascii="仿宋_GB2312" w:hAnsi="仿宋" w:eastAsia="仿宋_GB2312"/>
          <w:sz w:val="32"/>
          <w:szCs w:val="32"/>
        </w:rPr>
        <w:t>办公费、办公设备购置、维修（护）费、物业管理费，落实资金经费，确保各项业务工作正常开展。</w:t>
      </w:r>
    </w:p>
    <w:p>
      <w:pPr>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spacing w:after="0" w:line="560" w:lineRule="exact"/>
        <w:ind w:left="0" w:leftChars="0" w:firstLine="643" w:firstLineChars="200"/>
        <w:jc w:val="both"/>
        <w:textAlignment w:val="auto"/>
        <w:rPr>
          <w:rFonts w:eastAsia="仿宋_GB2312"/>
          <w:b/>
          <w:bCs/>
          <w:sz w:val="32"/>
          <w:szCs w:val="32"/>
        </w:rPr>
      </w:pPr>
      <w:r>
        <w:rPr>
          <w:rFonts w:eastAsia="仿宋_GB2312"/>
          <w:b/>
          <w:bCs/>
          <w:sz w:val="32"/>
          <w:szCs w:val="32"/>
        </w:rPr>
        <w:t>3、资金投入和使用情况</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该项目年初预算数60万元，全年预算数60万元，实际总投入60万元，该项目资金已全部落实到位，资金来源为财政全额拨款。</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pStyle w:val="11"/>
        <w:keepNext w:val="0"/>
        <w:keepLines w:val="0"/>
        <w:pageBreakBefore w:val="0"/>
        <w:kinsoku/>
        <w:wordWrap/>
        <w:overflowPunct/>
        <w:topLinePunct w:val="0"/>
        <w:autoSpaceDE/>
        <w:autoSpaceDN/>
        <w:bidi w:val="0"/>
        <w:spacing w:before="0" w:after="0" w:line="560" w:lineRule="exact"/>
        <w:ind w:left="0" w:leftChars="0" w:firstLine="640" w:firstLineChars="200"/>
        <w:jc w:val="both"/>
        <w:textAlignment w:val="auto"/>
        <w:rPr>
          <w:rFonts w:ascii="Times New Roman" w:hAnsi="Times New Roman" w:eastAsia="仿宋_GB2312"/>
          <w:b w:val="0"/>
          <w:bCs w:val="0"/>
          <w:kern w:val="2"/>
        </w:rPr>
      </w:pPr>
      <w:r>
        <w:rPr>
          <w:rFonts w:hint="eastAsia" w:ascii="Times New Roman" w:hAnsi="Times New Roman" w:eastAsia="仿宋_GB2312"/>
          <w:b w:val="0"/>
          <w:bCs w:val="0"/>
          <w:kern w:val="2"/>
        </w:rPr>
        <w:t>该项目年初预算数60万元，全年预算数60万元，全年执行数</w:t>
      </w:r>
      <w:r>
        <w:rPr>
          <w:rFonts w:hint="eastAsia" w:ascii="Times New Roman" w:hAnsi="Times New Roman" w:eastAsia="仿宋_GB2312"/>
          <w:b w:val="0"/>
          <w:bCs w:val="0"/>
          <w:kern w:val="2"/>
          <w:lang w:val="en-US" w:eastAsia="zh-CN"/>
        </w:rPr>
        <w:t>57.36</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95.60</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keepNext w:val="0"/>
        <w:keepLines w:val="0"/>
        <w:pageBreakBefore w:val="0"/>
        <w:kinsoku/>
        <w:wordWrap/>
        <w:overflowPunct/>
        <w:topLinePunct w:val="0"/>
        <w:autoSpaceDE/>
        <w:autoSpaceDN/>
        <w:bidi w:val="0"/>
        <w:spacing w:after="0" w:line="560" w:lineRule="exact"/>
        <w:ind w:left="0" w:leftChars="0" w:firstLine="643" w:firstLineChars="200"/>
        <w:jc w:val="both"/>
        <w:textAlignment w:val="auto"/>
        <w:rPr>
          <w:rFonts w:eastAsia="楷体_GB2312"/>
          <w:b/>
          <w:bCs/>
          <w:sz w:val="32"/>
          <w:szCs w:val="32"/>
        </w:rPr>
      </w:pPr>
      <w:r>
        <w:rPr>
          <w:rFonts w:eastAsia="楷体_GB2312"/>
          <w:b/>
          <w:bCs/>
          <w:sz w:val="32"/>
          <w:szCs w:val="32"/>
        </w:rPr>
        <w:t>（二）项目绩效目标</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仿宋_GB2312"/>
          <w:sz w:val="32"/>
          <w:szCs w:val="32"/>
        </w:rPr>
      </w:pPr>
      <w:r>
        <w:rPr>
          <w:rFonts w:eastAsia="仿宋_GB2312"/>
          <w:sz w:val="32"/>
          <w:szCs w:val="32"/>
        </w:rPr>
        <w:t>1、总体目标</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仿宋_GB2312"/>
          <w:sz w:val="32"/>
          <w:szCs w:val="32"/>
        </w:rPr>
      </w:pPr>
      <w:r>
        <w:rPr>
          <w:rFonts w:hint="eastAsia" w:eastAsia="仿宋_GB2312"/>
          <w:sz w:val="32"/>
          <w:szCs w:val="32"/>
        </w:rPr>
        <w:t>根据生态环境监察专员办公室职责，2024年第三生态环境监察专员办公室对乌鲁木齐市及各区（县）开展生态环境保护派驻监察工作，重点督促乌鲁木齐市做好中央、自治区生态环境保护督察整改落实和“乌-昌-石”区域大气环境整治等工作，配合开展自治区级生态环境保护督察工作，2024年第三生态环境监察专员办公室生态环境监察项目覆盖生态环境监察区域1个，形成监察报告4个，监察频次不少于4次，报告质量通过率和区域覆盖率达到100%。通过生态环境监察项目的实施，完成乌鲁木齐市及各区（县）生态环境保护督察任务，不断促进辖区生态环境保护质量持续改善。</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eastAsia="仿宋_GB2312"/>
          <w:sz w:val="32"/>
          <w:szCs w:val="32"/>
        </w:rPr>
      </w:pPr>
      <w:r>
        <w:rPr>
          <w:rFonts w:hint="eastAsia" w:eastAsia="仿宋_GB2312"/>
          <w:sz w:val="32"/>
          <w:szCs w:val="32"/>
          <w:lang w:val="en-US" w:eastAsia="zh-CN"/>
        </w:rPr>
        <w:t>2、</w:t>
      </w:r>
      <w:r>
        <w:rPr>
          <w:rFonts w:eastAsia="仿宋_GB2312"/>
          <w:sz w:val="32"/>
          <w:szCs w:val="32"/>
        </w:rPr>
        <w:t>阶段性目标</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仿宋_GB2312"/>
          <w:sz w:val="32"/>
          <w:szCs w:val="32"/>
        </w:rPr>
      </w:pPr>
      <w:r>
        <w:rPr>
          <w:rFonts w:eastAsia="仿宋_GB2312"/>
          <w:sz w:val="32"/>
          <w:szCs w:val="32"/>
        </w:rPr>
        <w:t>（1）前期准备：通过制定项目实施方案，经项目负责人审核通过后，有序开展后续工作。</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黑体"/>
          <w:sz w:val="32"/>
          <w:szCs w:val="32"/>
        </w:rPr>
      </w:pPr>
      <w:r>
        <w:rPr>
          <w:rFonts w:eastAsia="黑体"/>
          <w:sz w:val="32"/>
          <w:szCs w:val="32"/>
        </w:rPr>
        <w:t>二、绩效评价工作开展情况</w:t>
      </w:r>
    </w:p>
    <w:p>
      <w:pPr>
        <w:keepNext w:val="0"/>
        <w:keepLines w:val="0"/>
        <w:pageBreakBefore w:val="0"/>
        <w:kinsoku/>
        <w:wordWrap/>
        <w:overflowPunct/>
        <w:topLinePunct w:val="0"/>
        <w:autoSpaceDE/>
        <w:autoSpaceDN/>
        <w:bidi w:val="0"/>
        <w:spacing w:after="0" w:line="560" w:lineRule="exact"/>
        <w:ind w:left="0" w:leftChars="0" w:firstLine="643" w:firstLineChars="200"/>
        <w:jc w:val="both"/>
        <w:textAlignment w:val="auto"/>
        <w:rPr>
          <w:rFonts w:eastAsia="楷体_GB2312"/>
          <w:b/>
          <w:bCs/>
          <w:sz w:val="32"/>
          <w:szCs w:val="32"/>
          <w:highlight w:val="none"/>
        </w:rPr>
      </w:pPr>
      <w:r>
        <w:rPr>
          <w:rFonts w:eastAsia="楷体_GB2312"/>
          <w:b/>
          <w:bCs/>
          <w:sz w:val="32"/>
          <w:szCs w:val="32"/>
          <w:highlight w:val="none"/>
        </w:rPr>
        <w:t>（一）绩效评价目的、对象和范围</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eastAsia"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1.绩效评价完整性</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eastAsia"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eastAsia"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eastAsia"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eastAsia"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default"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hint="eastAsia" w:ascii="Times New Roman" w:hAnsi="Times New Roman" w:eastAsia="仿宋_GB2312"/>
          <w:b w:val="0"/>
          <w:bCs w:val="0"/>
          <w:lang w:val="en-US" w:eastAsia="zh-CN"/>
        </w:rPr>
        <w:t>2.</w:t>
      </w:r>
      <w:r>
        <w:rPr>
          <w:rFonts w:ascii="Times New Roman" w:hAnsi="Times New Roman" w:eastAsia="仿宋_GB2312"/>
          <w:b w:val="0"/>
          <w:bCs w:val="0"/>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eastAsia="方正仿宋_GBK" w:cs="方正仿宋_GBK"/>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hint="eastAsia" w:ascii="Times New Roman" w:hAnsi="Times New Roman" w:eastAsia="仿宋_GB2312"/>
          <w:b w:val="0"/>
          <w:bCs w:val="0"/>
          <w:lang w:val="en-US" w:eastAsia="zh-CN"/>
        </w:rPr>
        <w:t>3.</w:t>
      </w:r>
      <w:r>
        <w:rPr>
          <w:rFonts w:ascii="Times New Roman" w:hAnsi="Times New Roman" w:eastAsia="仿宋_GB2312"/>
          <w:b w:val="0"/>
          <w:bCs w:val="0"/>
        </w:rPr>
        <w:t>绩效评价的对象</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本项目预算绩效评价报告的评价对象是生态环境监察项目及其预算执行情况。该项目由新疆维吾尔自治区生态环境厅第三生态环境监察专员办公室负责实施，旨在</w:t>
      </w:r>
      <w:r>
        <w:rPr>
          <w:rFonts w:hint="eastAsia" w:ascii="Times New Roman" w:hAnsi="Times New Roman" w:eastAsia="仿宋_GB2312" w:cs="Times New Roman"/>
          <w:b w:val="0"/>
          <w:bCs w:val="0"/>
          <w:highlight w:val="none"/>
          <w:lang w:val="en-US" w:eastAsia="zh-CN"/>
        </w:rPr>
        <w:t>通过生态环境保护督察，督促所辖区域党委、政府落实生态环境保护责任，按期完成中央和自治区生态环境保护督察整改任务</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60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hint="eastAsia" w:ascii="Times New Roman" w:hAnsi="Times New Roman" w:eastAsia="仿宋_GB2312"/>
          <w:b w:val="0"/>
          <w:bCs w:val="0"/>
          <w:lang w:val="en-US" w:eastAsia="zh-CN"/>
        </w:rPr>
        <w:t>4.</w:t>
      </w:r>
      <w:r>
        <w:rPr>
          <w:rFonts w:ascii="Times New Roman" w:hAnsi="Times New Roman" w:eastAsia="仿宋_GB2312"/>
          <w:b w:val="0"/>
          <w:bCs w:val="0"/>
        </w:rPr>
        <w:t>绩效评价的范围</w:t>
      </w:r>
    </w:p>
    <w:p>
      <w:pPr>
        <w:pStyle w:val="11"/>
        <w:keepNext w:val="0"/>
        <w:keepLines w:val="0"/>
        <w:pageBreakBefore w:val="0"/>
        <w:widowControl w:val="0"/>
        <w:kinsoku/>
        <w:wordWrap/>
        <w:overflowPunct/>
        <w:topLinePunct w:val="0"/>
        <w:autoSpaceDE/>
        <w:autoSpaceDN/>
        <w:bidi w:val="0"/>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1"/>
        <w:keepNext w:val="0"/>
        <w:keepLines w:val="0"/>
        <w:pageBreakBefore w:val="0"/>
        <w:widowControl w:val="0"/>
        <w:numPr>
          <w:ilvl w:val="0"/>
          <w:numId w:val="2"/>
        </w:numPr>
        <w:kinsoku/>
        <w:wordWrap/>
        <w:overflowPunct/>
        <w:topLinePunct w:val="0"/>
        <w:autoSpaceDE/>
        <w:autoSpaceDN/>
        <w:bidi w:val="0"/>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1"/>
        <w:keepNext w:val="0"/>
        <w:keepLines w:val="0"/>
        <w:pageBreakBefore w:val="0"/>
        <w:widowControl w:val="0"/>
        <w:numPr>
          <w:ilvl w:val="0"/>
          <w:numId w:val="2"/>
        </w:numPr>
        <w:kinsoku/>
        <w:wordWrap/>
        <w:overflowPunct/>
        <w:topLinePunct w:val="0"/>
        <w:autoSpaceDE/>
        <w:autoSpaceDN/>
        <w:bidi w:val="0"/>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1"/>
        <w:keepNext w:val="0"/>
        <w:keepLines w:val="0"/>
        <w:pageBreakBefore w:val="0"/>
        <w:widowControl w:val="0"/>
        <w:numPr>
          <w:ilvl w:val="0"/>
          <w:numId w:val="2"/>
        </w:numPr>
        <w:kinsoku/>
        <w:wordWrap/>
        <w:overflowPunct/>
        <w:topLinePunct w:val="0"/>
        <w:autoSpaceDE/>
        <w:autoSpaceDN/>
        <w:bidi w:val="0"/>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1"/>
        <w:keepNext w:val="0"/>
        <w:keepLines w:val="0"/>
        <w:pageBreakBefore w:val="0"/>
        <w:widowControl w:val="0"/>
        <w:numPr>
          <w:ilvl w:val="0"/>
          <w:numId w:val="2"/>
        </w:numPr>
        <w:kinsoku/>
        <w:wordWrap/>
        <w:overflowPunct/>
        <w:topLinePunct w:val="0"/>
        <w:autoSpaceDE/>
        <w:autoSpaceDN/>
        <w:bidi w:val="0"/>
        <w:spacing w:before="0" w:after="0" w:line="560" w:lineRule="exact"/>
        <w:ind w:firstLine="640" w:firstLineChars="200"/>
        <w:jc w:val="both"/>
        <w:textAlignment w:val="auto"/>
        <w:outlineLvl w:val="9"/>
        <w:rPr>
          <w:rFonts w:ascii="仿宋_GB2312" w:hAnsi="仿宋_GB2312" w:eastAsia="仿宋_GB2312" w:cs="仿宋_GB2312"/>
          <w:sz w:val="32"/>
          <w:szCs w:val="32"/>
          <w:highlight w:val="none"/>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pPr>
        <w:keepNext w:val="0"/>
        <w:keepLines w:val="0"/>
        <w:pageBreakBefore w:val="0"/>
        <w:kinsoku/>
        <w:wordWrap/>
        <w:overflowPunct/>
        <w:topLinePunct w:val="0"/>
        <w:autoSpaceDE/>
        <w:autoSpaceDN/>
        <w:bidi w:val="0"/>
        <w:spacing w:after="0" w:line="560" w:lineRule="exact"/>
        <w:ind w:left="0" w:leftChars="0" w:firstLine="643" w:firstLineChars="200"/>
        <w:jc w:val="both"/>
        <w:textAlignment w:val="auto"/>
      </w:pPr>
      <w:r>
        <w:rPr>
          <w:rFonts w:eastAsia="楷体_GB2312"/>
          <w:b/>
          <w:bCs/>
          <w:sz w:val="32"/>
          <w:szCs w:val="32"/>
        </w:rPr>
        <w:t>（二）绩效评价原则、评价指标体系（详情见表1）、评价方法、评价标准。</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1、绩效评价原则</w:t>
      </w:r>
    </w:p>
    <w:p>
      <w:pPr>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eastAsia="仿宋_GB2312"/>
          <w:color w:val="000000"/>
          <w:sz w:val="32"/>
          <w:szCs w:val="32"/>
        </w:rPr>
      </w:pPr>
      <w:r>
        <w:rPr>
          <w:rFonts w:eastAsia="仿宋_GB2312"/>
          <w:color w:val="000000"/>
          <w:sz w:val="32"/>
          <w:szCs w:val="32"/>
        </w:rPr>
        <w:t>本次项目绩效评价遵循以下基本原则：</w:t>
      </w:r>
    </w:p>
    <w:p>
      <w:pPr>
        <w:pStyle w:val="11"/>
        <w:keepNext w:val="0"/>
        <w:keepLines w:val="0"/>
        <w:pageBreakBefore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1"/>
        <w:keepNext w:val="0"/>
        <w:keepLines w:val="0"/>
        <w:pageBreakBefore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keepNext w:val="0"/>
        <w:keepLines w:val="0"/>
        <w:pageBreakBefore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1"/>
        <w:keepNext w:val="0"/>
        <w:keepLines w:val="0"/>
        <w:pageBreakBefore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2、评价指标体系</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（1）确定评价指标</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（2）确定权重</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（3）确定指标标准值</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keepNext w:val="0"/>
        <w:keepLines w:val="0"/>
        <w:pageBreakBefore w:val="0"/>
        <w:kinsoku/>
        <w:wordWrap/>
        <w:overflowPunct/>
        <w:topLinePunct w:val="0"/>
        <w:autoSpaceDE/>
        <w:autoSpaceDN/>
        <w:bidi w:val="0"/>
        <w:spacing w:before="0" w:after="0" w:line="560" w:lineRule="exact"/>
        <w:ind w:left="0" w:leftChars="0" w:firstLine="708" w:firstLineChars="200"/>
        <w:jc w:val="both"/>
        <w:textAlignment w:val="auto"/>
        <w:rPr>
          <w:rFonts w:ascii="Times New Roman" w:hAnsi="Times New Roman" w:eastAsia="仿宋_GB2312"/>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708" w:firstLineChars="200"/>
        <w:jc w:val="both"/>
        <w:textAlignment w:val="auto"/>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3、绩效评价方法</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（1）比较法</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（2）因素分析法</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ascii="Times New Roman" w:hAnsi="Times New Roman" w:eastAsia="仿宋_GB2312"/>
          <w:b w:val="0"/>
          <w:bCs w:val="0"/>
        </w:rPr>
        <w:t>4、评价标准</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bookmarkStart w:id="1" w:name="_Toc17882"/>
      <w:bookmarkStart w:id="2" w:name="_Toc31464"/>
      <w:r>
        <w:rPr>
          <w:rFonts w:hint="eastAsia" w:eastAsia="仿宋_GB2312"/>
          <w:color w:val="000000"/>
          <w:spacing w:val="17"/>
          <w:sz w:val="32"/>
          <w:szCs w:val="32"/>
        </w:rPr>
        <w:t>计划标准：指以预先制定的目标、计划、预算、定额等作为评价标准。</w:t>
      </w:r>
      <w:bookmarkEnd w:id="1"/>
      <w:bookmarkEnd w:id="2"/>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bookmarkStart w:id="3" w:name="_Toc2318"/>
      <w:bookmarkStart w:id="4" w:name="_Toc5633"/>
      <w:r>
        <w:rPr>
          <w:rFonts w:hint="eastAsia" w:eastAsia="仿宋_GB2312"/>
          <w:color w:val="000000"/>
          <w:spacing w:val="17"/>
          <w:sz w:val="32"/>
          <w:szCs w:val="32"/>
        </w:rPr>
        <w:t>行业标准：指参照国家公布的行业指标数据制定的评价标准。</w:t>
      </w:r>
      <w:bookmarkEnd w:id="3"/>
      <w:bookmarkEnd w:id="4"/>
    </w:p>
    <w:p>
      <w:pPr>
        <w:keepNext w:val="0"/>
        <w:keepLines w:val="0"/>
        <w:pageBreakBefore w:val="0"/>
        <w:kinsoku/>
        <w:wordWrap/>
        <w:overflowPunct/>
        <w:topLinePunct w:val="0"/>
        <w:autoSpaceDE/>
        <w:autoSpaceDN/>
        <w:bidi w:val="0"/>
        <w:spacing w:after="0" w:line="560" w:lineRule="exact"/>
        <w:ind w:left="0" w:leftChars="0" w:firstLine="708" w:firstLineChars="200"/>
        <w:jc w:val="both"/>
        <w:textAlignment w:val="auto"/>
        <w:rPr>
          <w:rFonts w:eastAsia="仿宋_GB2312"/>
          <w:color w:val="000000"/>
          <w:spacing w:val="17"/>
          <w:sz w:val="32"/>
          <w:szCs w:val="32"/>
        </w:rPr>
      </w:pPr>
      <w:bookmarkStart w:id="5" w:name="_Toc430"/>
      <w:bookmarkStart w:id="6" w:name="_Toc16028"/>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5"/>
      <w:bookmarkEnd w:id="6"/>
    </w:p>
    <w:p>
      <w:pPr>
        <w:pStyle w:val="11"/>
        <w:keepNext w:val="0"/>
        <w:keepLines w:val="0"/>
        <w:pageBreakBefore w:val="0"/>
        <w:numPr>
          <w:ilvl w:val="0"/>
          <w:numId w:val="3"/>
        </w:numPr>
        <w:kinsoku/>
        <w:wordWrap/>
        <w:overflowPunct/>
        <w:topLinePunct w:val="0"/>
        <w:autoSpaceDE/>
        <w:autoSpaceDN/>
        <w:bidi w:val="0"/>
        <w:spacing w:before="0" w:after="0" w:line="560" w:lineRule="exact"/>
        <w:ind w:left="0" w:leftChars="0" w:firstLine="711" w:firstLineChars="200"/>
        <w:jc w:val="both"/>
        <w:textAlignment w:val="auto"/>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keepNext w:val="0"/>
        <w:keepLines w:val="0"/>
        <w:pageBreakBefore w:val="0"/>
        <w:numPr>
          <w:ilvl w:val="0"/>
          <w:numId w:val="4"/>
        </w:numPr>
        <w:kinsoku/>
        <w:wordWrap/>
        <w:overflowPunct/>
        <w:topLinePunct w:val="0"/>
        <w:autoSpaceDE/>
        <w:autoSpaceDN/>
        <w:bidi w:val="0"/>
        <w:spacing w:after="0" w:line="560" w:lineRule="exact"/>
        <w:ind w:left="0" w:leftChars="0" w:firstLine="640" w:firstLineChars="200"/>
        <w:jc w:val="both"/>
        <w:textAlignment w:val="auto"/>
        <w:rPr>
          <w:rFonts w:eastAsia="黑体"/>
          <w:sz w:val="32"/>
          <w:szCs w:val="32"/>
        </w:rPr>
      </w:pPr>
      <w:r>
        <w:rPr>
          <w:rFonts w:eastAsia="黑体"/>
          <w:sz w:val="32"/>
          <w:szCs w:val="32"/>
        </w:rPr>
        <w:t>综合评价情况及评价结论（附相关评分表）</w:t>
      </w:r>
    </w:p>
    <w:p>
      <w:pPr>
        <w:pStyle w:val="11"/>
        <w:keepNext w:val="0"/>
        <w:keepLines w:val="0"/>
        <w:pageBreakBefore w:val="0"/>
        <w:kinsoku/>
        <w:wordWrap/>
        <w:overflowPunct/>
        <w:topLinePunct w:val="0"/>
        <w:autoSpaceDE/>
        <w:autoSpaceDN/>
        <w:bidi w:val="0"/>
        <w:spacing w:before="0" w:after="0" w:line="560" w:lineRule="exact"/>
        <w:ind w:left="0" w:leftChars="0" w:firstLine="643" w:firstLineChars="200"/>
        <w:jc w:val="both"/>
        <w:textAlignment w:val="auto"/>
        <w:rPr>
          <w:rFonts w:ascii="Times New Roman" w:hAnsi="Times New Roman" w:eastAsia="楷体_GB2312"/>
        </w:rPr>
      </w:pPr>
      <w:r>
        <w:rPr>
          <w:rFonts w:hint="eastAsia" w:ascii="Times New Roman" w:hAnsi="Times New Roman" w:eastAsia="楷体_GB2312"/>
        </w:rPr>
        <w:t>（一）评价情况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生态环境监察项目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形成监察报告和年度督察任务按时完成</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监察结果反馈和跟踪督办</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中央及自治区生态环境保护督察整改任务有序推进、辖区大气环境质量有效改善</w:t>
      </w:r>
      <w:r>
        <w:rPr>
          <w:rFonts w:hint="default" w:ascii="Times New Roman" w:hAnsi="Times New Roman" w:eastAsia="仿宋_GB2312" w:cs="Times New Roman"/>
          <w:sz w:val="32"/>
          <w:szCs w:val="32"/>
          <w:highlight w:val="none"/>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在项目管理方面，新疆维吾尔自治区生态环境厅第三生态环境监察专员办公室通过有效的规划、组织与协调，项目得以顺利实施，并在预算与时间上保持了良好的控制。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效益等方面产生了积极的影响。具体而言监察结果反馈率、跟踪督办率等方面的提升，为项目的利益相关者带来了实实在在的利益。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综上所述，生态环境监察项目在绩效评价中表现出色，达到了项目的预期目标，并在多个方面取得了显著的成效。</w:t>
      </w:r>
    </w:p>
    <w:p>
      <w:pPr>
        <w:pStyle w:val="11"/>
        <w:keepNext w:val="0"/>
        <w:keepLines w:val="0"/>
        <w:pageBreakBefore w:val="0"/>
        <w:kinsoku/>
        <w:wordWrap/>
        <w:overflowPunct/>
        <w:topLinePunct w:val="0"/>
        <w:autoSpaceDE/>
        <w:autoSpaceDN/>
        <w:bidi w:val="0"/>
        <w:spacing w:before="0" w:after="0" w:line="560" w:lineRule="exact"/>
        <w:ind w:left="0" w:leftChars="0" w:firstLine="643" w:firstLineChars="200"/>
        <w:jc w:val="both"/>
        <w:textAlignment w:val="auto"/>
        <w:rPr>
          <w:rFonts w:ascii="Times New Roman" w:hAnsi="Times New Roman" w:eastAsia="楷体_GB2312"/>
        </w:rPr>
      </w:pPr>
      <w:r>
        <w:rPr>
          <w:rFonts w:hint="eastAsia" w:ascii="Times New Roman" w:hAnsi="Times New Roman" w:eastAsia="楷体_GB2312"/>
        </w:rPr>
        <w:t>（二）评价结论</w:t>
      </w:r>
    </w:p>
    <w:p>
      <w:pPr>
        <w:pStyle w:val="11"/>
        <w:keepNext w:val="0"/>
        <w:keepLines w:val="0"/>
        <w:pageBreakBefore w:val="0"/>
        <w:widowControl w:val="0"/>
        <w:kinsoku/>
        <w:wordWrap/>
        <w:overflowPunct/>
        <w:topLinePunct w:val="0"/>
        <w:autoSpaceDE/>
        <w:autoSpaceDN/>
        <w:bidi w:val="0"/>
        <w:spacing w:before="0" w:after="0" w:line="560" w:lineRule="exact"/>
        <w:ind w:left="0" w:leftChars="0" w:firstLine="640" w:firstLineChars="200"/>
        <w:jc w:val="both"/>
        <w:textAlignment w:val="auto"/>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lang w:val="en-US" w:eastAsia="zh-CN"/>
        </w:rPr>
        <w:t>99.82</w:t>
      </w:r>
      <w:r>
        <w:rPr>
          <w:rFonts w:hint="eastAsia" w:ascii="Times New Roman" w:hAnsi="Times New Roman" w:eastAsia="仿宋_GB2312"/>
          <w:b w:val="0"/>
          <w:bCs w:val="0"/>
        </w:rPr>
        <w:t>分，属于“优”。其中，项目决策类指标权重为20分，得分为20分，得分率为100%。项目过程类指标权重为20分，得分为</w:t>
      </w:r>
      <w:r>
        <w:rPr>
          <w:rFonts w:hint="eastAsia" w:ascii="Times New Roman" w:hAnsi="Times New Roman" w:eastAsia="仿宋_GB2312"/>
          <w:b w:val="0"/>
          <w:bCs w:val="0"/>
          <w:lang w:val="en-US" w:eastAsia="zh-CN"/>
        </w:rPr>
        <w:t>19.82</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99.1</w:t>
      </w:r>
      <w:r>
        <w:rPr>
          <w:rFonts w:hint="eastAsia" w:ascii="Times New Roman" w:hAnsi="Times New Roman" w:eastAsia="仿宋_GB2312"/>
          <w:b w:val="0"/>
          <w:bCs w:val="0"/>
        </w:rPr>
        <w:t>%。项目产出类指标权重为40分，得分为40分，得分率为100%。项目效益类指标权重为20分，得分为20分，得分率为100%。具体打分情况详见：附件1综合评分表。</w:t>
      </w:r>
    </w:p>
    <w:p>
      <w:pPr>
        <w:pStyle w:val="11"/>
        <w:spacing w:before="0" w:after="0"/>
        <w:rPr>
          <w:rFonts w:ascii="Times New Roman" w:hAnsi="Times New Roman" w:eastAsia="仿宋_GB2312"/>
          <w:sz w:val="30"/>
          <w:szCs w:val="30"/>
        </w:rPr>
      </w:pPr>
    </w:p>
    <w:p>
      <w:pPr>
        <w:pStyle w:val="11"/>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5"/>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66"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19.82</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99.82</w:t>
            </w:r>
          </w:p>
        </w:tc>
      </w:tr>
    </w:tbl>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eastAsia="黑体"/>
          <w:sz w:val="32"/>
          <w:szCs w:val="32"/>
        </w:rPr>
      </w:pPr>
      <w:r>
        <w:rPr>
          <w:rFonts w:eastAsia="黑体"/>
          <w:sz w:val="32"/>
          <w:szCs w:val="32"/>
        </w:rPr>
        <w:t>四、绩效评价指标分析</w:t>
      </w:r>
    </w:p>
    <w:p>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ascii="Times New Roman" w:hAnsi="Times New Roman" w:eastAsia="楷体_GB2312"/>
        </w:rPr>
      </w:pPr>
      <w:r>
        <w:rPr>
          <w:rFonts w:ascii="Times New Roman" w:hAnsi="Times New Roman" w:eastAsia="楷体_GB2312"/>
        </w:rPr>
        <w:t>（一）项目决策情况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分，得分率为100%。</w:t>
      </w:r>
    </w:p>
    <w:p>
      <w:pPr>
        <w:pStyle w:val="20"/>
        <w:keepNext w:val="0"/>
        <w:keepLines w:val="0"/>
        <w:pageBreakBefore w:val="0"/>
        <w:kinsoku/>
        <w:wordWrap/>
        <w:overflowPunct/>
        <w:topLinePunct w:val="0"/>
        <w:autoSpaceDE/>
        <w:autoSpaceDN/>
        <w:bidi w:val="0"/>
        <w:adjustRightInd/>
        <w:snapToGrid/>
        <w:spacing w:after="0" w:line="560" w:lineRule="exact"/>
        <w:ind w:firstLine="643"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20"/>
        <w:keepNext w:val="0"/>
        <w:keepLines w:val="0"/>
        <w:pageBreakBefore w:val="0"/>
        <w:kinsoku/>
        <w:wordWrap/>
        <w:overflowPunct/>
        <w:topLinePunct w:val="0"/>
        <w:autoSpaceDE/>
        <w:autoSpaceDN/>
        <w:bidi w:val="0"/>
        <w:adjustRightInd/>
        <w:snapToGrid/>
        <w:spacing w:after="0" w:line="560" w:lineRule="exact"/>
        <w:ind w:firstLine="643"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kinsoku/>
        <w:wordWrap/>
        <w:overflowPunct/>
        <w:topLinePunct w:val="0"/>
        <w:autoSpaceDE/>
        <w:autoSpaceDN/>
        <w:bidi w:val="0"/>
        <w:adjustRightInd/>
        <w:snapToGrid/>
        <w:spacing w:after="0" w:line="560" w:lineRule="exact"/>
        <w:ind w:firstLine="643"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（1）预算编制科学性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在预算编制过程中，</w:t>
      </w:r>
      <w:r>
        <w:rPr>
          <w:rFonts w:hint="default" w:ascii="仿宋_GB2312" w:hAnsi="仿宋_GB2312" w:eastAsia="仿宋_GB2312" w:cs="仿宋_GB2312"/>
          <w:sz w:val="32"/>
          <w:szCs w:val="32"/>
          <w:lang w:val="en-US" w:eastAsia="zh-CN"/>
        </w:rPr>
        <w:t>还</w:t>
      </w:r>
      <w:r>
        <w:rPr>
          <w:rFonts w:hint="default" w:ascii="仿宋_GB2312" w:hAnsi="仿宋_GB2312" w:eastAsia="仿宋_GB2312" w:cs="仿宋_GB2312"/>
          <w:sz w:val="32"/>
          <w:szCs w:val="32"/>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（2）资金分配合理性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default" w:ascii="仿宋_GB2312" w:hAnsi="仿宋_GB2312" w:eastAsia="仿宋_GB2312" w:cs="仿宋_GB2312"/>
          <w:sz w:val="32"/>
          <w:szCs w:val="32"/>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ascii="楷体" w:hAnsi="楷体" w:eastAsia="楷体" w:cs="楷体"/>
        </w:rPr>
      </w:pPr>
      <w:r>
        <w:rPr>
          <w:rFonts w:hint="eastAsia" w:ascii="楷体" w:hAnsi="楷体" w:eastAsia="楷体" w:cs="楷体"/>
        </w:rPr>
        <w:t>项目过程情况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hint="eastAsia" w:ascii="仿宋_GB2312" w:hAnsi="仿宋_GB2312" w:eastAsia="仿宋_GB2312" w:cs="仿宋_GB2312"/>
          <w:sz w:val="32"/>
          <w:szCs w:val="32"/>
          <w:lang w:val="en-US" w:eastAsia="zh-CN"/>
        </w:rPr>
        <w:t>19.82</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99.1</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0"/>
        <w:keepNext w:val="0"/>
        <w:keepLines w:val="0"/>
        <w:pageBreakBefore w:val="0"/>
        <w:kinsoku/>
        <w:wordWrap/>
        <w:overflowPunct/>
        <w:topLinePunct w:val="0"/>
        <w:autoSpaceDE/>
        <w:autoSpaceDN/>
        <w:bidi w:val="0"/>
        <w:adjustRightInd/>
        <w:snapToGrid/>
        <w:spacing w:after="0" w:line="560" w:lineRule="exact"/>
        <w:ind w:firstLine="643"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本项目总投资60万元，财政资金及时足额到位，到位率100%，预算资金按计划进度执行。</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hint="eastAsia" w:ascii="仿宋_GB2312" w:hAnsi="仿宋_GB2312" w:eastAsia="仿宋_GB2312" w:cs="仿宋_GB2312"/>
          <w:sz w:val="32"/>
          <w:szCs w:val="32"/>
          <w:lang w:val="en-US" w:eastAsia="zh-CN"/>
        </w:rPr>
        <w:t>57.36</w:t>
      </w:r>
      <w:r>
        <w:rPr>
          <w:rFonts w:hint="eastAsia" w:ascii="仿宋_GB2312" w:hAnsi="仿宋_GB2312" w:eastAsia="仿宋_GB2312" w:cs="仿宋_GB2312"/>
          <w:sz w:val="32"/>
          <w:szCs w:val="32"/>
        </w:rPr>
        <w:t>万元，预算执行率为9</w:t>
      </w:r>
      <w:r>
        <w:rPr>
          <w:rFonts w:hint="eastAsia" w:ascii="仿宋_GB2312" w:hAnsi="仿宋_GB2312" w:eastAsia="仿宋_GB2312" w:cs="仿宋_GB2312"/>
          <w:sz w:val="32"/>
          <w:szCs w:val="32"/>
          <w:lang w:val="en-US" w:eastAsia="zh-CN"/>
        </w:rPr>
        <w:t>5.60</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kinsoku/>
        <w:wordWrap/>
        <w:overflowPunct/>
        <w:topLinePunct w:val="0"/>
        <w:autoSpaceDE/>
        <w:autoSpaceDN/>
        <w:bidi w:val="0"/>
        <w:adjustRightInd/>
        <w:snapToGrid/>
        <w:spacing w:after="0" w:line="560" w:lineRule="exact"/>
        <w:ind w:firstLine="643"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在制度设计上，我们注重了制度的科学性与可操作性，确保制度能够切实指导项目的执行与管理。</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keepNext w:val="0"/>
        <w:keepLines w:val="0"/>
        <w:pageBreakBefore w:val="0"/>
        <w:numPr>
          <w:ilvl w:val="0"/>
          <w:numId w:val="5"/>
        </w:numPr>
        <w:kinsoku/>
        <w:wordWrap/>
        <w:overflowPunct/>
        <w:topLinePunct w:val="0"/>
        <w:autoSpaceDE/>
        <w:autoSpaceDN/>
        <w:bidi w:val="0"/>
        <w:adjustRightInd/>
        <w:snapToGrid/>
        <w:spacing w:after="0" w:line="560" w:lineRule="exact"/>
        <w:ind w:firstLine="643" w:firstLineChars="200"/>
        <w:jc w:val="both"/>
        <w:textAlignment w:val="auto"/>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个三级指标构成，权重分为</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分，得分率为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%。具体产出指标完成情况如下：</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指标1：覆盖生态环境监察区域，指标值：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1个，实际完成值：1个，指标完成率100%。</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指标2：形成</w:t>
      </w:r>
      <w:r>
        <w:rPr>
          <w:rFonts w:hint="eastAsia" w:ascii="仿宋_GB2312" w:hAnsi="仿宋_GB2312" w:eastAsia="仿宋_GB2312" w:cs="仿宋_GB2312"/>
          <w:sz w:val="32"/>
          <w:szCs w:val="32"/>
          <w:lang w:val="en-US" w:eastAsia="zh-CN"/>
        </w:rPr>
        <w:t>监察</w:t>
      </w:r>
      <w:r>
        <w:rPr>
          <w:rFonts w:hint="eastAsia" w:ascii="仿宋_GB2312" w:hAnsi="仿宋_GB2312" w:eastAsia="仿宋_GB2312" w:cs="仿宋_GB2312"/>
          <w:sz w:val="32"/>
          <w:szCs w:val="32"/>
        </w:rPr>
        <w:t>报告，指标值：&gt;=4个，实际完成值：</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个，指标完成率1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w:t>
      </w:r>
    </w:p>
    <w:p>
      <w:pPr>
        <w:pStyle w:val="3"/>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default" w:eastAsia="仿宋_GB2312"/>
          <w:lang w:val="en-US" w:eastAsia="zh-CN"/>
        </w:rPr>
      </w:pPr>
      <w:r>
        <w:rPr>
          <w:rFonts w:hint="eastAsia" w:ascii="仿宋_GB2312" w:hAnsi="仿宋_GB2312" w:eastAsia="仿宋_GB2312" w:cs="仿宋_GB2312"/>
          <w:sz w:val="32"/>
          <w:szCs w:val="32"/>
          <w:lang w:val="en-US" w:eastAsia="zh-CN"/>
        </w:rPr>
        <w:t>指标3：督察（监察）频次，指标值:&gt;=4次，实际完成值：4次，指标完成率100%。</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指标1：报告质量通过率，指标值：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100%，实际完成值：100%，指标完成率100%。</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指标2：区域覆盖率，指标值：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100%，实际完成值：100%，指标完成率100%。</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时效指标：年度督察任务按时完成率，指标值：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100%，实际完成值：100%，指标完成率100%。</w:t>
      </w:r>
    </w:p>
    <w:p>
      <w:pPr>
        <w:pStyle w:val="13"/>
        <w:keepNext w:val="0"/>
        <w:keepLines w:val="0"/>
        <w:pageBreakBefore w:val="0"/>
        <w:numPr>
          <w:ilvl w:val="0"/>
          <w:numId w:val="5"/>
        </w:numPr>
        <w:kinsoku/>
        <w:wordWrap/>
        <w:overflowPunct/>
        <w:topLinePunct w:val="0"/>
        <w:autoSpaceDE/>
        <w:autoSpaceDN/>
        <w:bidi w:val="0"/>
        <w:adjustRightInd/>
        <w:snapToGrid/>
        <w:spacing w:after="0" w:line="560" w:lineRule="exact"/>
        <w:ind w:firstLine="643" w:firstLineChars="200"/>
        <w:jc w:val="both"/>
        <w:textAlignment w:val="auto"/>
        <w:rPr>
          <w:rFonts w:eastAsia="楷体_GB2312"/>
          <w:b/>
          <w:bCs/>
          <w:sz w:val="32"/>
          <w:szCs w:val="32"/>
        </w:rPr>
      </w:pPr>
      <w:r>
        <w:rPr>
          <w:rFonts w:hint="eastAsia" w:eastAsia="楷体_GB2312"/>
          <w:b/>
          <w:bCs/>
          <w:sz w:val="32"/>
          <w:szCs w:val="32"/>
        </w:rPr>
        <w:t>项目效益情况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w:t>
      </w:r>
      <w:r>
        <w:rPr>
          <w:rFonts w:hint="eastAsia" w:ascii="仿宋_GB2312" w:hAnsi="仿宋_GB2312" w:eastAsia="仿宋_GB2312" w:cs="仿宋_GB2312"/>
          <w:sz w:val="32"/>
          <w:szCs w:val="32"/>
          <w:lang w:val="en-US" w:eastAsia="zh-CN"/>
        </w:rPr>
        <w:t>社会效益</w:t>
      </w:r>
      <w:r>
        <w:rPr>
          <w:rFonts w:hint="eastAsia" w:ascii="仿宋_GB2312" w:hAnsi="仿宋_GB2312" w:eastAsia="仿宋_GB2312" w:cs="仿宋_GB2312"/>
          <w:sz w:val="32"/>
          <w:szCs w:val="32"/>
        </w:rPr>
        <w:t>和满意度两方面的内容，由</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个三级指标构成，权重分为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分，得分率为100%。具体效益指标及满意度指标完成情况如下：</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w:t>
      </w:r>
      <w:r>
        <w:rPr>
          <w:rFonts w:hint="eastAsia" w:ascii="仿宋_GB2312" w:hAnsi="仿宋_GB2312" w:eastAsia="仿宋_GB2312" w:cs="仿宋_GB2312"/>
          <w:sz w:val="32"/>
          <w:szCs w:val="32"/>
        </w:rPr>
        <w:t>效益</w:t>
      </w:r>
    </w:p>
    <w:p>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rPr>
      </w:pPr>
      <w:r>
        <w:rPr>
          <w:rFonts w:hint="eastAsia" w:ascii="仿宋_GB2312" w:hAnsi="仿宋_GB2312" w:eastAsia="仿宋_GB2312" w:cs="仿宋_GB2312"/>
          <w:b w:val="0"/>
          <w:bCs w:val="0"/>
          <w:kern w:val="2"/>
        </w:rPr>
        <w:t>①社会效益指标：</w:t>
      </w:r>
    </w:p>
    <w:p>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lang w:val="en-US" w:eastAsia="zh-CN"/>
        </w:rPr>
      </w:pPr>
      <w:r>
        <w:rPr>
          <w:rFonts w:hint="eastAsia" w:ascii="仿宋_GB2312" w:hAnsi="仿宋_GB2312" w:eastAsia="仿宋_GB2312" w:cs="仿宋_GB2312"/>
          <w:b w:val="0"/>
          <w:bCs w:val="0"/>
          <w:kern w:val="2"/>
          <w:lang w:val="en-US" w:eastAsia="zh-CN"/>
        </w:rPr>
        <w:t>指标1：监察结果反馈率，指标值：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kern w:val="2"/>
          <w:lang w:val="en-US" w:eastAsia="zh-CN"/>
        </w:rPr>
        <w:t>100%，实际完成值：100%，指标完成率100%。</w:t>
      </w:r>
    </w:p>
    <w:p>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ascii="仿宋_GB2312" w:hAnsi="仿宋_GB2312" w:eastAsia="仿宋_GB2312" w:cs="仿宋_GB2312"/>
          <w:b w:val="0"/>
          <w:bCs w:val="0"/>
          <w:kern w:val="2"/>
        </w:rPr>
      </w:pPr>
      <w:r>
        <w:rPr>
          <w:rFonts w:hint="eastAsia" w:ascii="仿宋_GB2312" w:hAnsi="仿宋_GB2312" w:eastAsia="仿宋_GB2312" w:cs="仿宋_GB2312"/>
          <w:b w:val="0"/>
          <w:bCs w:val="0"/>
          <w:kern w:val="2"/>
          <w:lang w:val="en-US" w:eastAsia="zh-CN"/>
        </w:rPr>
        <w:t>指标2：跟踪督办率，指标值：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kern w:val="2"/>
          <w:lang w:val="en-US" w:eastAsia="zh-CN"/>
        </w:rPr>
        <w:t>100%，实际完成值：100%，指标完成率100%</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kern w:val="2"/>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ascii="仿宋_GB2312" w:hAnsi="仿宋_GB2312" w:eastAsia="仿宋_GB2312" w:cs="仿宋_GB2312"/>
        </w:rPr>
      </w:pPr>
      <w:r>
        <w:rPr>
          <w:rFonts w:hint="eastAsia" w:ascii="仿宋_GB2312" w:hAnsi="仿宋_GB2312" w:eastAsia="仿宋_GB2312" w:cs="仿宋_GB2312"/>
          <w:b w:val="0"/>
          <w:bCs w:val="0"/>
          <w:kern w:val="2"/>
        </w:rPr>
        <w:t>满意度指标：检查人员被投诉次数，指标值为≤5次，实际完成0次，完成率100%。</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hAnsi="仿宋_GB2312" w:eastAsia="仿宋_GB2312" w:cs="仿宋_GB2312"/>
          <w:kern w:val="2"/>
          <w:sz w:val="32"/>
          <w:szCs w:val="32"/>
          <w:lang w:val="en-US"/>
        </w:rPr>
      </w:pPr>
      <w:r>
        <w:rPr>
          <w:rFonts w:hint="eastAsia" w:ascii="仿宋_GB2312" w:hAnsi="仿宋_GB2312" w:eastAsia="仿宋_GB2312" w:cs="仿宋_GB2312"/>
          <w:sz w:val="32"/>
          <w:szCs w:val="32"/>
          <w:lang w:val="en-US" w:eastAsia="zh-CN"/>
        </w:rPr>
        <w:t>生态环境监察项目</w:t>
      </w:r>
      <w:r>
        <w:rPr>
          <w:rFonts w:hint="eastAsia" w:ascii="仿宋_GB2312" w:hAnsi="仿宋_GB2312" w:eastAsia="仿宋_GB2312" w:cs="仿宋_GB2312"/>
          <w:kern w:val="2"/>
          <w:sz w:val="32"/>
          <w:szCs w:val="32"/>
        </w:rPr>
        <w:t>年初预算60万元，全年预算60万元，实际支出</w:t>
      </w:r>
      <w:r>
        <w:rPr>
          <w:rFonts w:hint="eastAsia" w:ascii="仿宋_GB2312" w:hAnsi="仿宋_GB2312" w:eastAsia="仿宋_GB2312" w:cs="仿宋_GB2312"/>
          <w:kern w:val="2"/>
          <w:sz w:val="32"/>
          <w:szCs w:val="32"/>
          <w:lang w:val="en-US" w:eastAsia="zh-CN"/>
        </w:rPr>
        <w:t>57.36</w:t>
      </w:r>
      <w:r>
        <w:rPr>
          <w:rFonts w:hint="eastAsia" w:ascii="仿宋_GB2312" w:hAnsi="仿宋_GB2312" w:eastAsia="仿宋_GB2312" w:cs="仿宋_GB2312"/>
          <w:kern w:val="2"/>
          <w:sz w:val="32"/>
          <w:szCs w:val="32"/>
        </w:rPr>
        <w:t>万元，预算执行率为</w:t>
      </w:r>
      <w:r>
        <w:rPr>
          <w:rFonts w:hint="eastAsia" w:ascii="仿宋_GB2312" w:hAnsi="仿宋_GB2312" w:eastAsia="仿宋_GB2312" w:cs="仿宋_GB2312"/>
          <w:kern w:val="2"/>
          <w:sz w:val="32"/>
          <w:szCs w:val="32"/>
          <w:lang w:val="en-US" w:eastAsia="zh-CN"/>
        </w:rPr>
        <w:t>95.60</w:t>
      </w:r>
      <w:r>
        <w:rPr>
          <w:rFonts w:hint="eastAsia" w:ascii="仿宋_GB2312" w:hAnsi="仿宋_GB2312" w:eastAsia="仿宋_GB2312" w:cs="仿宋_GB2312"/>
          <w:kern w:val="2"/>
          <w:sz w:val="32"/>
          <w:szCs w:val="32"/>
        </w:rPr>
        <w:t>%，项目绩效指标总体完成率为</w:t>
      </w:r>
      <w:r>
        <w:rPr>
          <w:rFonts w:hint="eastAsia" w:ascii="仿宋_GB2312" w:hAnsi="仿宋_GB2312" w:eastAsia="仿宋_GB2312" w:cs="仿宋_GB2312"/>
          <w:kern w:val="2"/>
          <w:sz w:val="32"/>
          <w:szCs w:val="32"/>
          <w:lang w:val="en-US" w:eastAsia="zh-CN"/>
        </w:rPr>
        <w:t>100</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Hans"/>
        </w:rPr>
        <w:t>总体</w:t>
      </w:r>
      <w:r>
        <w:rPr>
          <w:rFonts w:hint="eastAsia" w:ascii="仿宋_GB2312" w:hAnsi="仿宋_GB2312" w:eastAsia="仿宋_GB2312" w:cs="仿宋_GB2312"/>
          <w:kern w:val="2"/>
          <w:sz w:val="32"/>
          <w:szCs w:val="32"/>
        </w:rPr>
        <w:t>偏差率为</w:t>
      </w:r>
      <w:r>
        <w:rPr>
          <w:rFonts w:hint="eastAsia" w:ascii="仿宋_GB2312" w:hAnsi="仿宋_GB2312" w:eastAsia="仿宋_GB2312" w:cs="仿宋_GB2312"/>
          <w:kern w:val="2"/>
          <w:sz w:val="32"/>
          <w:szCs w:val="32"/>
          <w:lang w:val="en-US" w:eastAsia="zh-CN"/>
        </w:rPr>
        <w:t>4.4</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Hans"/>
        </w:rPr>
        <w:t>偏差</w:t>
      </w:r>
      <w:r>
        <w:rPr>
          <w:rFonts w:hint="eastAsia" w:ascii="仿宋_GB2312" w:hAnsi="仿宋_GB2312" w:eastAsia="仿宋_GB2312" w:cs="仿宋_GB2312"/>
          <w:kern w:val="2"/>
          <w:sz w:val="32"/>
          <w:szCs w:val="32"/>
        </w:rPr>
        <w:t>原因</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按照“过紧日子”要求，在实施项目过程中本着能省则省的原则，实际支出小于预算数</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下一步我办将不断完善</w:t>
      </w:r>
      <w:r>
        <w:rPr>
          <w:rFonts w:hint="eastAsia" w:ascii="仿宋_GB2312" w:hAnsi="仿宋_GB2312" w:eastAsia="仿宋_GB2312" w:cs="仿宋_GB2312"/>
          <w:sz w:val="32"/>
          <w:szCs w:val="32"/>
        </w:rPr>
        <w:t>预算执行制度，定期对预算执行情况进行监控和分析。对于预算执行中的偏差，及时查找原因并采取措施进行调整。</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eastAsia="黑体"/>
          <w:sz w:val="32"/>
          <w:szCs w:val="32"/>
          <w:lang w:val="en-US" w:eastAsia="zh-CN"/>
        </w:rPr>
      </w:pP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Style w:val="19"/>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after="0" w:line="560" w:lineRule="exact"/>
        <w:ind w:firstLine="627" w:firstLineChars="200"/>
        <w:jc w:val="both"/>
        <w:textAlignment w:val="auto"/>
        <w:rPr>
          <w:rFonts w:eastAsia="仿宋_GB2312"/>
          <w:color w:val="FF0000"/>
          <w:spacing w:val="17"/>
          <w:sz w:val="32"/>
          <w:szCs w:val="32"/>
          <w:highlight w:val="yellow"/>
        </w:rPr>
      </w:pPr>
      <w:r>
        <w:rPr>
          <w:rFonts w:eastAsia="楷体"/>
          <w:b/>
          <w:spacing w:val="-4"/>
          <w:sz w:val="32"/>
          <w:szCs w:val="32"/>
        </w:rPr>
        <w:t>（一）主要经验及做法</w:t>
      </w:r>
    </w:p>
    <w:p>
      <w:pPr>
        <w:pStyle w:val="5"/>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eastAsia="仿宋_GB2312"/>
          <w:color w:val="FF0000"/>
          <w:spacing w:val="17"/>
          <w:sz w:val="32"/>
          <w:szCs w:val="32"/>
          <w:highlight w:val="yellow"/>
        </w:rPr>
      </w:pPr>
      <w:r>
        <w:rPr>
          <w:rFonts w:hint="eastAsia" w:ascii="仿宋_GB2312" w:hAnsi="仿宋_GB2312" w:eastAsia="仿宋_GB2312" w:cs="仿宋_GB2312"/>
          <w:sz w:val="32"/>
          <w:szCs w:val="32"/>
        </w:rPr>
        <w:t>预算项目立项依据充分，绩效目标合理且清晰明确；项目管理机制健全、措施保障有力，全面、按时完成各项绩效制表，有效促进了部门履职绩效目标的实现；资金使用合规，会计核算规范，财务控制有效；项目完成及时，符合年度预算目标。提升预算项目管理相关人员业务素质和思想认识，将绩效自评融入到绩效管理的整个过程，提高绩效自评的效率和效果。同时加强对预算编制的管理，严格执行预算绩效管理办法，科学合理地设置预算绩效指标，积极推动绩效自评结果应用将其作为预算编制和改进管理的重要依据。</w:t>
      </w:r>
    </w:p>
    <w:p>
      <w:pPr>
        <w:keepNext w:val="0"/>
        <w:keepLines w:val="0"/>
        <w:pageBreakBefore w:val="0"/>
        <w:kinsoku/>
        <w:wordWrap/>
        <w:overflowPunct/>
        <w:topLinePunct w:val="0"/>
        <w:autoSpaceDE/>
        <w:autoSpaceDN/>
        <w:bidi w:val="0"/>
        <w:adjustRightInd/>
        <w:snapToGrid/>
        <w:spacing w:after="0" w:line="560" w:lineRule="exact"/>
        <w:ind w:firstLine="627" w:firstLineChars="200"/>
        <w:jc w:val="both"/>
        <w:textAlignment w:val="auto"/>
        <w:rPr>
          <w:rFonts w:eastAsia="楷体"/>
          <w:b/>
          <w:spacing w:val="-4"/>
          <w:sz w:val="32"/>
          <w:szCs w:val="32"/>
        </w:rPr>
      </w:pPr>
      <w:r>
        <w:rPr>
          <w:rFonts w:hint="eastAsia" w:eastAsia="楷体"/>
          <w:b/>
          <w:spacing w:val="-4"/>
          <w:sz w:val="32"/>
          <w:szCs w:val="32"/>
        </w:rPr>
        <w:t>（二）</w:t>
      </w:r>
      <w:r>
        <w:rPr>
          <w:rFonts w:eastAsia="楷体"/>
          <w:b/>
          <w:spacing w:val="-4"/>
          <w:sz w:val="32"/>
          <w:szCs w:val="32"/>
        </w:rPr>
        <w:t>存在的问题及原因分析</w:t>
      </w:r>
    </w:p>
    <w:p>
      <w:pPr>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highlight w:val="yellow"/>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.虽然我办实施绩效管理后财政预算资金管理精细化水平已有提高，但是依然存在一些不足，绩效指标设置的精准性、合理性有待进一步改善。</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eastAsia="黑体"/>
          <w:sz w:val="32"/>
          <w:szCs w:val="32"/>
        </w:rPr>
      </w:pPr>
      <w:r>
        <w:rPr>
          <w:rFonts w:hint="eastAsia" w:eastAsia="黑体"/>
          <w:sz w:val="32"/>
          <w:szCs w:val="32"/>
          <w:lang w:val="en-US" w:eastAsia="zh-CN"/>
        </w:rPr>
        <w:t>六</w:t>
      </w:r>
      <w:r>
        <w:rPr>
          <w:rFonts w:hint="eastAsia" w:eastAsia="黑体"/>
          <w:sz w:val="32"/>
          <w:szCs w:val="32"/>
          <w:lang w:eastAsia="zh-Hans"/>
        </w:rPr>
        <w:t>、</w:t>
      </w:r>
      <w:r>
        <w:rPr>
          <w:rFonts w:eastAsia="黑体"/>
          <w:sz w:val="32"/>
          <w:szCs w:val="32"/>
        </w:rPr>
        <w:t>有关建议</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r>
        <w:rPr>
          <w:rFonts w:hint="eastAsia" w:ascii="仿宋_GB2312" w:hAnsi="仿宋_GB2312" w:eastAsia="仿宋_GB2312" w:cs="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eastAsia="黑体"/>
          <w:sz w:val="32"/>
          <w:szCs w:val="32"/>
        </w:rPr>
      </w:pPr>
      <w:r>
        <w:rPr>
          <w:rFonts w:hint="eastAsia" w:eastAsia="黑体"/>
          <w:sz w:val="32"/>
          <w:szCs w:val="32"/>
          <w:lang w:val="en-US" w:eastAsia="zh-CN"/>
        </w:rPr>
        <w:t>七</w:t>
      </w:r>
      <w:r>
        <w:rPr>
          <w:rFonts w:hint="eastAsia" w:eastAsia="黑体"/>
          <w:sz w:val="32"/>
          <w:szCs w:val="32"/>
          <w:lang w:eastAsia="zh-Hans"/>
        </w:rPr>
        <w:t>、</w:t>
      </w:r>
      <w:r>
        <w:rPr>
          <w:rFonts w:eastAsia="黑体"/>
          <w:sz w:val="32"/>
          <w:szCs w:val="32"/>
        </w:rPr>
        <w:t>其他需要说</w:t>
      </w:r>
      <w:bookmarkStart w:id="7" w:name="page8"/>
      <w:bookmarkEnd w:id="7"/>
      <w:r>
        <w:rPr>
          <w:rFonts w:eastAsia="黑体"/>
          <w:sz w:val="32"/>
          <w:szCs w:val="32"/>
        </w:rPr>
        <w:t>明的问题</w:t>
      </w:r>
    </w:p>
    <w:p>
      <w:pPr>
        <w:pStyle w:val="14"/>
        <w:keepNext w:val="0"/>
        <w:keepLines w:val="0"/>
        <w:pageBreakBefore w:val="0"/>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sz w:val="32"/>
          <w:szCs w:val="32"/>
          <w:lang w:eastAsia="zh-Hans"/>
        </w:rPr>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p>
    <w:p>
      <w:pPr>
        <w:spacing w:line="600" w:lineRule="exact"/>
        <w:rPr>
          <w:rFonts w:ascii="黑体" w:hAnsi="黑体" w:eastAsia="黑体" w:cs="黑体"/>
        </w:rPr>
      </w:pPr>
      <w:r>
        <w:rPr>
          <w:rFonts w:hint="eastAsia" w:ascii="黑体" w:hAnsi="黑体" w:eastAsia="黑体" w:cs="黑体"/>
          <w:bCs/>
          <w:sz w:val="32"/>
          <w:szCs w:val="32"/>
        </w:rPr>
        <w:t>附件1</w:t>
      </w:r>
    </w:p>
    <w:p>
      <w:pPr>
        <w:pStyle w:val="20"/>
        <w:ind w:firstLine="562"/>
        <w:jc w:val="center"/>
        <w:rPr>
          <w:sz w:val="28"/>
          <w:szCs w:val="40"/>
        </w:rPr>
      </w:pPr>
      <w:bookmarkStart w:id="8" w:name="_Toc26499_WPSOffice_Level2"/>
      <w:bookmarkStart w:id="9" w:name="_Toc30064_WPSOffice_Level1"/>
      <w:r>
        <w:rPr>
          <w:rFonts w:hint="eastAsia"/>
          <w:b/>
          <w:bCs/>
          <w:sz w:val="28"/>
          <w:szCs w:val="40"/>
          <w:lang w:val="en-US" w:eastAsia="zh-CN"/>
        </w:rPr>
        <w:t>生态环境监察项目</w:t>
      </w:r>
      <w:r>
        <w:rPr>
          <w:rFonts w:hint="eastAsia"/>
          <w:b/>
          <w:bCs/>
          <w:sz w:val="28"/>
          <w:szCs w:val="40"/>
        </w:rPr>
        <w:t>绩效评价指标体系及综合评分表</w:t>
      </w:r>
      <w:bookmarkEnd w:id="8"/>
      <w:bookmarkEnd w:id="9"/>
    </w:p>
    <w:tbl>
      <w:tblPr>
        <w:tblStyle w:val="15"/>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bl>
    <w:p/>
    <w:p/>
    <w:p/>
    <w:tbl>
      <w:tblPr>
        <w:tblStyle w:val="15"/>
        <w:tblW w:w="13988" w:type="dxa"/>
        <w:tblInd w:w="0" w:type="dxa"/>
        <w:shd w:val="clear" w:color="auto" w:fill="auto"/>
        <w:tblLayout w:type="fixed"/>
        <w:tblCellMar>
          <w:top w:w="0" w:type="dxa"/>
          <w:left w:w="0" w:type="dxa"/>
          <w:bottom w:w="0" w:type="dxa"/>
          <w:right w:w="0" w:type="dxa"/>
        </w:tblCellMar>
      </w:tblPr>
      <w:tblGrid>
        <w:gridCol w:w="583"/>
        <w:gridCol w:w="584"/>
        <w:gridCol w:w="583"/>
        <w:gridCol w:w="1308"/>
        <w:gridCol w:w="930"/>
        <w:gridCol w:w="930"/>
        <w:gridCol w:w="930"/>
        <w:gridCol w:w="930"/>
        <w:gridCol w:w="930"/>
        <w:gridCol w:w="930"/>
        <w:gridCol w:w="930"/>
        <w:gridCol w:w="1118"/>
        <w:gridCol w:w="993"/>
        <w:gridCol w:w="2309"/>
      </w:tblGrid>
      <w:tr>
        <w:tblPrEx>
          <w:shd w:val="clear" w:color="auto" w:fill="auto"/>
          <w:tblLayout w:type="fixed"/>
          <w:tblCellMar>
            <w:top w:w="0" w:type="dxa"/>
            <w:left w:w="0" w:type="dxa"/>
            <w:bottom w:w="0" w:type="dxa"/>
            <w:right w:w="0" w:type="dxa"/>
          </w:tblCellMar>
        </w:tblPrEx>
        <w:trPr>
          <w:trHeight w:val="405" w:hRule="atLeast"/>
        </w:trPr>
        <w:tc>
          <w:tcPr>
            <w:tcW w:w="13988" w:type="dxa"/>
            <w:gridSpan w:val="14"/>
            <w:tcBorders>
              <w:top w:val="nil"/>
              <w:left w:val="nil"/>
              <w:bottom w:val="nil"/>
              <w:right w:val="nil"/>
            </w:tcBorders>
            <w:shd w:val="clear" w:color="auto" w:fill="auto"/>
            <w:tcMar>
              <w:top w:w="15" w:type="dxa"/>
              <w:left w:w="15" w:type="dxa"/>
              <w:right w:w="15" w:type="dxa"/>
            </w:tcMar>
            <w:vAlign w:val="center"/>
          </w:tcPr>
          <w:p>
            <w:pPr>
              <w:spacing w:line="600" w:lineRule="exact"/>
              <w:rPr>
                <w:rFonts w:hint="eastAsia" w:ascii="黑体" w:hAnsi="黑体" w:eastAsia="黑体" w:cs="黑体"/>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2</w:t>
            </w: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trHeight w:val="465" w:hRule="atLeast"/>
        </w:trPr>
        <w:tc>
          <w:tcPr>
            <w:tcW w:w="13988"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Layout w:type="fixed"/>
          <w:tblCellMar>
            <w:top w:w="0" w:type="dxa"/>
            <w:left w:w="0" w:type="dxa"/>
            <w:bottom w:w="0" w:type="dxa"/>
            <w:right w:w="0" w:type="dxa"/>
          </w:tblCellMar>
        </w:tblPrEx>
        <w:trPr>
          <w:trHeight w:val="491" w:hRule="atLeast"/>
        </w:trPr>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项目名称</w:t>
            </w:r>
          </w:p>
        </w:tc>
        <w:tc>
          <w:tcPr>
            <w:tcW w:w="12821"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生态环境监察项目</w:t>
            </w:r>
          </w:p>
        </w:tc>
      </w:tr>
      <w:tr>
        <w:tblPrEx>
          <w:tblLayout w:type="fixed"/>
          <w:tblCellMar>
            <w:top w:w="0" w:type="dxa"/>
            <w:left w:w="0" w:type="dxa"/>
            <w:bottom w:w="0" w:type="dxa"/>
            <w:right w:w="0" w:type="dxa"/>
          </w:tblCellMar>
        </w:tblPrEx>
        <w:trPr>
          <w:trHeight w:val="381" w:hRule="atLeast"/>
        </w:trPr>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主管部门</w:t>
            </w:r>
          </w:p>
        </w:tc>
        <w:tc>
          <w:tcPr>
            <w:tcW w:w="468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新疆维吾尔自治区生态环境厅</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实施单位</w:t>
            </w:r>
          </w:p>
        </w:tc>
        <w:tc>
          <w:tcPr>
            <w:tcW w:w="628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新疆维吾尔自治区生态环境厅第三生态环境监察专员办公室</w:t>
            </w:r>
          </w:p>
        </w:tc>
      </w:tr>
      <w:tr>
        <w:tblPrEx>
          <w:tblLayout w:type="fixed"/>
          <w:tblCellMar>
            <w:top w:w="0" w:type="dxa"/>
            <w:left w:w="0" w:type="dxa"/>
            <w:bottom w:w="0" w:type="dxa"/>
            <w:right w:w="0" w:type="dxa"/>
          </w:tblCellMar>
        </w:tblPrEx>
        <w:trPr>
          <w:trHeight w:val="440" w:hRule="atLeast"/>
        </w:trPr>
        <w:tc>
          <w:tcPr>
            <w:tcW w:w="11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项目资金</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（万元）</w:t>
            </w: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年初预算数</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全年预算数</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全年执行数</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分值</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执行率</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得分</w:t>
            </w:r>
          </w:p>
        </w:tc>
      </w:tr>
      <w:tr>
        <w:tblPrEx>
          <w:tblLayout w:type="fixed"/>
          <w:tblCellMar>
            <w:top w:w="0" w:type="dxa"/>
            <w:left w:w="0" w:type="dxa"/>
            <w:bottom w:w="0" w:type="dxa"/>
            <w:right w:w="0" w:type="dxa"/>
          </w:tblCellMar>
        </w:tblPrEx>
        <w:trPr>
          <w:trHeight w:val="577" w:hRule="atLeast"/>
        </w:trPr>
        <w:tc>
          <w:tcPr>
            <w:tcW w:w="11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年度资金总额</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60.00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60.00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57.36</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95.60%</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9.56分</w:t>
            </w:r>
          </w:p>
        </w:tc>
      </w:tr>
      <w:tr>
        <w:tblPrEx>
          <w:tblLayout w:type="fixed"/>
          <w:tblCellMar>
            <w:top w:w="0" w:type="dxa"/>
            <w:left w:w="0" w:type="dxa"/>
            <w:bottom w:w="0" w:type="dxa"/>
            <w:right w:w="0" w:type="dxa"/>
          </w:tblCellMar>
        </w:tblPrEx>
        <w:trPr>
          <w:trHeight w:val="564" w:hRule="atLeast"/>
        </w:trPr>
        <w:tc>
          <w:tcPr>
            <w:tcW w:w="11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其中：当年财政拨款</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60.00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60.00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57.36</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0" w:type="dxa"/>
            <w:bottom w:w="0" w:type="dxa"/>
            <w:right w:w="0" w:type="dxa"/>
          </w:tblCellMar>
        </w:tblPrEx>
        <w:trPr>
          <w:trHeight w:val="555" w:hRule="atLeast"/>
        </w:trPr>
        <w:tc>
          <w:tcPr>
            <w:tcW w:w="11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 xml:space="preserve">  其他资金</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0" w:type="dxa"/>
            <w:bottom w:w="0" w:type="dxa"/>
            <w:right w:w="0" w:type="dxa"/>
          </w:tblCellMar>
        </w:tblPrEx>
        <w:trPr>
          <w:trHeight w:val="540"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年度总体目标</w:t>
            </w:r>
          </w:p>
        </w:tc>
        <w:tc>
          <w:tcPr>
            <w:tcW w:w="52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预期目标</w:t>
            </w:r>
          </w:p>
        </w:tc>
        <w:tc>
          <w:tcPr>
            <w:tcW w:w="81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18"/>
                <w:szCs w:val="18"/>
                <w:u w:val="none"/>
                <w:lang w:val="en-US" w:eastAsia="zh-CN" w:bidi="ar"/>
              </w:rPr>
              <w:t>实际完成情况</w:t>
            </w:r>
          </w:p>
        </w:tc>
      </w:tr>
      <w:tr>
        <w:tblPrEx>
          <w:tblLayout w:type="fixed"/>
          <w:tblCellMar>
            <w:top w:w="0" w:type="dxa"/>
            <w:left w:w="0" w:type="dxa"/>
            <w:bottom w:w="0" w:type="dxa"/>
            <w:right w:w="0" w:type="dxa"/>
          </w:tblCellMar>
        </w:tblPrEx>
        <w:trPr>
          <w:trHeight w:val="2747"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2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根据生态环境监察专员办公室职责，2024年第三生态环境监察专员办公室对乌鲁木齐市及各区（县）开展生态环境保护派驻监察工作，重点督促乌鲁木齐市做好中央、自治区生态环境保护督察整改落实和“乌-昌-石”区域大气环境整治等工作，配合开展自治区级生态环境保护督察工作，2024年第三生态环境监察专员办公室生态环境监察项目覆盖生态环境监察区域1个，形成监察报告4个，监察频次不少于4次，报告质量通过率和区域覆盖率达到100%。通过生态环境监察项目的实施，完成乌鲁木齐市及各区（县）生态环境保护督察任务，不断促进辖区生态环境保护质量持续改善。</w:t>
            </w:r>
          </w:p>
        </w:tc>
        <w:tc>
          <w:tcPr>
            <w:tcW w:w="81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根据自治区党委、人民政府工作部署，在自治区生态环境厅党组领导下，对乌鲁木齐市及各区（县）生态环境保护工作开展监察。全年覆盖监察区域1个，形成监察报告4个，完成4频次的监察工作，报告质量通过率和区域覆盖率达到100%。按照自治区整改办统一安排，自治区省级督察工作任务，配合参与了对克拉玛依市、和田地区、阿勒泰地区的自治区生态环境保护督察工作，对辖区内第二轮中央环境保护督察反馈问题整改“回头看”发现的突出问题进行了专项督察，对自治区省级督察期间反馈的整改任务及时跟进，调度实时掌握整改进展情况，确保整改落实到位。开展乌鲁木齐市医疗废物、生活污水专项督察，紧扣“乌—昌—石”区域大气环境整治重点任务，对乌鲁木齐市冬季大气污染防治工作及应急响应措施落实情况进行专项督察。</w:t>
            </w:r>
          </w:p>
        </w:tc>
      </w:tr>
      <w:tr>
        <w:tblPrEx>
          <w:shd w:val="clear" w:color="auto" w:fill="auto"/>
          <w:tblLayout w:type="fixed"/>
          <w:tblCellMar>
            <w:top w:w="0" w:type="dxa"/>
            <w:left w:w="0" w:type="dxa"/>
            <w:bottom w:w="0" w:type="dxa"/>
            <w:right w:w="0" w:type="dxa"/>
          </w:tblCellMar>
        </w:tblPrEx>
        <w:trPr>
          <w:trHeight w:val="270" w:hRule="atLeast"/>
        </w:trPr>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一级指标</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二级指标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权重</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目标值</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业绩值</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完成率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指标得分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指标值设定依据</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上年完成情况</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赋分规则</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佐证资料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18"/>
                <w:szCs w:val="18"/>
                <w:u w:val="none"/>
                <w:lang w:val="en-US" w:eastAsia="zh-CN" w:bidi="ar"/>
              </w:rPr>
              <w:t>偏差原因分析及改进措施</w:t>
            </w:r>
          </w:p>
        </w:tc>
      </w:tr>
      <w:tr>
        <w:tblPrEx>
          <w:tblLayout w:type="fixed"/>
          <w:tblCellMar>
            <w:top w:w="0" w:type="dxa"/>
            <w:left w:w="0" w:type="dxa"/>
            <w:bottom w:w="0" w:type="dxa"/>
            <w:right w:w="0" w:type="dxa"/>
          </w:tblCellMar>
        </w:tblPrEx>
        <w:trPr>
          <w:trHeight w:val="270"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年度绩效指标完成情况</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产出指标</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数量指标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覆盖生态环境监察区域</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=1个</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=1个</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1个</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直接赋分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74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数量指标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形成监察报告</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&gt;=4个</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=4个</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4个</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数量指标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督察（监察）频次</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&gt;=4次</w:t>
            </w:r>
          </w:p>
        </w:tc>
        <w:tc>
          <w:tcPr>
            <w:tcW w:w="9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=4次</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质量指标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报告质量通过率</w:t>
            </w:r>
          </w:p>
        </w:tc>
        <w:tc>
          <w:tcPr>
            <w:tcW w:w="93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质量指标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区域覆盖率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3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时效指标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年度督察任务按时完成率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70%</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3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效益指标</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社会效益指标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监察结果反馈率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社会效益指标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跟踪督办率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按照完成比例赋分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满意度指标</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检查人员被投诉次数</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&lt;=5次</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=0次</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其他标准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0次</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满意度赋分</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工作资料</w:t>
            </w: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30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i w:val="0"/>
                <w:color w:val="000000"/>
                <w:kern w:val="0"/>
                <w:sz w:val="18"/>
                <w:szCs w:val="18"/>
                <w:u w:val="none"/>
                <w:lang w:val="en-US" w:eastAsia="zh-CN" w:bidi="ar"/>
              </w:rPr>
              <w:t>总分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99.56分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3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0NDY0OGU2MmQxYjRhMGI0Nzk0YTkwZmIzOTBhMGEifQ=="/>
  </w:docVars>
  <w:rsids>
    <w:rsidRoot w:val="FF6C4049"/>
    <w:rsid w:val="00140C09"/>
    <w:rsid w:val="00160233"/>
    <w:rsid w:val="002904D4"/>
    <w:rsid w:val="00290521"/>
    <w:rsid w:val="00454D73"/>
    <w:rsid w:val="004D5AB5"/>
    <w:rsid w:val="004E7263"/>
    <w:rsid w:val="00515836"/>
    <w:rsid w:val="006217E8"/>
    <w:rsid w:val="006F6CDD"/>
    <w:rsid w:val="006F7242"/>
    <w:rsid w:val="00734859"/>
    <w:rsid w:val="007B168A"/>
    <w:rsid w:val="00801411"/>
    <w:rsid w:val="00886ADA"/>
    <w:rsid w:val="008B2CFE"/>
    <w:rsid w:val="00A62D54"/>
    <w:rsid w:val="00B55A18"/>
    <w:rsid w:val="00C52035"/>
    <w:rsid w:val="00C97EF1"/>
    <w:rsid w:val="00E25C6E"/>
    <w:rsid w:val="00E4325D"/>
    <w:rsid w:val="00E75DD7"/>
    <w:rsid w:val="00F26FF6"/>
    <w:rsid w:val="07397B77"/>
    <w:rsid w:val="0CE11DD7"/>
    <w:rsid w:val="0D4F6F5B"/>
    <w:rsid w:val="0DC6455A"/>
    <w:rsid w:val="0F584251"/>
    <w:rsid w:val="10B43BB6"/>
    <w:rsid w:val="11064115"/>
    <w:rsid w:val="13471461"/>
    <w:rsid w:val="13B90F01"/>
    <w:rsid w:val="170221CA"/>
    <w:rsid w:val="181066D2"/>
    <w:rsid w:val="18B15FDC"/>
    <w:rsid w:val="1A8A0D28"/>
    <w:rsid w:val="1BC8208B"/>
    <w:rsid w:val="1C615968"/>
    <w:rsid w:val="1C671E73"/>
    <w:rsid w:val="1E2D641A"/>
    <w:rsid w:val="1E67508A"/>
    <w:rsid w:val="20DF018E"/>
    <w:rsid w:val="20F20532"/>
    <w:rsid w:val="239A2D91"/>
    <w:rsid w:val="23CA0706"/>
    <w:rsid w:val="24495E2F"/>
    <w:rsid w:val="270746A3"/>
    <w:rsid w:val="27F7477A"/>
    <w:rsid w:val="2AAD2990"/>
    <w:rsid w:val="2B200859"/>
    <w:rsid w:val="2B834B08"/>
    <w:rsid w:val="2C8943E5"/>
    <w:rsid w:val="2CC50556"/>
    <w:rsid w:val="2D5A6C6F"/>
    <w:rsid w:val="2E3C169E"/>
    <w:rsid w:val="2E6E3822"/>
    <w:rsid w:val="2F2F26AB"/>
    <w:rsid w:val="2F7B5C7D"/>
    <w:rsid w:val="2FAF5C99"/>
    <w:rsid w:val="317F6FB4"/>
    <w:rsid w:val="337A0AA8"/>
    <w:rsid w:val="359F4318"/>
    <w:rsid w:val="38CA40DD"/>
    <w:rsid w:val="395F2B56"/>
    <w:rsid w:val="3B3E0087"/>
    <w:rsid w:val="3BECE841"/>
    <w:rsid w:val="3E2F2040"/>
    <w:rsid w:val="3FF7797D"/>
    <w:rsid w:val="40AC7F4F"/>
    <w:rsid w:val="43625F2A"/>
    <w:rsid w:val="438F3569"/>
    <w:rsid w:val="444725BA"/>
    <w:rsid w:val="45BE04FC"/>
    <w:rsid w:val="4672784F"/>
    <w:rsid w:val="492D2391"/>
    <w:rsid w:val="4B07544E"/>
    <w:rsid w:val="4B68058C"/>
    <w:rsid w:val="4C521C17"/>
    <w:rsid w:val="4C5B7215"/>
    <w:rsid w:val="4D930111"/>
    <w:rsid w:val="4E061402"/>
    <w:rsid w:val="4F7800DE"/>
    <w:rsid w:val="506F767A"/>
    <w:rsid w:val="53146FD7"/>
    <w:rsid w:val="531C427B"/>
    <w:rsid w:val="55834F5B"/>
    <w:rsid w:val="5624160B"/>
    <w:rsid w:val="56372BD2"/>
    <w:rsid w:val="56A804E8"/>
    <w:rsid w:val="59F951CC"/>
    <w:rsid w:val="5BFF6039"/>
    <w:rsid w:val="5D76A616"/>
    <w:rsid w:val="5D7F20B9"/>
    <w:rsid w:val="5DAC7D0E"/>
    <w:rsid w:val="5ECA37CC"/>
    <w:rsid w:val="5F1D5BE4"/>
    <w:rsid w:val="5F98B5AF"/>
    <w:rsid w:val="5FD50DBD"/>
    <w:rsid w:val="5FFE8511"/>
    <w:rsid w:val="5FFEACE2"/>
    <w:rsid w:val="602A16E4"/>
    <w:rsid w:val="62B90A52"/>
    <w:rsid w:val="643EE26D"/>
    <w:rsid w:val="656B14F4"/>
    <w:rsid w:val="66A662D4"/>
    <w:rsid w:val="66DC6D4D"/>
    <w:rsid w:val="67ED0229"/>
    <w:rsid w:val="6AE47E94"/>
    <w:rsid w:val="6CD72E81"/>
    <w:rsid w:val="6CFD4D50"/>
    <w:rsid w:val="6F5C41AC"/>
    <w:rsid w:val="6FAF6C78"/>
    <w:rsid w:val="7317C656"/>
    <w:rsid w:val="734ED73F"/>
    <w:rsid w:val="736C1264"/>
    <w:rsid w:val="7378476E"/>
    <w:rsid w:val="76461D10"/>
    <w:rsid w:val="77FD8BE9"/>
    <w:rsid w:val="780D4955"/>
    <w:rsid w:val="79202388"/>
    <w:rsid w:val="79890A01"/>
    <w:rsid w:val="79A9BD3F"/>
    <w:rsid w:val="7A395130"/>
    <w:rsid w:val="7B0405AD"/>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 w:type="paragraph" w:customStyle="1" w:styleId="2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5980</Words>
  <Characters>6099</Characters>
  <Lines>76</Lines>
  <Paragraphs>21</Paragraphs>
  <TotalTime>36</TotalTime>
  <ScaleCrop>false</ScaleCrop>
  <LinksUpToDate>false</LinksUpToDate>
  <CharactersWithSpaces>6099</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lenovo</cp:lastModifiedBy>
  <cp:lastPrinted>2024-04-12T13:34:00Z</cp:lastPrinted>
  <dcterms:modified xsi:type="dcterms:W3CDTF">2025-08-19T03:08:13Z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DEB37354E36D40D48F20A3DAB18895C3</vt:lpwstr>
  </property>
  <property fmtid="{D5CDD505-2E9C-101B-9397-08002B2CF9AE}" pid="4" name="KSOTemplateDocerSaveRecord">
    <vt:lpwstr>eyJoZGlkIjoiYWIwNzEzNmQwYTRmNWQ5NTdhZjI0M2Q0NjE3M2ZiNDciLCJ1c2VySWQiOiI2NTk2MDc1NDYifQ==</vt:lpwstr>
  </property>
</Properties>
</file>