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D479C">
      <w:pPr>
        <w:spacing w:line="540" w:lineRule="exact"/>
        <w:jc w:val="center"/>
        <w:rPr>
          <w:rFonts w:hint="default" w:ascii="Times New Roman" w:hAnsi="Times New Roman" w:eastAsia="华文中宋" w:cs="Times New Roman"/>
          <w:b/>
          <w:kern w:val="0"/>
          <w:sz w:val="52"/>
          <w:szCs w:val="52"/>
        </w:rPr>
      </w:pPr>
    </w:p>
    <w:p w14:paraId="7CF53B10">
      <w:pPr>
        <w:spacing w:line="540" w:lineRule="exact"/>
        <w:rPr>
          <w:rFonts w:hint="default" w:ascii="Times New Roman" w:hAnsi="Times New Roman" w:eastAsia="华文中宋" w:cs="Times New Roman"/>
          <w:b/>
          <w:kern w:val="0"/>
          <w:sz w:val="52"/>
          <w:szCs w:val="52"/>
        </w:rPr>
      </w:pPr>
    </w:p>
    <w:p w14:paraId="7465461C">
      <w:pPr>
        <w:spacing w:line="540" w:lineRule="exact"/>
        <w:jc w:val="center"/>
        <w:rPr>
          <w:rFonts w:hint="default" w:ascii="Times New Roman" w:hAnsi="Times New Roman" w:eastAsia="华文中宋" w:cs="Times New Roman"/>
          <w:b/>
          <w:kern w:val="0"/>
          <w:sz w:val="52"/>
          <w:szCs w:val="52"/>
        </w:rPr>
      </w:pPr>
    </w:p>
    <w:p w14:paraId="47204D13">
      <w:pPr>
        <w:spacing w:line="540" w:lineRule="exact"/>
        <w:jc w:val="center"/>
        <w:rPr>
          <w:rFonts w:hint="default" w:ascii="Times New Roman" w:hAnsi="Times New Roman" w:eastAsia="华文中宋" w:cs="Times New Roman"/>
          <w:b/>
          <w:kern w:val="0"/>
          <w:sz w:val="44"/>
          <w:szCs w:val="44"/>
        </w:rPr>
      </w:pPr>
    </w:p>
    <w:p w14:paraId="5E11D5A7">
      <w:pPr>
        <w:spacing w:line="540" w:lineRule="exact"/>
        <w:jc w:val="center"/>
        <w:rPr>
          <w:rFonts w:hint="eastAsia" w:eastAsia="方正小标宋_GBK"/>
          <w:kern w:val="0"/>
          <w:sz w:val="44"/>
          <w:szCs w:val="44"/>
        </w:rPr>
      </w:pPr>
      <w:r>
        <w:rPr>
          <w:rFonts w:hint="eastAsia" w:eastAsia="方正小标宋_GBK"/>
          <w:kern w:val="0"/>
          <w:sz w:val="44"/>
          <w:szCs w:val="44"/>
        </w:rPr>
        <w:t>生态环境厅</w:t>
      </w:r>
      <w:r>
        <w:rPr>
          <w:rFonts w:hint="eastAsia" w:eastAsia="方正小标宋_GBK"/>
          <w:kern w:val="0"/>
          <w:sz w:val="44"/>
          <w:szCs w:val="44"/>
          <w:lang w:eastAsia="zh-CN"/>
        </w:rPr>
        <w:t>第一专员办</w:t>
      </w:r>
      <w:r>
        <w:rPr>
          <w:rFonts w:hint="eastAsia" w:eastAsia="方正小标宋_GBK"/>
          <w:kern w:val="0"/>
          <w:sz w:val="44"/>
          <w:szCs w:val="44"/>
          <w:lang w:val="en-US" w:eastAsia="zh-CN"/>
        </w:rPr>
        <w:t>生态环境监察</w:t>
      </w:r>
      <w:r>
        <w:rPr>
          <w:rFonts w:hint="eastAsia" w:eastAsia="方正小标宋_GBK"/>
          <w:kern w:val="0"/>
          <w:sz w:val="44"/>
          <w:szCs w:val="44"/>
        </w:rPr>
        <w:t>项目支出绩效评价报告</w:t>
      </w:r>
    </w:p>
    <w:p w14:paraId="2A66E519">
      <w:pPr>
        <w:spacing w:line="540" w:lineRule="exact"/>
        <w:jc w:val="center"/>
        <w:rPr>
          <w:rFonts w:hint="eastAsia" w:ascii="仿宋" w:hAnsi="仿宋" w:eastAsia="仿宋" w:cs="仿宋"/>
          <w:b/>
          <w:bCs/>
          <w:kern w:val="0"/>
          <w:sz w:val="48"/>
          <w:szCs w:val="48"/>
        </w:rPr>
      </w:pPr>
    </w:p>
    <w:p w14:paraId="3435F33D">
      <w:pPr>
        <w:spacing w:line="540" w:lineRule="exact"/>
        <w:jc w:val="center"/>
        <w:rPr>
          <w:rFonts w:hint="default" w:ascii="Times New Roman" w:hAnsi="Times New Roman" w:eastAsia="华文中宋" w:cs="Times New Roman"/>
          <w:b/>
          <w:kern w:val="0"/>
          <w:sz w:val="52"/>
          <w:szCs w:val="52"/>
        </w:rPr>
      </w:pPr>
    </w:p>
    <w:p w14:paraId="2C28A45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b/>
          <w:bCs/>
          <w:kern w:val="0"/>
          <w:sz w:val="36"/>
          <w:szCs w:val="36"/>
        </w:rPr>
        <w:t>年度</w:t>
      </w:r>
      <w:r>
        <w:rPr>
          <w:rFonts w:hint="default" w:ascii="Times New Roman" w:hAnsi="Times New Roman" w:eastAsia="仿宋_GB2312" w:cs="Times New Roman"/>
          <w:kern w:val="0"/>
          <w:sz w:val="36"/>
          <w:szCs w:val="36"/>
        </w:rPr>
        <w:t>）</w:t>
      </w:r>
    </w:p>
    <w:p w14:paraId="1BF12FF7">
      <w:pPr>
        <w:spacing w:line="540" w:lineRule="exact"/>
        <w:jc w:val="center"/>
        <w:rPr>
          <w:rFonts w:hint="default" w:ascii="Times New Roman" w:hAnsi="Times New Roman" w:eastAsia="仿宋_GB2312" w:cs="Times New Roman"/>
          <w:kern w:val="0"/>
          <w:sz w:val="30"/>
          <w:szCs w:val="30"/>
        </w:rPr>
      </w:pPr>
    </w:p>
    <w:p w14:paraId="24846776">
      <w:pPr>
        <w:spacing w:line="540" w:lineRule="exact"/>
        <w:jc w:val="center"/>
        <w:rPr>
          <w:rFonts w:hint="default" w:ascii="Times New Roman" w:hAnsi="Times New Roman" w:eastAsia="仿宋_GB2312" w:cs="Times New Roman"/>
          <w:kern w:val="0"/>
          <w:sz w:val="30"/>
          <w:szCs w:val="30"/>
        </w:rPr>
      </w:pPr>
    </w:p>
    <w:p w14:paraId="58C16714">
      <w:pPr>
        <w:spacing w:line="540" w:lineRule="exact"/>
        <w:jc w:val="center"/>
        <w:rPr>
          <w:rFonts w:hint="default" w:ascii="Times New Roman" w:hAnsi="Times New Roman" w:eastAsia="仿宋_GB2312" w:cs="Times New Roman"/>
          <w:kern w:val="0"/>
          <w:sz w:val="30"/>
          <w:szCs w:val="30"/>
        </w:rPr>
      </w:pPr>
    </w:p>
    <w:p w14:paraId="141D8E8F">
      <w:pPr>
        <w:pStyle w:val="11"/>
        <w:rPr>
          <w:rFonts w:hint="default" w:ascii="Times New Roman" w:hAnsi="Times New Roman" w:cs="Times New Roman"/>
        </w:rPr>
      </w:pPr>
    </w:p>
    <w:p w14:paraId="02360C14">
      <w:pPr>
        <w:spacing w:line="540" w:lineRule="exact"/>
        <w:jc w:val="center"/>
        <w:rPr>
          <w:rFonts w:hint="default" w:ascii="Times New Roman" w:hAnsi="Times New Roman" w:eastAsia="仿宋_GB2312" w:cs="Times New Roman"/>
          <w:kern w:val="0"/>
          <w:sz w:val="30"/>
          <w:szCs w:val="30"/>
        </w:rPr>
      </w:pPr>
    </w:p>
    <w:p w14:paraId="13AA2476">
      <w:pPr>
        <w:spacing w:line="540" w:lineRule="exact"/>
        <w:rPr>
          <w:rFonts w:hint="default" w:ascii="Times New Roman" w:hAnsi="Times New Roman" w:eastAsia="仿宋_GB2312" w:cs="Times New Roman"/>
          <w:kern w:val="0"/>
          <w:sz w:val="30"/>
          <w:szCs w:val="30"/>
        </w:rPr>
      </w:pPr>
    </w:p>
    <w:p w14:paraId="6B4E57F0">
      <w:pPr>
        <w:spacing w:line="700" w:lineRule="exact"/>
        <w:jc w:val="left"/>
        <w:rPr>
          <w:rFonts w:hint="default" w:ascii="Times New Roman" w:hAnsi="Times New Roman" w:eastAsia="仿宋_GB2312" w:cs="Times New Roman"/>
          <w:b/>
          <w:bCs/>
          <w:kern w:val="0"/>
          <w:sz w:val="28"/>
          <w:szCs w:val="28"/>
        </w:rPr>
      </w:pPr>
      <w:r>
        <w:rPr>
          <w:rFonts w:hint="default" w:ascii="Times New Roman" w:hAnsi="Times New Roman" w:eastAsia="仿宋_GB2312" w:cs="Times New Roman"/>
          <w:b/>
          <w:bCs/>
          <w:kern w:val="0"/>
          <w:sz w:val="28"/>
          <w:szCs w:val="28"/>
        </w:rPr>
        <w:t>项目名称</w:t>
      </w:r>
      <w:r>
        <w:rPr>
          <w:rFonts w:hint="default" w:ascii="Times New Roman" w:hAnsi="Times New Roman" w:eastAsia="仿宋_GB2312" w:cs="Times New Roman"/>
          <w:b/>
          <w:bCs/>
          <w:kern w:val="0"/>
          <w:sz w:val="36"/>
          <w:szCs w:val="36"/>
        </w:rPr>
        <w:t>：</w:t>
      </w:r>
      <w:r>
        <w:rPr>
          <w:rFonts w:hint="eastAsia" w:ascii="Times New Roman" w:hAnsi="Times New Roman" w:eastAsia="仿宋_GB2312" w:cs="Times New Roman"/>
          <w:b/>
          <w:bCs/>
          <w:kern w:val="0"/>
          <w:sz w:val="28"/>
          <w:szCs w:val="28"/>
          <w:lang w:val="en-US" w:eastAsia="zh-CN"/>
        </w:rPr>
        <w:t>生态环境监察</w:t>
      </w:r>
      <w:r>
        <w:rPr>
          <w:rFonts w:hint="eastAsia" w:ascii="Times New Roman" w:hAnsi="Times New Roman" w:eastAsia="仿宋_GB2312" w:cs="Times New Roman"/>
          <w:b/>
          <w:bCs/>
          <w:kern w:val="0"/>
          <w:sz w:val="28"/>
          <w:szCs w:val="28"/>
        </w:rPr>
        <w:t>项目</w:t>
      </w:r>
    </w:p>
    <w:p w14:paraId="6CF1E51E">
      <w:pPr>
        <w:spacing w:line="700" w:lineRule="exact"/>
        <w:jc w:val="left"/>
        <w:rPr>
          <w:rFonts w:hint="default" w:ascii="Times New Roman" w:hAnsi="Times New Roman" w:eastAsia="仿宋_GB2312" w:cs="Times New Roman"/>
          <w:b/>
          <w:bCs/>
          <w:kern w:val="0"/>
          <w:sz w:val="21"/>
          <w:szCs w:val="21"/>
        </w:rPr>
      </w:pPr>
      <w:r>
        <w:rPr>
          <w:rFonts w:hint="default" w:ascii="Times New Roman" w:hAnsi="Times New Roman" w:eastAsia="仿宋_GB2312" w:cs="Times New Roman"/>
          <w:b/>
          <w:bCs/>
          <w:kern w:val="0"/>
          <w:sz w:val="28"/>
          <w:szCs w:val="28"/>
        </w:rPr>
        <w:t>实施单位（公章</w:t>
      </w:r>
      <w:r>
        <w:rPr>
          <w:rFonts w:hint="eastAsia" w:eastAsia="仿宋_GB2312" w:cs="Times New Roman"/>
          <w:b/>
          <w:bCs/>
          <w:kern w:val="0"/>
          <w:sz w:val="28"/>
          <w:szCs w:val="28"/>
          <w:lang w:eastAsia="zh-CN"/>
        </w:rPr>
        <w:t>）：</w:t>
      </w:r>
      <w:r>
        <w:rPr>
          <w:rFonts w:hint="default" w:ascii="Times New Roman" w:hAnsi="Times New Roman" w:eastAsia="仿宋_GB2312" w:cs="Times New Roman"/>
          <w:b/>
          <w:bCs/>
          <w:kern w:val="0"/>
          <w:sz w:val="21"/>
          <w:szCs w:val="21"/>
        </w:rPr>
        <w:t>新疆维吾尔自治区生态环境厅第一生态环境监察专员办公室</w:t>
      </w:r>
    </w:p>
    <w:p w14:paraId="7894BF8D">
      <w:pPr>
        <w:spacing w:line="700" w:lineRule="exact"/>
        <w:jc w:val="both"/>
        <w:rPr>
          <w:rFonts w:hint="default" w:ascii="Times New Roman" w:hAnsi="Times New Roman" w:eastAsia="仿宋_GB2312" w:cs="Times New Roman"/>
          <w:b/>
          <w:bCs/>
          <w:kern w:val="0"/>
          <w:sz w:val="28"/>
          <w:szCs w:val="28"/>
        </w:rPr>
      </w:pPr>
      <w:r>
        <w:rPr>
          <w:rFonts w:hint="default" w:ascii="Times New Roman" w:hAnsi="Times New Roman" w:eastAsia="仿宋_GB2312" w:cs="Times New Roman"/>
          <w:b/>
          <w:bCs/>
          <w:kern w:val="0"/>
          <w:sz w:val="28"/>
          <w:szCs w:val="28"/>
        </w:rPr>
        <w:t>主管部门（公章）：新疆维吾尔自治区生态环境厅</w:t>
      </w:r>
    </w:p>
    <w:p w14:paraId="6D2F972A">
      <w:pPr>
        <w:spacing w:line="700" w:lineRule="exact"/>
        <w:jc w:val="both"/>
        <w:rPr>
          <w:rFonts w:hint="eastAsia" w:eastAsia="仿宋_GB2312" w:cs="Times New Roman"/>
          <w:b/>
          <w:bCs/>
          <w:kern w:val="0"/>
          <w:sz w:val="28"/>
          <w:szCs w:val="28"/>
          <w:lang w:val="en-US" w:eastAsia="zh-CN"/>
        </w:rPr>
      </w:pPr>
      <w:r>
        <w:rPr>
          <w:rFonts w:hint="default" w:ascii="Times New Roman" w:hAnsi="Times New Roman" w:eastAsia="仿宋_GB2312" w:cs="Times New Roman"/>
          <w:b/>
          <w:bCs/>
          <w:kern w:val="0"/>
          <w:sz w:val="28"/>
          <w:szCs w:val="28"/>
        </w:rPr>
        <w:t>项目负责人（签章）：</w:t>
      </w:r>
      <w:r>
        <w:rPr>
          <w:rFonts w:hint="eastAsia" w:eastAsia="仿宋_GB2312" w:cs="Times New Roman"/>
          <w:b/>
          <w:bCs/>
          <w:kern w:val="0"/>
          <w:sz w:val="28"/>
          <w:szCs w:val="28"/>
          <w:lang w:val="en-US" w:eastAsia="zh-CN"/>
        </w:rPr>
        <w:t>胡厚军</w:t>
      </w:r>
    </w:p>
    <w:p w14:paraId="04A3D850">
      <w:pPr>
        <w:spacing w:line="700" w:lineRule="exact"/>
        <w:jc w:val="both"/>
        <w:rPr>
          <w:rFonts w:hint="default" w:ascii="Times New Roman" w:hAnsi="Times New Roman" w:eastAsia="仿宋_GB2312" w:cs="Times New Roman"/>
          <w:b/>
          <w:bCs/>
          <w:kern w:val="0"/>
          <w:sz w:val="36"/>
          <w:szCs w:val="36"/>
        </w:rPr>
      </w:pPr>
      <w:r>
        <w:rPr>
          <w:rFonts w:hint="default" w:ascii="Times New Roman" w:hAnsi="Times New Roman" w:eastAsia="仿宋_GB2312" w:cs="Times New Roman"/>
          <w:b/>
          <w:bCs/>
          <w:kern w:val="0"/>
          <w:sz w:val="28"/>
          <w:szCs w:val="28"/>
        </w:rPr>
        <w:t>填报时间：</w:t>
      </w:r>
      <w:r>
        <w:rPr>
          <w:rFonts w:hint="eastAsia" w:eastAsia="仿宋_GB2312" w:cs="Times New Roman"/>
          <w:b/>
          <w:bCs/>
          <w:kern w:val="0"/>
          <w:sz w:val="28"/>
          <w:szCs w:val="28"/>
          <w:lang w:val="en-US" w:eastAsia="zh-CN"/>
        </w:rPr>
        <w:t>2025</w:t>
      </w:r>
      <w:r>
        <w:rPr>
          <w:rFonts w:hint="default" w:ascii="Times New Roman" w:hAnsi="Times New Roman" w:eastAsia="仿宋_GB2312" w:cs="Times New Roman"/>
          <w:b/>
          <w:bCs/>
          <w:kern w:val="0"/>
          <w:sz w:val="28"/>
          <w:szCs w:val="28"/>
        </w:rPr>
        <w:t>年</w:t>
      </w:r>
      <w:r>
        <w:rPr>
          <w:rFonts w:hint="eastAsia" w:eastAsia="仿宋_GB2312" w:cs="Times New Roman"/>
          <w:b/>
          <w:bCs/>
          <w:kern w:val="0"/>
          <w:sz w:val="28"/>
          <w:szCs w:val="28"/>
          <w:lang w:val="en-US" w:eastAsia="zh-CN"/>
        </w:rPr>
        <w:t>2</w:t>
      </w:r>
      <w:r>
        <w:rPr>
          <w:rFonts w:hint="default" w:ascii="Times New Roman" w:hAnsi="Times New Roman" w:eastAsia="仿宋_GB2312" w:cs="Times New Roman"/>
          <w:b/>
          <w:bCs/>
          <w:kern w:val="0"/>
          <w:sz w:val="28"/>
          <w:szCs w:val="28"/>
        </w:rPr>
        <w:t>月</w:t>
      </w:r>
      <w:r>
        <w:rPr>
          <w:rFonts w:hint="eastAsia" w:eastAsia="仿宋_GB2312" w:cs="Times New Roman"/>
          <w:b/>
          <w:bCs/>
          <w:kern w:val="0"/>
          <w:sz w:val="28"/>
          <w:szCs w:val="28"/>
          <w:lang w:val="en-US" w:eastAsia="zh-CN"/>
        </w:rPr>
        <w:t>25</w:t>
      </w:r>
      <w:r>
        <w:rPr>
          <w:rFonts w:hint="default" w:ascii="Times New Roman" w:hAnsi="Times New Roman" w:eastAsia="仿宋_GB2312" w:cs="Times New Roman"/>
          <w:b/>
          <w:bCs/>
          <w:kern w:val="0"/>
          <w:sz w:val="28"/>
          <w:szCs w:val="28"/>
        </w:rPr>
        <w:t>日</w:t>
      </w:r>
    </w:p>
    <w:p w14:paraId="17A69604">
      <w:pPr>
        <w:spacing w:line="540" w:lineRule="exact"/>
        <w:jc w:val="center"/>
        <w:rPr>
          <w:rFonts w:hint="default" w:ascii="Times New Roman" w:hAnsi="Times New Roman" w:eastAsia="仿宋_GB2312" w:cs="Times New Roman"/>
          <w:kern w:val="0"/>
          <w:sz w:val="30"/>
          <w:szCs w:val="30"/>
        </w:rPr>
      </w:pPr>
    </w:p>
    <w:p w14:paraId="7DC9BDB4">
      <w:pPr>
        <w:spacing w:line="540" w:lineRule="exact"/>
        <w:rPr>
          <w:rStyle w:val="17"/>
          <w:rFonts w:hint="default" w:ascii="Times New Roman" w:hAnsi="Times New Roman" w:eastAsia="黑体" w:cs="Times New Roman"/>
          <w:b w:val="0"/>
          <w:spacing w:val="-4"/>
          <w:sz w:val="32"/>
          <w:szCs w:val="32"/>
        </w:rPr>
      </w:pPr>
    </w:p>
    <w:p w14:paraId="63FE8A21">
      <w:pPr>
        <w:spacing w:line="540" w:lineRule="exact"/>
        <w:ind w:firstLine="640"/>
        <w:rPr>
          <w:rStyle w:val="17"/>
          <w:rFonts w:hint="default" w:ascii="Times New Roman" w:hAnsi="Times New Roman" w:eastAsia="黑体" w:cs="Times New Roman"/>
          <w:b w:val="0"/>
          <w:spacing w:val="-4"/>
          <w:sz w:val="32"/>
          <w:szCs w:val="32"/>
        </w:rPr>
      </w:pPr>
    </w:p>
    <w:p w14:paraId="34ECE1A2">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69756A28">
      <w:pPr>
        <w:spacing w:line="56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B94041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D721A80">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014236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根据《自治区党委办公厅 自治区人民政府办公厅印发&lt;自治区生态环境机构监测监察执法垂直管理制度改革实施方案&gt;的通知》（新党厅字〔2019〕60号），建立生态环境保护监察专员制度，在自治区生态环境厅设生态环境保护监察专员。跨区域设立生态环境保护监察专员办公室，驻地（州、市）开展生态环境保护监察和督察工作，人员和工作经费由自治区本级承担。</w:t>
      </w:r>
    </w:p>
    <w:p w14:paraId="736888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2019年自治区生态环境厅在全疆设立六个监察专员办公室。</w:t>
      </w:r>
      <w:r>
        <w:rPr>
          <w:rFonts w:hint="eastAsia" w:ascii="仿宋_GB2312" w:hAnsi="仿宋_GB2312" w:eastAsia="仿宋_GB2312" w:cs="仿宋_GB2312"/>
          <w:color w:val="auto"/>
          <w:kern w:val="0"/>
          <w:sz w:val="32"/>
          <w:szCs w:val="32"/>
          <w:highlight w:val="none"/>
          <w:lang w:eastAsia="zh-CN"/>
        </w:rPr>
        <w:t>新疆维吾尔自治区生态环境厅第一生态环境监察专员办公室根据《关于自治区生态环境厅</w:t>
      </w:r>
      <w:r>
        <w:rPr>
          <w:rFonts w:hint="eastAsia" w:ascii="仿宋_GB2312" w:hAnsi="仿宋_GB2312" w:eastAsia="仿宋_GB2312" w:cs="仿宋_GB2312"/>
          <w:color w:val="auto"/>
          <w:kern w:val="0"/>
          <w:sz w:val="32"/>
          <w:szCs w:val="32"/>
          <w:highlight w:val="none"/>
          <w:lang w:val="en-US" w:eastAsia="zh-CN"/>
        </w:rPr>
        <w:t>6个生态环境监察专员办公室编制和具体职责的批复</w:t>
      </w:r>
      <w:r>
        <w:rPr>
          <w:rFonts w:hint="eastAsia" w:ascii="仿宋_GB2312" w:hAnsi="仿宋_GB2312" w:eastAsia="仿宋_GB2312" w:cs="仿宋_GB2312"/>
          <w:color w:val="auto"/>
          <w:kern w:val="0"/>
          <w:sz w:val="32"/>
          <w:szCs w:val="32"/>
          <w:highlight w:val="none"/>
          <w:lang w:eastAsia="zh-CN"/>
        </w:rPr>
        <w:t>》（新党编办</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2019</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59号）要求，我办负责对伊犁州、克拉玛依市、博州、塔城地区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14:paraId="1BC871C8">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仿宋_GB2312" w:cs="Times New Roman"/>
          <w:kern w:val="2"/>
          <w:lang w:val="en-US" w:eastAsia="zh-CN"/>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r>
        <w:rPr>
          <w:rFonts w:hint="eastAsia" w:ascii="Times New Roman" w:hAnsi="Times New Roman" w:eastAsia="仿宋_GB2312" w:cs="Times New Roman"/>
          <w:kern w:val="2"/>
          <w:lang w:val="en-US" w:eastAsia="zh-CN"/>
        </w:rPr>
        <w:t>及实施情况</w:t>
      </w:r>
    </w:p>
    <w:p w14:paraId="2FAB254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0"/>
          <w:sz w:val="32"/>
          <w:szCs w:val="32"/>
          <w:highlight w:val="none"/>
          <w:lang w:eastAsia="zh-CN"/>
        </w:rPr>
      </w:pPr>
      <w:r>
        <w:rPr>
          <w:rFonts w:hint="default" w:ascii="仿宋_GB2312" w:hAnsi="仿宋_GB2312" w:eastAsia="仿宋_GB2312" w:cs="仿宋_GB2312"/>
          <w:b/>
          <w:bCs/>
          <w:color w:val="auto"/>
          <w:kern w:val="0"/>
          <w:sz w:val="32"/>
          <w:szCs w:val="32"/>
          <w:highlight w:val="none"/>
          <w:lang w:val="en-US" w:eastAsia="zh-CN"/>
        </w:rPr>
        <w:t>项目主要内容：</w:t>
      </w: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年第</w:t>
      </w:r>
      <w:r>
        <w:rPr>
          <w:rFonts w:hint="eastAsia" w:ascii="仿宋_GB2312" w:hAnsi="仿宋_GB2312" w:eastAsia="仿宋_GB2312" w:cs="仿宋_GB2312"/>
          <w:color w:val="auto"/>
          <w:kern w:val="0"/>
          <w:sz w:val="32"/>
          <w:szCs w:val="32"/>
          <w:highlight w:val="none"/>
          <w:lang w:eastAsia="zh-CN"/>
        </w:rPr>
        <w:t>一</w:t>
      </w:r>
      <w:r>
        <w:rPr>
          <w:rFonts w:hint="eastAsia" w:ascii="仿宋_GB2312" w:hAnsi="仿宋_GB2312" w:eastAsia="仿宋_GB2312" w:cs="仿宋_GB2312"/>
          <w:color w:val="auto"/>
          <w:kern w:val="0"/>
          <w:sz w:val="32"/>
          <w:szCs w:val="32"/>
          <w:highlight w:val="none"/>
        </w:rPr>
        <w:t>生态环境监察专员办公室将根据中央生态环境保护督察涉及的整改任务，按照自治区党委、人民政府及生态环境厅的统一部署，开展</w:t>
      </w:r>
      <w:bookmarkStart w:id="3" w:name="_GoBack"/>
      <w:bookmarkEnd w:id="3"/>
      <w:r>
        <w:rPr>
          <w:rFonts w:hint="eastAsia" w:ascii="仿宋_GB2312" w:hAnsi="仿宋_GB2312" w:eastAsia="仿宋_GB2312" w:cs="仿宋_GB2312"/>
          <w:color w:val="auto"/>
          <w:kern w:val="0"/>
          <w:sz w:val="32"/>
          <w:szCs w:val="32"/>
          <w:highlight w:val="none"/>
        </w:rPr>
        <w:t>对</w:t>
      </w:r>
      <w:r>
        <w:rPr>
          <w:rFonts w:hint="eastAsia" w:ascii="仿宋_GB2312" w:hAnsi="仿宋_GB2312" w:eastAsia="仿宋_GB2312" w:cs="仿宋_GB2312"/>
          <w:color w:val="auto"/>
          <w:kern w:val="0"/>
          <w:sz w:val="32"/>
          <w:szCs w:val="32"/>
          <w:highlight w:val="none"/>
          <w:lang w:eastAsia="zh-CN"/>
        </w:rPr>
        <w:t>伊犁州、克拉玛依市、博州、塔城地区四</w:t>
      </w:r>
      <w:r>
        <w:rPr>
          <w:rFonts w:hint="eastAsia" w:ascii="仿宋_GB2312" w:hAnsi="仿宋_GB2312" w:eastAsia="仿宋_GB2312" w:cs="仿宋_GB2312"/>
          <w:color w:val="auto"/>
          <w:kern w:val="0"/>
          <w:sz w:val="32"/>
          <w:szCs w:val="32"/>
          <w:highlight w:val="none"/>
        </w:rPr>
        <w:t>个地州生态环境监察工作，通过日常监察、现场巡查等方式，督促当地生态环境保护工作持续改善</w:t>
      </w:r>
      <w:r>
        <w:rPr>
          <w:rFonts w:hint="eastAsia" w:ascii="仿宋_GB2312" w:hAnsi="仿宋_GB2312" w:eastAsia="仿宋_GB2312" w:cs="仿宋_GB2312"/>
          <w:color w:val="auto"/>
          <w:kern w:val="0"/>
          <w:sz w:val="32"/>
          <w:szCs w:val="32"/>
          <w:highlight w:val="none"/>
          <w:lang w:eastAsia="zh-CN"/>
        </w:rPr>
        <w:t>。</w:t>
      </w:r>
    </w:p>
    <w:p w14:paraId="36FD816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default" w:ascii="仿宋_GB2312" w:hAnsi="仿宋_GB2312" w:eastAsia="仿宋_GB2312" w:cs="仿宋_GB2312"/>
          <w:b/>
          <w:bCs/>
          <w:color w:val="auto"/>
          <w:kern w:val="0"/>
          <w:sz w:val="32"/>
          <w:szCs w:val="32"/>
          <w:highlight w:val="none"/>
          <w:lang w:val="en-US" w:eastAsia="zh-CN"/>
        </w:rPr>
        <w:t>项目实施情况</w:t>
      </w:r>
      <w:r>
        <w:rPr>
          <w:rFonts w:hint="default"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项目目前已经完成实际设立的目标，项目在实施过程中严格按照目标设立的各阶段任务进行开展工作，在前期立项过程中严格把质量关，建立安全防护机制，保证项目实施各阶段安全顺利进行。</w:t>
      </w:r>
    </w:p>
    <w:p w14:paraId="7330649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64B8E36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769EF20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万元，全年预算数</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万元</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该项目资金已全部落实到位，资金来源为</w:t>
      </w:r>
      <w:r>
        <w:rPr>
          <w:rFonts w:hint="eastAsia"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14:paraId="0493974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bCs/>
          <w:color w:val="auto"/>
          <w:kern w:val="28"/>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（2）资金使用情况</w:t>
      </w:r>
    </w:p>
    <w:p w14:paraId="0457426D">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hAnsi="Times New Roman" w:eastAsia="仿宋_GB2312"/>
          <w:b w:val="0"/>
          <w:bCs w:val="0"/>
          <w:kern w:val="2"/>
        </w:rPr>
      </w:pPr>
      <w:r>
        <w:rPr>
          <w:rFonts w:hint="default" w:ascii="Times New Roman" w:hAnsi="Times New Roman" w:eastAsia="仿宋_GB2312"/>
          <w:b w:val="0"/>
          <w:bCs w:val="0"/>
          <w:kern w:val="2"/>
          <w:lang w:val="en-US" w:eastAsia="zh-CN"/>
        </w:rPr>
        <w:t>该项目年初预算数</w:t>
      </w:r>
      <w:r>
        <w:rPr>
          <w:rFonts w:hint="eastAsia" w:ascii="Times New Roman" w:hAnsi="Times New Roman" w:eastAsia="仿宋_GB2312"/>
          <w:b w:val="0"/>
          <w:bCs w:val="0"/>
          <w:kern w:val="2"/>
          <w:lang w:val="en-US" w:eastAsia="zh-CN"/>
        </w:rPr>
        <w:t>100</w:t>
      </w:r>
      <w:r>
        <w:rPr>
          <w:rFonts w:hint="default" w:ascii="Times New Roman" w:hAnsi="Times New Roman" w:eastAsia="仿宋_GB2312"/>
          <w:b w:val="0"/>
          <w:bCs w:val="0"/>
          <w:kern w:val="2"/>
          <w:lang w:val="en-US" w:eastAsia="zh-CN"/>
        </w:rPr>
        <w:t>万元，全年预算数</w:t>
      </w:r>
      <w:r>
        <w:rPr>
          <w:rFonts w:hint="eastAsia" w:ascii="Times New Roman" w:hAnsi="Times New Roman" w:eastAsia="仿宋_GB2312"/>
          <w:b w:val="0"/>
          <w:bCs w:val="0"/>
          <w:kern w:val="2"/>
          <w:lang w:val="en-US" w:eastAsia="zh-CN"/>
        </w:rPr>
        <w:t>100</w:t>
      </w:r>
      <w:r>
        <w:rPr>
          <w:rFonts w:hint="default" w:ascii="Times New Roman" w:hAnsi="Times New Roman" w:eastAsia="仿宋_GB2312"/>
          <w:b w:val="0"/>
          <w:bCs w:val="0"/>
          <w:kern w:val="2"/>
          <w:lang w:val="en-US" w:eastAsia="zh-CN"/>
        </w:rPr>
        <w:t>万元，全年执行数</w:t>
      </w:r>
      <w:r>
        <w:rPr>
          <w:rFonts w:hint="eastAsia" w:ascii="Times New Roman" w:hAnsi="Times New Roman" w:eastAsia="仿宋_GB2312"/>
          <w:b w:val="0"/>
          <w:bCs w:val="0"/>
          <w:kern w:val="2"/>
          <w:lang w:val="en-US" w:eastAsia="zh-CN"/>
        </w:rPr>
        <w:t>99.99</w:t>
      </w:r>
      <w:r>
        <w:rPr>
          <w:rFonts w:hint="default" w:ascii="Times New Roman" w:hAnsi="Times New Roman" w:eastAsia="仿宋_GB2312"/>
          <w:b w:val="0"/>
          <w:bCs w:val="0"/>
          <w:kern w:val="2"/>
          <w:lang w:val="en-US" w:eastAsia="zh-CN"/>
        </w:rPr>
        <w:t>万元，预算执行率为</w:t>
      </w:r>
      <w:r>
        <w:rPr>
          <w:rFonts w:hint="eastAsia" w:ascii="Times New Roman" w:hAnsi="Times New Roman" w:eastAsia="仿宋_GB2312"/>
          <w:b w:val="0"/>
          <w:bCs w:val="0"/>
          <w:kern w:val="2"/>
          <w:lang w:val="en-US" w:eastAsia="zh-CN"/>
        </w:rPr>
        <w:t>99.99</w:t>
      </w:r>
      <w:r>
        <w:rPr>
          <w:rFonts w:hint="default" w:ascii="Times New Roman" w:hAnsi="Times New Roman" w:eastAsia="仿宋_GB2312"/>
          <w:b w:val="0"/>
          <w:bCs w:val="0"/>
          <w:kern w:val="2"/>
          <w:lang w:val="en-US" w:eastAsia="zh-CN"/>
        </w:rPr>
        <w:t>%，主要用于：</w:t>
      </w:r>
      <w:r>
        <w:rPr>
          <w:rFonts w:ascii="Times New Roman" w:hAnsi="Times New Roman" w:eastAsia="仿宋_GB2312"/>
          <w:b w:val="0"/>
          <w:bCs w:val="0"/>
          <w:kern w:val="2"/>
        </w:rPr>
        <w:t>支付项目实施进程中的各项费用。</w:t>
      </w:r>
    </w:p>
    <w:p w14:paraId="43F561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执行情况如下表：</w:t>
      </w:r>
    </w:p>
    <w:tbl>
      <w:tblPr>
        <w:tblStyle w:val="15"/>
        <w:tblpPr w:leftFromText="180" w:rightFromText="180" w:vertAnchor="text" w:horzAnchor="page" w:tblpX="2529" w:tblpY="57"/>
        <w:tblOverlap w:val="never"/>
        <w:tblW w:w="85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2378"/>
        <w:gridCol w:w="2934"/>
        <w:gridCol w:w="2390"/>
      </w:tblGrid>
      <w:tr w14:paraId="55351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895" w:type="dxa"/>
            <w:vAlign w:val="center"/>
          </w:tcPr>
          <w:p w14:paraId="68DDD2A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b/>
                <w:bCs/>
                <w:color w:val="auto"/>
                <w:sz w:val="28"/>
                <w:szCs w:val="28"/>
                <w:vertAlign w:val="baseline"/>
                <w:lang w:val="en-US" w:eastAsia="zh-CN"/>
              </w:rPr>
            </w:pPr>
            <w:r>
              <w:rPr>
                <w:rFonts w:hint="eastAsia" w:ascii="仿宋_GB2312" w:eastAsia="仿宋_GB2312"/>
                <w:b/>
                <w:bCs/>
                <w:color w:val="auto"/>
                <w:sz w:val="28"/>
                <w:szCs w:val="28"/>
                <w:vertAlign w:val="baseline"/>
                <w:lang w:val="en-US" w:eastAsia="zh-CN"/>
              </w:rPr>
              <w:t>序号</w:t>
            </w:r>
          </w:p>
        </w:tc>
        <w:tc>
          <w:tcPr>
            <w:tcW w:w="2378" w:type="dxa"/>
            <w:vAlign w:val="center"/>
          </w:tcPr>
          <w:p w14:paraId="4D17005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hAnsiTheme="minorHAnsi" w:cstheme="minorBidi"/>
                <w:b/>
                <w:bCs/>
                <w:color w:val="auto"/>
                <w:kern w:val="2"/>
                <w:sz w:val="28"/>
                <w:szCs w:val="28"/>
                <w:vertAlign w:val="baseline"/>
                <w:lang w:val="en-US" w:eastAsia="zh-CN" w:bidi="ar-SA"/>
              </w:rPr>
            </w:pPr>
            <w:r>
              <w:rPr>
                <w:rFonts w:hint="eastAsia" w:ascii="仿宋_GB2312" w:eastAsia="仿宋_GB2312"/>
                <w:b/>
                <w:bCs/>
                <w:color w:val="auto"/>
                <w:sz w:val="28"/>
                <w:szCs w:val="28"/>
                <w:vertAlign w:val="baseline"/>
                <w:lang w:val="en-US" w:eastAsia="zh-CN"/>
              </w:rPr>
              <w:t>名称</w:t>
            </w:r>
          </w:p>
        </w:tc>
        <w:tc>
          <w:tcPr>
            <w:tcW w:w="2934" w:type="dxa"/>
          </w:tcPr>
          <w:p w14:paraId="68A29DD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b/>
                <w:bCs/>
                <w:color w:val="auto"/>
                <w:sz w:val="28"/>
                <w:szCs w:val="28"/>
                <w:vertAlign w:val="baseline"/>
                <w:lang w:val="en-US" w:eastAsia="zh-CN"/>
              </w:rPr>
            </w:pPr>
            <w:r>
              <w:rPr>
                <w:rFonts w:hint="eastAsia" w:ascii="仿宋_GB2312" w:eastAsia="仿宋_GB2312"/>
                <w:b/>
                <w:bCs/>
                <w:color w:val="auto"/>
                <w:sz w:val="28"/>
                <w:szCs w:val="28"/>
                <w:vertAlign w:val="baseline"/>
                <w:lang w:val="en-US" w:eastAsia="zh-CN"/>
              </w:rPr>
              <w:t>预算金额（万元）</w:t>
            </w:r>
          </w:p>
        </w:tc>
        <w:tc>
          <w:tcPr>
            <w:tcW w:w="2390" w:type="dxa"/>
          </w:tcPr>
          <w:p w14:paraId="25C4077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b/>
                <w:bCs/>
                <w:color w:val="auto"/>
                <w:sz w:val="28"/>
                <w:szCs w:val="28"/>
                <w:vertAlign w:val="baseline"/>
                <w:lang w:val="en-US" w:eastAsia="zh-CN"/>
              </w:rPr>
            </w:pPr>
            <w:r>
              <w:rPr>
                <w:rFonts w:hint="eastAsia" w:ascii="仿宋_GB2312" w:eastAsia="仿宋_GB2312"/>
                <w:b/>
                <w:bCs/>
                <w:color w:val="auto"/>
                <w:sz w:val="28"/>
                <w:szCs w:val="28"/>
                <w:vertAlign w:val="baseline"/>
                <w:lang w:val="en-US" w:eastAsia="zh-CN"/>
              </w:rPr>
              <w:t>执行金额（万元）</w:t>
            </w:r>
          </w:p>
        </w:tc>
      </w:tr>
      <w:tr w14:paraId="64890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tcPr>
          <w:p w14:paraId="40159D8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1</w:t>
            </w:r>
          </w:p>
        </w:tc>
        <w:tc>
          <w:tcPr>
            <w:tcW w:w="2378" w:type="dxa"/>
          </w:tcPr>
          <w:p w14:paraId="235F4C3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hAnsiTheme="minorHAnsi" w:cstheme="minorBidi"/>
                <w:color w:val="auto"/>
                <w:kern w:val="2"/>
                <w:sz w:val="24"/>
                <w:szCs w:val="24"/>
                <w:vertAlign w:val="baseline"/>
                <w:lang w:val="en-US" w:eastAsia="zh-CN" w:bidi="ar-SA"/>
              </w:rPr>
            </w:pPr>
            <w:r>
              <w:rPr>
                <w:rFonts w:hint="eastAsia" w:ascii="仿宋_GB2312" w:eastAsia="仿宋_GB2312"/>
                <w:color w:val="auto"/>
                <w:sz w:val="24"/>
                <w:szCs w:val="24"/>
                <w:lang w:val="en-US" w:eastAsia="zh-CN"/>
              </w:rPr>
              <w:t>差旅费</w:t>
            </w:r>
          </w:p>
        </w:tc>
        <w:tc>
          <w:tcPr>
            <w:tcW w:w="2934" w:type="dxa"/>
          </w:tcPr>
          <w:p w14:paraId="4EE4A8F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40</w:t>
            </w:r>
          </w:p>
        </w:tc>
        <w:tc>
          <w:tcPr>
            <w:tcW w:w="2390" w:type="dxa"/>
          </w:tcPr>
          <w:p w14:paraId="12221BD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40</w:t>
            </w:r>
          </w:p>
        </w:tc>
      </w:tr>
      <w:tr w14:paraId="35DB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tcPr>
          <w:p w14:paraId="7FAEBCD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2</w:t>
            </w:r>
          </w:p>
        </w:tc>
        <w:tc>
          <w:tcPr>
            <w:tcW w:w="2378" w:type="dxa"/>
          </w:tcPr>
          <w:p w14:paraId="60FF461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hAnsiTheme="minorHAnsi" w:cstheme="minorBidi"/>
                <w:color w:val="auto"/>
                <w:kern w:val="2"/>
                <w:sz w:val="24"/>
                <w:szCs w:val="24"/>
                <w:vertAlign w:val="baseline"/>
                <w:lang w:val="en-US" w:eastAsia="zh-CN" w:bidi="ar-SA"/>
              </w:rPr>
            </w:pPr>
            <w:r>
              <w:rPr>
                <w:rFonts w:hint="eastAsia" w:ascii="仿宋_GB2312" w:eastAsia="仿宋_GB2312"/>
                <w:color w:val="auto"/>
                <w:sz w:val="24"/>
                <w:szCs w:val="24"/>
                <w:lang w:val="en-US" w:eastAsia="zh-CN"/>
              </w:rPr>
              <w:t>劳务费</w:t>
            </w:r>
          </w:p>
        </w:tc>
        <w:tc>
          <w:tcPr>
            <w:tcW w:w="2934" w:type="dxa"/>
          </w:tcPr>
          <w:p w14:paraId="5F0069E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13</w:t>
            </w:r>
          </w:p>
        </w:tc>
        <w:tc>
          <w:tcPr>
            <w:tcW w:w="2390" w:type="dxa"/>
            <w:vAlign w:val="top"/>
          </w:tcPr>
          <w:p w14:paraId="3F5790A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hAnsiTheme="minorHAnsi" w:cstheme="minorBidi"/>
                <w:color w:val="auto"/>
                <w:kern w:val="2"/>
                <w:sz w:val="24"/>
                <w:szCs w:val="24"/>
                <w:vertAlign w:val="baseline"/>
                <w:lang w:val="en-US" w:eastAsia="zh-CN" w:bidi="ar-SA"/>
              </w:rPr>
            </w:pPr>
            <w:r>
              <w:rPr>
                <w:rFonts w:hint="eastAsia" w:ascii="仿宋_GB2312" w:eastAsia="仿宋_GB2312" w:hAnsiTheme="minorHAnsi" w:cstheme="minorBidi"/>
                <w:color w:val="auto"/>
                <w:kern w:val="2"/>
                <w:sz w:val="24"/>
                <w:szCs w:val="24"/>
                <w:vertAlign w:val="baseline"/>
                <w:lang w:val="en-US" w:eastAsia="zh-CN" w:bidi="ar-SA"/>
              </w:rPr>
              <w:t>13</w:t>
            </w:r>
          </w:p>
        </w:tc>
      </w:tr>
      <w:tr w14:paraId="31DEC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tcPr>
          <w:p w14:paraId="45F4D56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3</w:t>
            </w:r>
          </w:p>
        </w:tc>
        <w:tc>
          <w:tcPr>
            <w:tcW w:w="2378" w:type="dxa"/>
          </w:tcPr>
          <w:p w14:paraId="42C116A1">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hAnsiTheme="minorHAnsi" w:cstheme="minorBidi"/>
                <w:color w:val="auto"/>
                <w:kern w:val="2"/>
                <w:sz w:val="24"/>
                <w:szCs w:val="24"/>
                <w:vertAlign w:val="baseline"/>
                <w:lang w:val="en-US" w:eastAsia="zh-CN" w:bidi="ar-SA"/>
              </w:rPr>
            </w:pPr>
            <w:r>
              <w:rPr>
                <w:rFonts w:hint="eastAsia" w:ascii="仿宋_GB2312" w:eastAsia="仿宋_GB2312"/>
                <w:color w:val="auto"/>
                <w:sz w:val="24"/>
                <w:szCs w:val="24"/>
                <w:lang w:val="en-US" w:eastAsia="zh-CN"/>
              </w:rPr>
              <w:t>资本性支出</w:t>
            </w:r>
          </w:p>
        </w:tc>
        <w:tc>
          <w:tcPr>
            <w:tcW w:w="2934" w:type="dxa"/>
          </w:tcPr>
          <w:p w14:paraId="06E5564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7</w:t>
            </w:r>
          </w:p>
        </w:tc>
        <w:tc>
          <w:tcPr>
            <w:tcW w:w="2390" w:type="dxa"/>
            <w:vAlign w:val="top"/>
          </w:tcPr>
          <w:p w14:paraId="480F7F3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hAnsiTheme="minorHAnsi" w:cstheme="minorBidi"/>
                <w:color w:val="auto"/>
                <w:kern w:val="2"/>
                <w:sz w:val="24"/>
                <w:szCs w:val="24"/>
                <w:vertAlign w:val="baseline"/>
                <w:lang w:val="en-US" w:eastAsia="zh-CN" w:bidi="ar-SA"/>
              </w:rPr>
            </w:pPr>
            <w:r>
              <w:rPr>
                <w:rFonts w:hint="eastAsia" w:ascii="仿宋_GB2312" w:eastAsia="仿宋_GB2312" w:hAnsiTheme="minorHAnsi" w:cstheme="minorBidi"/>
                <w:color w:val="auto"/>
                <w:kern w:val="2"/>
                <w:sz w:val="24"/>
                <w:szCs w:val="24"/>
                <w:vertAlign w:val="baseline"/>
                <w:lang w:val="en-US" w:eastAsia="zh-CN" w:bidi="ar-SA"/>
              </w:rPr>
              <w:t>7</w:t>
            </w:r>
          </w:p>
        </w:tc>
      </w:tr>
      <w:tr w14:paraId="2FE71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top"/>
          </w:tcPr>
          <w:p w14:paraId="38A8FA5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z w:val="24"/>
                <w:szCs w:val="24"/>
                <w:vertAlign w:val="baseline"/>
                <w:lang w:val="en-US" w:eastAsia="zh-CN"/>
              </w:rPr>
            </w:pPr>
            <w:r>
              <w:rPr>
                <w:rFonts w:hint="eastAsia" w:ascii="仿宋_GB2312" w:eastAsia="仿宋_GB2312"/>
                <w:color w:val="auto"/>
                <w:sz w:val="24"/>
                <w:szCs w:val="24"/>
                <w:lang w:val="en-US" w:eastAsia="zh-CN"/>
              </w:rPr>
              <w:t>4</w:t>
            </w:r>
          </w:p>
        </w:tc>
        <w:tc>
          <w:tcPr>
            <w:tcW w:w="2378" w:type="dxa"/>
            <w:vAlign w:val="top"/>
          </w:tcPr>
          <w:p w14:paraId="362FB74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租赁费</w:t>
            </w:r>
          </w:p>
        </w:tc>
        <w:tc>
          <w:tcPr>
            <w:tcW w:w="2934" w:type="dxa"/>
            <w:vAlign w:val="top"/>
          </w:tcPr>
          <w:p w14:paraId="478BE3C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25</w:t>
            </w:r>
          </w:p>
        </w:tc>
        <w:tc>
          <w:tcPr>
            <w:tcW w:w="2390" w:type="dxa"/>
            <w:vAlign w:val="top"/>
          </w:tcPr>
          <w:p w14:paraId="2161638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25</w:t>
            </w:r>
          </w:p>
        </w:tc>
      </w:tr>
      <w:tr w14:paraId="1F06F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top"/>
          </w:tcPr>
          <w:p w14:paraId="6F379CC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5</w:t>
            </w:r>
          </w:p>
        </w:tc>
        <w:tc>
          <w:tcPr>
            <w:tcW w:w="2378" w:type="dxa"/>
            <w:vAlign w:val="top"/>
          </w:tcPr>
          <w:p w14:paraId="07095F5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其他交通费</w:t>
            </w:r>
          </w:p>
        </w:tc>
        <w:tc>
          <w:tcPr>
            <w:tcW w:w="2934" w:type="dxa"/>
            <w:vAlign w:val="top"/>
          </w:tcPr>
          <w:p w14:paraId="344AFFE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15</w:t>
            </w:r>
          </w:p>
        </w:tc>
        <w:tc>
          <w:tcPr>
            <w:tcW w:w="2390" w:type="dxa"/>
            <w:vAlign w:val="top"/>
          </w:tcPr>
          <w:p w14:paraId="1FF4A75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14.99</w:t>
            </w:r>
          </w:p>
        </w:tc>
      </w:tr>
      <w:tr w14:paraId="79607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3" w:type="dxa"/>
            <w:gridSpan w:val="2"/>
            <w:vAlign w:val="top"/>
          </w:tcPr>
          <w:p w14:paraId="67E13E6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合计</w:t>
            </w:r>
          </w:p>
        </w:tc>
        <w:tc>
          <w:tcPr>
            <w:tcW w:w="2934" w:type="dxa"/>
            <w:vAlign w:val="top"/>
          </w:tcPr>
          <w:p w14:paraId="2564864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100</w:t>
            </w:r>
          </w:p>
        </w:tc>
        <w:tc>
          <w:tcPr>
            <w:tcW w:w="2390" w:type="dxa"/>
            <w:vAlign w:val="top"/>
          </w:tcPr>
          <w:p w14:paraId="620AC1A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99.99</w:t>
            </w:r>
          </w:p>
        </w:tc>
      </w:tr>
    </w:tbl>
    <w:p w14:paraId="345B307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w:t>
      </w:r>
    </w:p>
    <w:p w14:paraId="4DD88F6E">
      <w:pPr>
        <w:spacing w:line="560" w:lineRule="exact"/>
        <w:ind w:firstLine="643" w:firstLineChars="200"/>
        <w:rPr>
          <w:rFonts w:hint="default" w:ascii="Times New Roman" w:hAnsi="Times New Roman" w:eastAsia="楷体_GB2312" w:cs="Times New Roman"/>
          <w:b/>
          <w:bCs/>
          <w:sz w:val="32"/>
          <w:szCs w:val="32"/>
        </w:rPr>
      </w:pPr>
    </w:p>
    <w:p w14:paraId="34E711E7">
      <w:pPr>
        <w:spacing w:line="560" w:lineRule="exact"/>
        <w:ind w:firstLine="643" w:firstLineChars="200"/>
        <w:rPr>
          <w:rFonts w:hint="default" w:ascii="Times New Roman" w:hAnsi="Times New Roman" w:eastAsia="楷体_GB2312" w:cs="Times New Roman"/>
          <w:b/>
          <w:bCs/>
          <w:sz w:val="32"/>
          <w:szCs w:val="32"/>
        </w:rPr>
      </w:pPr>
    </w:p>
    <w:p w14:paraId="489E90C1">
      <w:pPr>
        <w:spacing w:line="560" w:lineRule="exact"/>
        <w:ind w:firstLine="643" w:firstLineChars="200"/>
        <w:rPr>
          <w:rFonts w:hint="default" w:ascii="Times New Roman" w:hAnsi="Times New Roman" w:eastAsia="楷体_GB2312" w:cs="Times New Roman"/>
          <w:b/>
          <w:bCs/>
          <w:sz w:val="32"/>
          <w:szCs w:val="32"/>
        </w:rPr>
      </w:pPr>
    </w:p>
    <w:p w14:paraId="4347A0AF">
      <w:pPr>
        <w:spacing w:line="560" w:lineRule="exact"/>
        <w:ind w:firstLine="643" w:firstLineChars="200"/>
        <w:rPr>
          <w:rFonts w:hint="default" w:ascii="Times New Roman" w:hAnsi="Times New Roman" w:eastAsia="楷体_GB2312" w:cs="Times New Roman"/>
          <w:b/>
          <w:bCs/>
          <w:sz w:val="32"/>
          <w:szCs w:val="32"/>
        </w:rPr>
      </w:pPr>
    </w:p>
    <w:p w14:paraId="2324A65F">
      <w:pPr>
        <w:spacing w:line="560" w:lineRule="exact"/>
        <w:ind w:firstLine="643" w:firstLineChars="200"/>
        <w:rPr>
          <w:rFonts w:hint="default" w:ascii="Times New Roman" w:hAnsi="Times New Roman" w:eastAsia="楷体_GB2312" w:cs="Times New Roman"/>
          <w:b/>
          <w:bCs/>
          <w:sz w:val="32"/>
          <w:szCs w:val="32"/>
        </w:rPr>
      </w:pPr>
    </w:p>
    <w:p w14:paraId="08DDD2D3">
      <w:pPr>
        <w:spacing w:line="560" w:lineRule="exact"/>
        <w:ind w:firstLine="643" w:firstLineChars="200"/>
        <w:rPr>
          <w:rFonts w:hint="default" w:ascii="Times New Roman" w:hAnsi="Times New Roman" w:eastAsia="楷体_GB2312" w:cs="Times New Roman"/>
          <w:b/>
          <w:bCs/>
          <w:sz w:val="32"/>
          <w:szCs w:val="32"/>
        </w:rPr>
      </w:pPr>
    </w:p>
    <w:p w14:paraId="34C60A48">
      <w:pPr>
        <w:spacing w:line="560" w:lineRule="exact"/>
        <w:ind w:firstLine="643" w:firstLineChars="200"/>
        <w:rPr>
          <w:rFonts w:hint="default" w:ascii="Times New Roman" w:hAnsi="Times New Roman" w:eastAsia="楷体_GB2312" w:cs="Times New Roman"/>
          <w:b/>
          <w:bCs/>
          <w:sz w:val="32"/>
          <w:szCs w:val="32"/>
        </w:rPr>
      </w:pPr>
    </w:p>
    <w:p w14:paraId="46100D4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eastAsia" w:eastAsia="楷体_GB2312" w:cs="Times New Roman"/>
          <w:b/>
          <w:bCs/>
          <w:sz w:val="32"/>
          <w:szCs w:val="32"/>
          <w:lang w:eastAsia="zh-CN"/>
        </w:rPr>
        <w:t>（</w:t>
      </w:r>
      <w:r>
        <w:rPr>
          <w:rFonts w:hint="default" w:ascii="Times New Roman" w:hAnsi="Times New Roman" w:eastAsia="楷体_GB2312" w:cs="Times New Roman"/>
          <w:b/>
          <w:bCs/>
          <w:sz w:val="32"/>
          <w:szCs w:val="32"/>
        </w:rPr>
        <w:t>二）项目绩效目标</w:t>
      </w:r>
    </w:p>
    <w:p w14:paraId="302790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302E50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eastAsia="zh-CN"/>
        </w:rPr>
      </w:pPr>
      <w:r>
        <w:rPr>
          <w:rFonts w:hint="eastAsia" w:ascii="仿宋_GB2312" w:eastAsia="仿宋_GB2312"/>
          <w:sz w:val="32"/>
          <w:szCs w:val="32"/>
          <w:lang w:val="en-US" w:eastAsia="zh-CN"/>
        </w:rPr>
        <w:t>根据中央生态环境保护督察涉及的整改任务，按照自治区党委、人民政府及生态环境厅统一部署，开展对全疆十四个地州市区域生态环境监察工作，第一专员办2024年计划覆盖生态环境监察区域4个，一年督导检查不少于4次，形成督察检查专项报告不少于4次，报告质量通过率和区域覆盖率达到100%。通过日常监察、现场巡查等方式，督促当地生态环境保护工作持续改善。</w:t>
      </w:r>
    </w:p>
    <w:p w14:paraId="3A862F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14:paraId="011F04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（1）前期准备：通过制定项目实施方案，经项目负责人审核通过后，有序开展后续工作。</w:t>
      </w:r>
    </w:p>
    <w:p w14:paraId="09EEBB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eastAsia="zh-CN"/>
        </w:rPr>
      </w:pPr>
      <w:r>
        <w:rPr>
          <w:rFonts w:eastAsia="仿宋_GB2312"/>
          <w:sz w:val="32"/>
          <w:szCs w:val="32"/>
        </w:rPr>
        <w:t>（2）组织实施：资金一到位，立即根据项目要求实施项目。项目责任人按照项目实施方案要求逐一进行项目部署安排，提高项目质量及效率性。</w:t>
      </w:r>
    </w:p>
    <w:p w14:paraId="4219CEB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5D15507">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F8BEEC9">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E57CD8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F6FBE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14:paraId="6E47BAB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06000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301776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69E8DF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p>
    <w:p w14:paraId="56FD648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4A05E6C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187A1F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效益等多维度指标，为项目后续的改进与优化提供科学依据。</w:t>
      </w:r>
    </w:p>
    <w:p w14:paraId="2F44733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53B14E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D91154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E43433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110410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C61BE65">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64E69A45">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rPr>
        <w:t>生态环境监察项</w:t>
      </w:r>
      <w:r>
        <w:rPr>
          <w:rFonts w:hint="eastAsia" w:ascii="Times New Roman" w:hAnsi="Times New Roman" w:eastAsia="仿宋_GB2312" w:cs="Times New Roman"/>
          <w:b w:val="0"/>
          <w:bCs w:val="0"/>
          <w:highlight w:val="none"/>
          <w:lang w:val="en-US" w:eastAsia="zh-CN"/>
        </w:rPr>
        <w:t>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rPr>
        <w:t>新疆维吾尔自治区生态环境厅第一生态环境监察专员办公室</w:t>
      </w:r>
      <w:r>
        <w:rPr>
          <w:rFonts w:hint="default" w:ascii="Times New Roman" w:hAnsi="Times New Roman" w:eastAsia="仿宋_GB2312" w:cs="Times New Roman"/>
          <w:b w:val="0"/>
          <w:bCs w:val="0"/>
          <w:highlight w:val="none"/>
        </w:rPr>
        <w:t>负责实施，旨在通过开展有效的财政支出绩效评价管理，达到改进预算管理、控制节约成本，提高预算资金使用效益的目的。项目预算涵盖从</w:t>
      </w:r>
      <w:r>
        <w:rPr>
          <w:rFonts w:hint="eastAsia" w:ascii="Times New Roman" w:hAnsi="Times New Roman" w:eastAsia="仿宋_GB2312" w:cs="Times New Roman"/>
          <w:b w:val="0"/>
          <w:bCs w:val="0"/>
          <w:highlight w:val="none"/>
          <w:lang w:val="en-US" w:eastAsia="zh-CN"/>
        </w:rPr>
        <w:t>2024年1月</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324B40BD">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3F83EA6E">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19EB23D8">
      <w:pPr>
        <w:pStyle w:val="11"/>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67E8AEF">
      <w:pPr>
        <w:pStyle w:val="11"/>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19E01CD2">
      <w:pPr>
        <w:pStyle w:val="11"/>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E59BB39">
      <w:pPr>
        <w:pStyle w:val="11"/>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green"/>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4</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等方面的综合影响。</w:t>
      </w:r>
    </w:p>
    <w:p w14:paraId="07793574">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8E398F4">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AC985B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321091D">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E20F725">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16346F89">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5CDA7C09">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34D246A9">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3AE91BB1">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1D02F596">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EC09052">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DEEF27">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74E07D02">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FA1C4A1">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CBC3BBF">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23FDC03B">
      <w:pPr>
        <w:pStyle w:val="11"/>
        <w:keepNext w:val="0"/>
        <w:keepLines w:val="0"/>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8CE842B">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708" w:firstLineChars="200"/>
        <w:jc w:val="both"/>
        <w:textAlignment w:val="auto"/>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C736C5E">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EF86CD3">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绩效评价从项目决策、项目过程、项目产出、项目效益四个维度进行评价。评价对象为项目目标实施情况，评价核心为资金的支出完成情况和项目的产出效益。</w:t>
      </w:r>
    </w:p>
    <w:p w14:paraId="4D549DA7">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92B2D6E">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（一）成本效益分析法。是指将投入与产出、效益进行关联性分析的方法。</w:t>
      </w:r>
    </w:p>
    <w:p w14:paraId="4440403D">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（二）比较法。是指将实施情况与绩效目标、历史情况、不同部门和地区同类支出情况进行比较的方法。</w:t>
      </w:r>
    </w:p>
    <w:p w14:paraId="6AFCA546">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（三）因素分析法。是指综合分析影响绩效目标实现、实施效果的内外部因素的方法。</w:t>
      </w:r>
    </w:p>
    <w:p w14:paraId="70DCCE3A">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四</w:t>
      </w:r>
      <w:r>
        <w:rPr>
          <w:rFonts w:hint="default" w:ascii="Times New Roman" w:hAnsi="Times New Roman" w:eastAsia="仿宋_GB2312" w:cs="Times New Roman"/>
          <w:color w:val="000000"/>
          <w:spacing w:val="17"/>
          <w:sz w:val="32"/>
          <w:szCs w:val="32"/>
          <w:highlight w:val="none"/>
        </w:rPr>
        <w:t>）公众评判法。是指通过专家评估、公众问卷及抽样调查等方式进行评判的方法。</w:t>
      </w:r>
    </w:p>
    <w:p w14:paraId="57286475">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14:paraId="7355B2F0">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绩效评价标准通常包括计划标准、行业标准、历史标准等，用于对绩效指标完成情况进行比较、分析、评价。本次评价主要采用了计划标准和</w:t>
      </w:r>
      <w:r>
        <w:rPr>
          <w:rFonts w:hint="eastAsia" w:ascii="Times New Roman" w:hAnsi="Times New Roman" w:eastAsia="仿宋_GB2312" w:cs="Times New Roman"/>
          <w:b w:val="0"/>
          <w:bCs w:val="0"/>
          <w:lang w:val="en-US" w:eastAsia="zh-CN"/>
        </w:rPr>
        <w:t>历史</w:t>
      </w:r>
      <w:r>
        <w:rPr>
          <w:rFonts w:hint="default" w:ascii="Times New Roman" w:hAnsi="Times New Roman" w:eastAsia="仿宋_GB2312" w:cs="Times New Roman"/>
          <w:b w:val="0"/>
          <w:bCs w:val="0"/>
        </w:rPr>
        <w:t>标准。</w:t>
      </w:r>
    </w:p>
    <w:p w14:paraId="22653DC3">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4B3E11E9">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eastAsia"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14:paraId="16A6311D">
      <w:pPr>
        <w:pStyle w:val="11"/>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C2BE59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前期准备与规划</w:t>
      </w:r>
    </w:p>
    <w:p w14:paraId="31FCAA8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AA1B9B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2502E2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0D6007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220F8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64616C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1CCA7B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8B7816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5BD08F0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6AC202C">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B419597">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0FD218E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kern w:val="0"/>
          <w:sz w:val="32"/>
          <w:szCs w:val="32"/>
        </w:rPr>
        <w:t>生态环境监察</w:t>
      </w:r>
      <w:r>
        <w:rPr>
          <w:rFonts w:hint="eastAsia" w:eastAsia="仿宋_GB2312"/>
          <w:kern w:val="0"/>
          <w:sz w:val="32"/>
          <w:szCs w:val="32"/>
          <w:lang w:val="en-US" w:eastAsia="zh-CN"/>
        </w:rPr>
        <w:t>项目</w:t>
      </w:r>
      <w:r>
        <w:rPr>
          <w:rFonts w:hint="default" w:ascii="Times New Roman" w:hAnsi="Times New Roman" w:eastAsia="仿宋_GB2312" w:cs="Times New Roman"/>
          <w:sz w:val="32"/>
          <w:szCs w:val="32"/>
          <w:highlight w:val="none"/>
        </w:rPr>
        <w:t>在</w:t>
      </w:r>
      <w:r>
        <w:rPr>
          <w:rFonts w:hint="eastAsia" w:ascii="仿宋_GB2312" w:hAnsi="仿宋_GB2312" w:eastAsia="仿宋_GB2312" w:cs="仿宋_GB2312"/>
          <w:sz w:val="32"/>
          <w:szCs w:val="32"/>
          <w:lang w:val="en-US" w:eastAsia="zh-CN"/>
        </w:rPr>
        <w:t>考核项目绩效目标与项目实施</w:t>
      </w:r>
      <w:r>
        <w:rPr>
          <w:rFonts w:hint="default" w:ascii="Times New Roman" w:hAnsi="Times New Roman" w:eastAsia="仿宋_GB2312" w:cs="Times New Roman"/>
          <w:sz w:val="32"/>
          <w:szCs w:val="32"/>
          <w:highlight w:val="none"/>
        </w:rPr>
        <w:t>等方面表现出色，达到了预期的标准与要求。</w:t>
      </w:r>
    </w:p>
    <w:p w14:paraId="5D343ED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kern w:val="0"/>
          <w:sz w:val="32"/>
          <w:szCs w:val="32"/>
          <w:lang w:eastAsia="zh-CN"/>
        </w:rPr>
        <w:t>新疆维吾尔自治区生态环境厅第一生态环境监察专员办公室</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7AA1D55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w:t>
      </w:r>
      <w:r>
        <w:rPr>
          <w:rFonts w:hint="eastAsia" w:eastAsia="仿宋_GB2312" w:cs="Times New Roman"/>
          <w:sz w:val="32"/>
          <w:szCs w:val="32"/>
          <w:highlight w:val="none"/>
          <w:lang w:val="en-US" w:eastAsia="zh-CN"/>
        </w:rPr>
        <w:t>在</w:t>
      </w:r>
      <w:r>
        <w:rPr>
          <w:rFonts w:hint="default" w:ascii="Times New Roman" w:hAnsi="Times New Roman" w:eastAsia="仿宋_GB2312" w:cs="Times New Roman"/>
          <w:sz w:val="32"/>
          <w:szCs w:val="32"/>
          <w:highlight w:val="none"/>
        </w:rPr>
        <w:t>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w:t>
      </w:r>
      <w:r>
        <w:rPr>
          <w:rFonts w:hint="eastAsia" w:eastAsia="仿宋_GB2312" w:cs="Times New Roman"/>
          <w:sz w:val="32"/>
          <w:szCs w:val="32"/>
          <w:highlight w:val="none"/>
          <w:lang w:val="en-US" w:eastAsia="zh-CN"/>
        </w:rPr>
        <w:t>监察结果反馈率</w:t>
      </w:r>
      <w:r>
        <w:rPr>
          <w:rFonts w:hint="eastAsia" w:ascii="Times New Roman" w:hAnsi="Times New Roman" w:eastAsia="仿宋_GB2312" w:cs="Times New Roman"/>
          <w:sz w:val="32"/>
          <w:szCs w:val="32"/>
          <w:highlight w:val="none"/>
          <w:lang w:val="en-US" w:eastAsia="zh-CN"/>
        </w:rPr>
        <w:t>和</w:t>
      </w:r>
      <w:r>
        <w:rPr>
          <w:rFonts w:hint="eastAsia" w:eastAsia="仿宋_GB2312" w:cs="Times New Roman"/>
          <w:sz w:val="32"/>
          <w:szCs w:val="32"/>
          <w:highlight w:val="none"/>
          <w:lang w:val="en-US" w:eastAsia="zh-CN"/>
        </w:rPr>
        <w:t>问题跟踪督办率</w:t>
      </w:r>
      <w:r>
        <w:rPr>
          <w:rFonts w:hint="default" w:ascii="Times New Roman" w:hAnsi="Times New Roman" w:eastAsia="仿宋_GB2312" w:cs="Times New Roman"/>
          <w:sz w:val="32"/>
          <w:szCs w:val="32"/>
          <w:highlight w:val="none"/>
        </w:rPr>
        <w:t>等方面的提升，为项目的利益相关者带来了实实在在的利益。</w:t>
      </w:r>
    </w:p>
    <w:p w14:paraId="6587123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kern w:val="0"/>
          <w:sz w:val="32"/>
          <w:szCs w:val="32"/>
        </w:rPr>
        <w:t>生态环境监察</w:t>
      </w:r>
      <w:r>
        <w:rPr>
          <w:rFonts w:hint="eastAsia" w:eastAsia="仿宋_GB2312"/>
          <w:kern w:val="0"/>
          <w:sz w:val="32"/>
          <w:szCs w:val="32"/>
          <w:lang w:val="en-US" w:eastAsia="zh-CN"/>
        </w:rPr>
        <w:t>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54598732">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0AD22873">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99.99</w:t>
      </w:r>
      <w:r>
        <w:rPr>
          <w:rFonts w:hint="default" w:ascii="Times New Roman" w:hAnsi="Times New Roman" w:eastAsia="仿宋_GB2312" w:cs="Times New Roman"/>
          <w:b w:val="0"/>
          <w:bCs w:val="0"/>
        </w:rPr>
        <w:t>分，属于“优”。其中，项目决策类指标权重为20分，得分为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19.99</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99.95</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DA8308E">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68E5DEA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69E1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274679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5E4DA5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0EFD36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CC274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2BE7F79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BBDC4C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AE906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91ECB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671F30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F78E97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19.99</w:t>
            </w:r>
          </w:p>
        </w:tc>
      </w:tr>
      <w:tr w14:paraId="0433B21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6ACF1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1CBF47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F3CC7F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107401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C3631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F0F35F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776DF0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F04D7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4A823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672AFE7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9441720">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99.99</w:t>
            </w:r>
          </w:p>
        </w:tc>
      </w:tr>
    </w:tbl>
    <w:p w14:paraId="70F62D1C">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0E41E5C">
      <w:pPr>
        <w:pStyle w:val="11"/>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87CC5E6">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D3B82D2">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46A8D9C">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97764CA">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2EDF22C">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F9EC0D6">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A9CF6C0">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050F07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B562BB6">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8B39CA">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B123CDC">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4C6BC586">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p>
    <w:p w14:paraId="33A11470">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019F43">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26E1A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F64AD4F">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D66E1C6">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9A0F4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718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6B06F90">
      <w:pPr>
        <w:pStyle w:val="11"/>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217CF8C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19.99</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99.9</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p>
    <w:p w14:paraId="348574CD">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290DB0EB">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BEFCB07">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2DFB907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9A1A397">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99.99</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99.99</w:t>
      </w:r>
      <w:r>
        <w:rPr>
          <w:rFonts w:hint="default" w:ascii="Times New Roman" w:hAnsi="Times New Roman" w:eastAsia="仿宋_GB2312" w:cs="Times New Roman"/>
          <w:sz w:val="32"/>
          <w:szCs w:val="32"/>
          <w:lang w:val="en-US" w:eastAsia="zh-CN"/>
        </w:rPr>
        <w:t>%。</w:t>
      </w:r>
    </w:p>
    <w:p w14:paraId="68A681F4">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F3A7F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18A73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EEEFF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A02A652">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26449666">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0CF81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C6D9D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AB0C4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394407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3C68E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36D5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76389D37">
      <w:pPr>
        <w:pStyle w:val="13"/>
        <w:pageBreakBefore w:val="0"/>
        <w:numPr>
          <w:ilvl w:val="0"/>
          <w:numId w:val="4"/>
        </w:numPr>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10DDFCB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29958EE4">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286D973">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b w:val="0"/>
          <w:bCs w:val="0"/>
          <w:kern w:val="2"/>
          <w:sz w:val="32"/>
          <w:szCs w:val="32"/>
          <w:highlight w:val="none"/>
          <w:lang w:val="en-US" w:eastAsia="zh-CN" w:bidi="ar-SA"/>
        </w:rPr>
      </w:pPr>
      <w:r>
        <w:rPr>
          <w:rFonts w:hint="default" w:ascii="Times New Roman" w:hAnsi="Times New Roman" w:eastAsia="仿宋_GB2312" w:cs="Times New Roman"/>
          <w:sz w:val="32"/>
          <w:szCs w:val="32"/>
          <w:highlight w:val="none"/>
        </w:rPr>
        <w:t>指标1：</w:t>
      </w:r>
      <w:r>
        <w:rPr>
          <w:rFonts w:hint="eastAsia" w:ascii="仿宋_GB2312" w:hAnsi="仿宋_GB2312" w:eastAsia="仿宋_GB2312" w:cs="仿宋_GB2312"/>
          <w:b w:val="0"/>
          <w:bCs w:val="0"/>
          <w:kern w:val="2"/>
          <w:sz w:val="32"/>
          <w:szCs w:val="32"/>
          <w:highlight w:val="none"/>
          <w:lang w:val="en-US" w:eastAsia="zh-CN" w:bidi="ar-SA"/>
        </w:rPr>
        <w:t>监察频次</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≥4次</w:t>
      </w:r>
      <w:r>
        <w:rPr>
          <w:rFonts w:hint="default" w:ascii="Times New Roman" w:hAnsi="Times New Roman" w:eastAsia="仿宋_GB2312" w:cs="Times New Roman"/>
          <w:sz w:val="32"/>
          <w:szCs w:val="32"/>
          <w:highlight w:val="none"/>
        </w:rPr>
        <w:t>，实际完成</w:t>
      </w:r>
      <w:r>
        <w:rPr>
          <w:rFonts w:hint="eastAsia" w:eastAsia="仿宋_GB2312" w:cs="Times New Roman"/>
          <w:sz w:val="32"/>
          <w:szCs w:val="32"/>
          <w:highlight w:val="none"/>
          <w:lang w:val="en-US" w:eastAsia="zh-CN"/>
        </w:rPr>
        <w:t>4个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仿宋_GB2312" w:hAnsi="仿宋_GB2312" w:eastAsia="仿宋_GB2312" w:cs="仿宋_GB2312"/>
          <w:b w:val="0"/>
          <w:bCs w:val="0"/>
          <w:kern w:val="2"/>
          <w:sz w:val="32"/>
          <w:szCs w:val="32"/>
          <w:highlight w:val="none"/>
          <w:lang w:val="en-US" w:eastAsia="zh-CN" w:bidi="ar-SA"/>
        </w:rPr>
        <w:t>偏差率0%。</w:t>
      </w:r>
    </w:p>
    <w:p w14:paraId="0CC377D4">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指标2：完成监察报告数量，指标值：≥4个，实际完成4个，完成率100%，偏差率0%。</w:t>
      </w:r>
    </w:p>
    <w:p w14:paraId="1694FCFB">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6A83802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lang w:eastAsia="zh-CN"/>
        </w:rPr>
      </w:pPr>
      <w:r>
        <w:rPr>
          <w:rFonts w:hint="eastAsia" w:ascii="仿宋_GB2312" w:hAnsi="仿宋_GB2312" w:eastAsia="仿宋_GB2312" w:cs="仿宋_GB2312"/>
          <w:b w:val="0"/>
          <w:bCs w:val="0"/>
          <w:kern w:val="2"/>
          <w:sz w:val="32"/>
          <w:szCs w:val="32"/>
          <w:highlight w:val="none"/>
          <w:lang w:val="en-US" w:eastAsia="zh-CN" w:bidi="ar-SA"/>
        </w:rPr>
        <w:t>指标1：抽检覆盖率，指标值：＝100%，实际完成100%，完成率100%，偏差率0%。</w:t>
      </w:r>
    </w:p>
    <w:p w14:paraId="29BCF4A9">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p>
    <w:p w14:paraId="31FEA19F">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123DBC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指标1：年度监察任务按时完成率，指标值：＝100%，实际完成100%，完成率100%，偏差率0%。</w:t>
      </w:r>
    </w:p>
    <w:p w14:paraId="030F6C36">
      <w:pPr>
        <w:pStyle w:val="13"/>
        <w:pageBreakBefore w:val="0"/>
        <w:numPr>
          <w:ilvl w:val="0"/>
          <w:numId w:val="4"/>
        </w:numPr>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1F3F1CD8">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59C338B0">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7AE7C806">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社会效益指标：</w:t>
      </w:r>
    </w:p>
    <w:p w14:paraId="51949CC5">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指标1：监察结果反馈率，</w:t>
      </w:r>
      <w:r>
        <w:rPr>
          <w:rFonts w:hint="eastAsia" w:eastAsia="仿宋_GB2312" w:cs="Times New Roman"/>
          <w:sz w:val="32"/>
          <w:szCs w:val="32"/>
          <w:highlight w:val="none"/>
          <w:lang w:val="en-US" w:eastAsia="zh-CN"/>
        </w:rPr>
        <w:t>指标值：＝100%</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实际完成100%，</w:t>
      </w:r>
      <w:r>
        <w:rPr>
          <w:rFonts w:hint="eastAsia" w:ascii="Times New Roman" w:hAnsi="Times New Roman" w:eastAsia="仿宋_GB2312" w:cs="Times New Roman"/>
          <w:sz w:val="32"/>
          <w:szCs w:val="32"/>
          <w:highlight w:val="none"/>
          <w:lang w:val="en-US" w:eastAsia="zh-CN"/>
        </w:rPr>
        <w:t>完成率100%，偏差率0%。</w:t>
      </w:r>
    </w:p>
    <w:p w14:paraId="149183FC">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问题跟踪督办率，指标值：＝100%</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实际完成100%，</w:t>
      </w:r>
      <w:r>
        <w:rPr>
          <w:rFonts w:hint="eastAsia" w:ascii="Times New Roman" w:hAnsi="Times New Roman" w:eastAsia="仿宋_GB2312" w:cs="Times New Roman"/>
          <w:sz w:val="32"/>
          <w:szCs w:val="32"/>
          <w:highlight w:val="none"/>
          <w:lang w:val="en-US" w:eastAsia="zh-CN"/>
        </w:rPr>
        <w:t>完成率100%，偏差率0%。</w:t>
      </w:r>
    </w:p>
    <w:p w14:paraId="7CC00B02">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满意度</w:t>
      </w:r>
    </w:p>
    <w:p w14:paraId="543336D0">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监察</w:t>
      </w:r>
      <w:r>
        <w:rPr>
          <w:rFonts w:hint="eastAsia" w:ascii="Times New Roman" w:hAnsi="Times New Roman" w:eastAsia="仿宋_GB2312" w:cs="Times New Roman"/>
          <w:sz w:val="32"/>
          <w:szCs w:val="32"/>
          <w:highlight w:val="none"/>
          <w:lang w:val="en-US" w:eastAsia="zh-CN"/>
        </w:rPr>
        <w:t>人员被</w:t>
      </w:r>
      <w:r>
        <w:rPr>
          <w:rFonts w:hint="eastAsia" w:eastAsia="仿宋_GB2312" w:cs="Times New Roman"/>
          <w:sz w:val="32"/>
          <w:szCs w:val="32"/>
          <w:highlight w:val="none"/>
          <w:lang w:val="en-US" w:eastAsia="zh-CN"/>
        </w:rPr>
        <w:t>诉讼</w:t>
      </w:r>
      <w:r>
        <w:rPr>
          <w:rFonts w:hint="eastAsia" w:ascii="Times New Roman" w:hAnsi="Times New Roman" w:eastAsia="仿宋_GB2312" w:cs="Times New Roman"/>
          <w:sz w:val="32"/>
          <w:szCs w:val="32"/>
          <w:highlight w:val="none"/>
          <w:lang w:val="en-US" w:eastAsia="zh-CN"/>
        </w:rPr>
        <w:t>次数，指标值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2次，实际完成0次，完成率100%，偏差率0%。</w:t>
      </w:r>
    </w:p>
    <w:p w14:paraId="4E8E84AD">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楷体_GB2312" w:cs="Times New Roman"/>
          <w:b/>
          <w:bCs/>
          <w:sz w:val="32"/>
          <w:szCs w:val="32"/>
          <w:lang w:val="en-US" w:eastAsia="zh-Hans"/>
        </w:rPr>
      </w:pPr>
      <w:r>
        <w:rPr>
          <w:rFonts w:hint="eastAsia" w:ascii="Times New Roman" w:hAnsi="Times New Roman" w:eastAsia="楷体_GB2312" w:cs="Times New Roman"/>
          <w:b/>
          <w:bCs/>
          <w:sz w:val="32"/>
          <w:szCs w:val="32"/>
          <w:lang w:val="en-US" w:eastAsia="zh-CN"/>
        </w:rPr>
        <w:t>（五）</w:t>
      </w:r>
      <w:r>
        <w:rPr>
          <w:rFonts w:hint="eastAsia" w:ascii="Times New Roman" w:hAnsi="Times New Roman" w:eastAsia="楷体_GB2312" w:cs="Times New Roman"/>
          <w:b/>
          <w:bCs/>
          <w:sz w:val="32"/>
          <w:szCs w:val="32"/>
          <w:lang w:val="en-US" w:eastAsia="zh-Hans"/>
        </w:rPr>
        <w:t>预算执行进度与绩效指标总体完成率偏差</w:t>
      </w:r>
    </w:p>
    <w:p w14:paraId="57CD9149">
      <w:pPr>
        <w:pStyle w:val="2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生态环境监察项目年初预算100万元，全年预算100万元，实际支出99.99万元，预算执行率为99.99%，项目绩效指标总体完成率为100%，</w:t>
      </w:r>
      <w:r>
        <w:rPr>
          <w:rFonts w:hint="eastAsia" w:ascii="仿宋_GB2312" w:hAnsi="仿宋_GB2312" w:eastAsia="仿宋_GB2312" w:cs="仿宋_GB2312"/>
          <w:b w:val="0"/>
          <w:bCs w:val="0"/>
          <w:kern w:val="2"/>
          <w:sz w:val="32"/>
          <w:szCs w:val="32"/>
          <w:highlight w:val="none"/>
          <w:lang w:val="en-US" w:eastAsia="zh-Hans" w:bidi="ar-SA"/>
        </w:rPr>
        <w:t>总体</w:t>
      </w:r>
      <w:r>
        <w:rPr>
          <w:rFonts w:hint="eastAsia" w:ascii="仿宋_GB2312" w:hAnsi="仿宋_GB2312" w:eastAsia="仿宋_GB2312" w:cs="仿宋_GB2312"/>
          <w:b w:val="0"/>
          <w:bCs w:val="0"/>
          <w:kern w:val="2"/>
          <w:sz w:val="32"/>
          <w:szCs w:val="32"/>
          <w:highlight w:val="none"/>
          <w:lang w:val="en-US" w:eastAsia="zh-CN" w:bidi="ar-SA"/>
        </w:rPr>
        <w:t>偏差率为0.01%，</w:t>
      </w:r>
      <w:r>
        <w:rPr>
          <w:rFonts w:hint="eastAsia" w:ascii="仿宋_GB2312" w:hAnsi="仿宋_GB2312" w:eastAsia="仿宋_GB2312" w:cs="仿宋_GB2312"/>
          <w:b w:val="0"/>
          <w:bCs w:val="0"/>
          <w:kern w:val="2"/>
          <w:sz w:val="32"/>
          <w:szCs w:val="32"/>
          <w:highlight w:val="none"/>
          <w:lang w:val="en-US" w:eastAsia="zh-Hans" w:bidi="ar-SA"/>
        </w:rPr>
        <w:t>偏差</w:t>
      </w:r>
      <w:r>
        <w:rPr>
          <w:rFonts w:hint="eastAsia" w:ascii="仿宋_GB2312" w:hAnsi="仿宋_GB2312" w:eastAsia="仿宋_GB2312" w:cs="仿宋_GB2312"/>
          <w:b w:val="0"/>
          <w:bCs w:val="0"/>
          <w:kern w:val="2"/>
          <w:sz w:val="32"/>
          <w:szCs w:val="32"/>
          <w:highlight w:val="none"/>
          <w:lang w:val="en-US" w:eastAsia="zh-CN" w:bidi="ar-SA"/>
        </w:rPr>
        <w:t>原因办公设备购置金额预算不够精确，导致产生结余，</w:t>
      </w:r>
      <w:r>
        <w:rPr>
          <w:rFonts w:hint="eastAsia" w:ascii="仿宋_GB2312" w:hAnsi="仿宋_GB2312" w:eastAsia="仿宋_GB2312" w:cs="仿宋_GB2312"/>
          <w:b w:val="0"/>
          <w:bCs w:val="0"/>
          <w:kern w:val="2"/>
          <w:sz w:val="32"/>
          <w:szCs w:val="32"/>
          <w:highlight w:val="none"/>
          <w:lang w:val="en-US" w:eastAsia="zh-Hans" w:bidi="ar-SA"/>
        </w:rPr>
        <w:t>改进</w:t>
      </w:r>
      <w:r>
        <w:rPr>
          <w:rFonts w:hint="eastAsia" w:ascii="仿宋_GB2312" w:hAnsi="仿宋_GB2312" w:eastAsia="仿宋_GB2312" w:cs="仿宋_GB2312"/>
          <w:b w:val="0"/>
          <w:bCs w:val="0"/>
          <w:kern w:val="2"/>
          <w:sz w:val="32"/>
          <w:szCs w:val="32"/>
          <w:highlight w:val="none"/>
          <w:lang w:val="en-US" w:eastAsia="zh-CN" w:bidi="ar-SA"/>
        </w:rPr>
        <w:t>措施合理设置预算资金。</w:t>
      </w:r>
    </w:p>
    <w:p w14:paraId="5FD1A5B6">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lang w:val="en-US" w:eastAsia="zh-CN"/>
        </w:rPr>
      </w:pPr>
    </w:p>
    <w:p w14:paraId="74E371BD">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lang w:val="en-US" w:eastAsia="zh-CN"/>
        </w:rPr>
      </w:pPr>
    </w:p>
    <w:p w14:paraId="5DED8768">
      <w:pPr>
        <w:pageBreakBefore w:val="0"/>
        <w:kinsoku/>
        <w:wordWrap/>
        <w:overflowPunct/>
        <w:topLinePunct w:val="0"/>
        <w:autoSpaceDE/>
        <w:autoSpaceDN/>
        <w:bidi w:val="0"/>
        <w:adjustRightInd/>
        <w:snapToGrid/>
        <w:spacing w:line="560" w:lineRule="exact"/>
        <w:ind w:firstLine="640" w:firstLineChars="200"/>
        <w:textAlignment w:val="auto"/>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F9FADCA">
      <w:pPr>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08C87C59">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一是</w:t>
      </w:r>
      <w:r>
        <w:rPr>
          <w:rFonts w:hint="eastAsia" w:ascii="仿宋" w:hAnsi="仿宋" w:eastAsia="仿宋" w:cs="仿宋"/>
          <w:sz w:val="32"/>
          <w:szCs w:val="32"/>
          <w:lang w:val="en-US" w:eastAsia="zh-CN"/>
        </w:rPr>
        <w:t>我办领导对项目资金高度重视，做到有支出必上会，有上会必研讨。通过组织召开全体会议的形式，让全体干部参与到项目支出当中，对于有歧义的项目支出再讨论再研究，有重大事项将提请自治区生态环境厅报分管厅领导裁议。</w:t>
      </w:r>
      <w:r>
        <w:rPr>
          <w:rFonts w:hint="eastAsia" w:ascii="仿宋" w:hAnsi="仿宋" w:eastAsia="仿宋" w:cs="仿宋"/>
          <w:b/>
          <w:bCs/>
          <w:sz w:val="32"/>
          <w:szCs w:val="32"/>
          <w:lang w:val="en-US" w:eastAsia="zh-CN"/>
        </w:rPr>
        <w:t>二是</w:t>
      </w:r>
      <w:r>
        <w:rPr>
          <w:rFonts w:hint="eastAsia" w:ascii="仿宋" w:hAnsi="仿宋" w:eastAsia="仿宋" w:cs="仿宋"/>
          <w:sz w:val="32"/>
          <w:szCs w:val="32"/>
          <w:lang w:val="en-US" w:eastAsia="zh-CN"/>
        </w:rPr>
        <w:t>我办领导真抓实干全程参与督促检查各项目的实施和落实，在检查中发现的不合理不合规支出立即退回，并要求相关人员及时改正，做到每笔支出符合项目资金的支出要求。</w:t>
      </w:r>
    </w:p>
    <w:p w14:paraId="46599967">
      <w:pPr>
        <w:keepNext/>
        <w:keepLines/>
        <w:pageBreakBefore w:val="0"/>
        <w:numPr>
          <w:ilvl w:val="0"/>
          <w:numId w:val="5"/>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0C1930DE">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我办存在的问题是预算使用率未达到100%，具体是资本性支出结余0.01万元；究其原因是购置办公设备不够精确，导致在资本性支出科目上仍有剩余。</w:t>
      </w:r>
    </w:p>
    <w:p w14:paraId="581D1A14">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eastAsia"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5E3DE754">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1697160D">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79A3C2B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cs="Times New Roman"/>
          <w:sz w:val="22"/>
          <w:szCs w:val="28"/>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2BCD44B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.进一步加强对绩效管理工作的组织领导，提高对预算绩效管理工作重要性的认识，总结经验查找问题，抓紧研究制定更全面更完善的绩效评价管理办法。</w:t>
      </w:r>
    </w:p>
    <w:p w14:paraId="3AB05DC2">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078F1386">
      <w:pPr>
        <w:pStyle w:val="2"/>
        <w:pageBreakBefore w:val="0"/>
        <w:kinsoku/>
        <w:wordWrap/>
        <w:overflowPunct/>
        <w:topLinePunct w:val="0"/>
        <w:autoSpaceDE/>
        <w:autoSpaceDN/>
        <w:bidi w:val="0"/>
        <w:adjustRightInd/>
        <w:snapToGrid/>
        <w:spacing w:after="0" w:line="560" w:lineRule="exact"/>
        <w:ind w:left="0" w:leftChars="0" w:firstLine="640" w:firstLineChars="200"/>
        <w:textAlignment w:val="auto"/>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无其他需说明的问题。</w:t>
      </w:r>
    </w:p>
    <w:p w14:paraId="20599BD6">
      <w:pPr>
        <w:pStyle w:val="2"/>
        <w:spacing w:after="0" w:line="560" w:lineRule="exact"/>
        <w:ind w:left="0" w:leftChars="0" w:firstLine="640"/>
        <w:rPr>
          <w:rFonts w:hint="eastAsia" w:ascii="Times New Roman" w:hAnsi="Times New Roman" w:eastAsia="仿宋_GB2312" w:cs="Times New Roman"/>
          <w:sz w:val="32"/>
          <w:szCs w:val="32"/>
          <w:lang w:eastAsia="zh-CN"/>
        </w:rPr>
      </w:pPr>
    </w:p>
    <w:p w14:paraId="178775CA">
      <w:pPr>
        <w:pStyle w:val="2"/>
        <w:spacing w:after="0" w:line="560" w:lineRule="exact"/>
        <w:ind w:left="0" w:leftChars="0" w:firstLine="640"/>
        <w:rPr>
          <w:rFonts w:hint="eastAsia" w:ascii="Times New Roman" w:hAnsi="Times New Roman" w:eastAsia="仿宋_GB2312" w:cs="Times New Roman"/>
          <w:sz w:val="32"/>
          <w:szCs w:val="32"/>
          <w:lang w:eastAsia="zh-CN"/>
        </w:rPr>
      </w:pPr>
    </w:p>
    <w:p w14:paraId="5AF7B446">
      <w:pPr>
        <w:pStyle w:val="2"/>
        <w:spacing w:after="0" w:line="560" w:lineRule="exact"/>
        <w:ind w:left="0" w:leftChars="0" w:firstLine="0" w:firstLineChars="0"/>
        <w:rPr>
          <w:rFonts w:hint="default" w:ascii="Times New Roman" w:hAnsi="Times New Roman" w:eastAsia="仿宋_GB2312" w:cs="Times New Roman"/>
          <w:sz w:val="32"/>
          <w:szCs w:val="32"/>
        </w:rPr>
      </w:pPr>
    </w:p>
    <w:p w14:paraId="7BDAC528">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3B939547">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586F6035">
      <w:pPr>
        <w:spacing w:line="700" w:lineRule="exact"/>
        <w:ind w:firstLine="1124" w:firstLineChars="400"/>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rPr>
        <w:t>生态环境监察</w:t>
      </w:r>
      <w:r>
        <w:rPr>
          <w:rFonts w:hint="eastAsia" w:ascii="仿宋_GB2312" w:hAnsi="仿宋_GB2312" w:eastAsia="仿宋_GB2312" w:cs="仿宋_GB2312"/>
          <w:b/>
          <w:bCs/>
          <w:sz w:val="28"/>
          <w:szCs w:val="40"/>
          <w:lang w:val="en-US" w:eastAsia="zh-CN"/>
        </w:rPr>
        <w:t>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14:paraId="130DD9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14:paraId="23289F7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14:paraId="6417A72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14:paraId="26E602D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14:paraId="381027D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14:paraId="0816F47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14:paraId="01597BF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14:paraId="62EF8E3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3201CD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14:paraId="5DF50E3A">
            <w:pPr>
              <w:widowControl/>
              <w:spacing w:line="0" w:lineRule="atLeast"/>
              <w:jc w:val="center"/>
              <w:rPr>
                <w:rFonts w:hint="default" w:ascii="Times New Roman" w:hAnsi="Times New Roman" w:eastAsia="仿宋_GB2312" w:cs="Times New Roman"/>
                <w:b/>
                <w:bCs/>
                <w:color w:val="000000"/>
                <w:kern w:val="0"/>
                <w:sz w:val="18"/>
                <w:szCs w:val="18"/>
              </w:rPr>
            </w:pPr>
          </w:p>
          <w:p w14:paraId="620AA421">
            <w:pPr>
              <w:widowControl/>
              <w:spacing w:line="0" w:lineRule="atLeast"/>
              <w:jc w:val="center"/>
              <w:rPr>
                <w:rFonts w:hint="default" w:ascii="Times New Roman" w:hAnsi="Times New Roman" w:eastAsia="仿宋_GB2312" w:cs="Times New Roman"/>
                <w:b/>
                <w:bCs/>
                <w:color w:val="000000"/>
                <w:kern w:val="0"/>
                <w:sz w:val="18"/>
                <w:szCs w:val="18"/>
              </w:rPr>
            </w:pPr>
          </w:p>
          <w:p w14:paraId="16440E4A">
            <w:pPr>
              <w:widowControl/>
              <w:spacing w:line="0" w:lineRule="atLeast"/>
              <w:jc w:val="center"/>
              <w:rPr>
                <w:rFonts w:hint="default" w:ascii="Times New Roman" w:hAnsi="Times New Roman" w:eastAsia="仿宋_GB2312" w:cs="Times New Roman"/>
                <w:b/>
                <w:bCs/>
                <w:color w:val="000000"/>
                <w:kern w:val="0"/>
                <w:sz w:val="18"/>
                <w:szCs w:val="18"/>
              </w:rPr>
            </w:pPr>
          </w:p>
          <w:p w14:paraId="7B03E97D">
            <w:pPr>
              <w:widowControl/>
              <w:spacing w:line="0" w:lineRule="atLeast"/>
              <w:jc w:val="center"/>
              <w:rPr>
                <w:rFonts w:hint="default" w:ascii="Times New Roman" w:hAnsi="Times New Roman" w:eastAsia="仿宋_GB2312" w:cs="Times New Roman"/>
                <w:b/>
                <w:bCs/>
                <w:color w:val="000000"/>
                <w:kern w:val="0"/>
                <w:sz w:val="18"/>
                <w:szCs w:val="18"/>
              </w:rPr>
            </w:pPr>
          </w:p>
          <w:p w14:paraId="499D2DDC">
            <w:pPr>
              <w:widowControl/>
              <w:spacing w:line="0" w:lineRule="atLeast"/>
              <w:jc w:val="center"/>
              <w:rPr>
                <w:rFonts w:hint="default" w:ascii="Times New Roman" w:hAnsi="Times New Roman" w:eastAsia="仿宋_GB2312" w:cs="Times New Roman"/>
                <w:b/>
                <w:bCs/>
                <w:color w:val="000000"/>
                <w:kern w:val="0"/>
                <w:sz w:val="18"/>
                <w:szCs w:val="18"/>
              </w:rPr>
            </w:pPr>
          </w:p>
          <w:p w14:paraId="27A0D30B">
            <w:pPr>
              <w:widowControl/>
              <w:spacing w:line="0" w:lineRule="atLeast"/>
              <w:jc w:val="center"/>
              <w:rPr>
                <w:rFonts w:hint="default" w:ascii="Times New Roman" w:hAnsi="Times New Roman" w:eastAsia="仿宋_GB2312" w:cs="Times New Roman"/>
                <w:b/>
                <w:bCs/>
                <w:color w:val="000000"/>
                <w:kern w:val="0"/>
                <w:sz w:val="18"/>
                <w:szCs w:val="18"/>
              </w:rPr>
            </w:pPr>
          </w:p>
          <w:p w14:paraId="6961C2F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决策　</w:t>
            </w:r>
          </w:p>
        </w:tc>
        <w:tc>
          <w:tcPr>
            <w:tcW w:w="394" w:type="pct"/>
            <w:vMerge w:val="restart"/>
            <w:shd w:val="clear" w:color="auto" w:fill="FFFFFF"/>
            <w:vAlign w:val="center"/>
          </w:tcPr>
          <w:p w14:paraId="029F4EA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项目立项　</w:t>
            </w:r>
          </w:p>
        </w:tc>
        <w:tc>
          <w:tcPr>
            <w:tcW w:w="422" w:type="pct"/>
            <w:shd w:val="clear" w:color="auto" w:fill="FFFFFF"/>
            <w:vAlign w:val="center"/>
          </w:tcPr>
          <w:p w14:paraId="634CED5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立项依据</w:t>
            </w:r>
          </w:p>
          <w:p w14:paraId="0B6EFCE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充分性</w:t>
            </w:r>
          </w:p>
        </w:tc>
        <w:tc>
          <w:tcPr>
            <w:tcW w:w="680" w:type="pct"/>
            <w:shd w:val="clear" w:color="auto" w:fill="FFFFFF"/>
            <w:vAlign w:val="center"/>
          </w:tcPr>
          <w:p w14:paraId="192324F1">
            <w:pPr>
              <w:widowControl/>
              <w:spacing w:line="0" w:lineRule="atLeas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14:paraId="3D470188">
            <w:pPr>
              <w:widowControl/>
              <w:spacing w:line="0" w:lineRule="atLeast"/>
              <w:jc w:val="lef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①项目立项是否符合国家法律法规、国民经济发展规划和相关政策；</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②项目立项是否符合行业发展规划和政策要求；</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③项目立项是否与部门职责范围相符，属于部门履职所需；</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⑤项目是否与相关部门同类项目或部门内部相关项目重复。</w:t>
            </w:r>
          </w:p>
        </w:tc>
        <w:tc>
          <w:tcPr>
            <w:tcW w:w="512" w:type="pct"/>
            <w:shd w:val="clear" w:color="auto" w:fill="FFFFFF"/>
            <w:vAlign w:val="center"/>
          </w:tcPr>
          <w:p w14:paraId="34438E7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76E0A17E">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3</w:t>
            </w:r>
          </w:p>
        </w:tc>
      </w:tr>
      <w:tr w14:paraId="2E0E5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7003C092">
            <w:pPr>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6AA6A410">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31C7BF7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立项程序</w:t>
            </w:r>
          </w:p>
          <w:p w14:paraId="6589B31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规范性</w:t>
            </w:r>
          </w:p>
        </w:tc>
        <w:tc>
          <w:tcPr>
            <w:tcW w:w="680" w:type="pct"/>
            <w:shd w:val="clear" w:color="auto" w:fill="FFFFFF"/>
            <w:vAlign w:val="center"/>
          </w:tcPr>
          <w:p w14:paraId="3DBED57D">
            <w:pPr>
              <w:widowControl/>
              <w:spacing w:line="0" w:lineRule="atLeas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项目申请、设立过程是否符合相关要求，用以反映和考核项目立项的规范情况。</w:t>
            </w:r>
          </w:p>
        </w:tc>
        <w:tc>
          <w:tcPr>
            <w:tcW w:w="2055" w:type="pct"/>
            <w:shd w:val="clear" w:color="auto" w:fill="FFFFFF"/>
            <w:vAlign w:val="center"/>
          </w:tcPr>
          <w:p w14:paraId="318C81B5">
            <w:pPr>
              <w:widowControl/>
              <w:spacing w:line="0" w:lineRule="atLeast"/>
              <w:jc w:val="lef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①项目是否按照规定的程序申请设立；</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②审批文件、材料是否符合相关要求；</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③事前是否已经过必要的可行性研究、专家论证、风险评估、绩效评估、集体决策。</w:t>
            </w:r>
          </w:p>
        </w:tc>
        <w:tc>
          <w:tcPr>
            <w:tcW w:w="512" w:type="pct"/>
            <w:shd w:val="clear" w:color="auto" w:fill="FFFFFF"/>
            <w:vAlign w:val="center"/>
          </w:tcPr>
          <w:p w14:paraId="6E984FC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2D4C6FCB">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3</w:t>
            </w:r>
          </w:p>
        </w:tc>
      </w:tr>
      <w:tr w14:paraId="2F9123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3227C612">
            <w:pPr>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restart"/>
            <w:shd w:val="clear" w:color="auto" w:fill="FFFFFF"/>
            <w:vAlign w:val="center"/>
          </w:tcPr>
          <w:p w14:paraId="157B225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绩效目标　</w:t>
            </w:r>
          </w:p>
        </w:tc>
        <w:tc>
          <w:tcPr>
            <w:tcW w:w="422" w:type="pct"/>
            <w:shd w:val="clear" w:color="auto" w:fill="FFFFFF"/>
            <w:vAlign w:val="center"/>
          </w:tcPr>
          <w:p w14:paraId="0F352B3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绩效目标</w:t>
            </w:r>
          </w:p>
          <w:p w14:paraId="57A6997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合理性</w:t>
            </w:r>
          </w:p>
        </w:tc>
        <w:tc>
          <w:tcPr>
            <w:tcW w:w="680" w:type="pct"/>
            <w:shd w:val="clear" w:color="000000" w:fill="FFFFFF"/>
            <w:vAlign w:val="center"/>
          </w:tcPr>
          <w:p w14:paraId="557313B3">
            <w:pPr>
              <w:widowControl/>
              <w:spacing w:line="0" w:lineRule="atLeas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14:paraId="3FD2D088">
            <w:pPr>
              <w:widowControl/>
              <w:spacing w:line="0" w:lineRule="atLeast"/>
              <w:jc w:val="lef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（如未设定预算绩效目标，也可考核其他工作任务目标）</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①项目是否有绩效目标；</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②项目绩效目标与实际工作内容是否具有相关性；</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③项目预期产出效益和效果是否符合正常的业绩水平；</w:t>
            </w:r>
          </w:p>
          <w:p w14:paraId="1EF28552">
            <w:pPr>
              <w:widowControl/>
              <w:spacing w:line="0" w:lineRule="atLeast"/>
              <w:jc w:val="lef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④是否与预算确定的项目投资额或资金量相匹配。</w:t>
            </w:r>
          </w:p>
        </w:tc>
        <w:tc>
          <w:tcPr>
            <w:tcW w:w="512" w:type="pct"/>
            <w:shd w:val="clear" w:color="000000" w:fill="FFFFFF"/>
            <w:vAlign w:val="center"/>
          </w:tcPr>
          <w:p w14:paraId="31D0745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3428DC49">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3</w:t>
            </w:r>
          </w:p>
        </w:tc>
      </w:tr>
      <w:tr w14:paraId="1D0907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14:paraId="1D29CB03">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256D28DC">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2450E5E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绩效指标</w:t>
            </w:r>
          </w:p>
          <w:p w14:paraId="1D5F3F6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明确性</w:t>
            </w:r>
          </w:p>
        </w:tc>
        <w:tc>
          <w:tcPr>
            <w:tcW w:w="680" w:type="pct"/>
            <w:shd w:val="clear" w:color="000000" w:fill="FFFFFF"/>
            <w:vAlign w:val="center"/>
          </w:tcPr>
          <w:p w14:paraId="5C857EB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14:paraId="4DD4EB3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①是否将项目绩效目标细化分解为具体的绩效指标；</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②是否通过清晰、可衡量的指标值予以体现；</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③是否与项目目标任务数或计划数相对应。</w:t>
            </w:r>
            <w:r>
              <w:rPr>
                <w:rFonts w:hint="default" w:ascii="Times New Roman" w:hAnsi="Times New Roman" w:eastAsia="仿宋_GB2312" w:cs="Times New Roman"/>
                <w:b/>
                <w:bCs/>
                <w:color w:val="000000"/>
                <w:kern w:val="0"/>
                <w:sz w:val="18"/>
                <w:szCs w:val="18"/>
              </w:rPr>
              <w:br w:type="textWrapping"/>
            </w:r>
          </w:p>
        </w:tc>
        <w:tc>
          <w:tcPr>
            <w:tcW w:w="512" w:type="pct"/>
            <w:shd w:val="clear" w:color="000000" w:fill="FFFFFF"/>
            <w:vAlign w:val="center"/>
          </w:tcPr>
          <w:p w14:paraId="1F97157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190D6D65">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3</w:t>
            </w:r>
          </w:p>
        </w:tc>
      </w:tr>
      <w:tr w14:paraId="50EEEA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14:paraId="5E18FF80">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restart"/>
            <w:shd w:val="clear" w:color="auto" w:fill="FFFFFF"/>
            <w:vAlign w:val="center"/>
          </w:tcPr>
          <w:p w14:paraId="33C1CCF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资金投入</w:t>
            </w:r>
          </w:p>
          <w:p w14:paraId="67D966C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　</w:t>
            </w:r>
          </w:p>
        </w:tc>
        <w:tc>
          <w:tcPr>
            <w:tcW w:w="422" w:type="pct"/>
            <w:shd w:val="clear" w:color="auto" w:fill="FFFFFF"/>
            <w:vAlign w:val="center"/>
          </w:tcPr>
          <w:p w14:paraId="679D2CB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预算编制</w:t>
            </w:r>
          </w:p>
          <w:p w14:paraId="4610FBA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科学性</w:t>
            </w:r>
          </w:p>
        </w:tc>
        <w:tc>
          <w:tcPr>
            <w:tcW w:w="680" w:type="pct"/>
            <w:shd w:val="clear" w:color="auto" w:fill="FFFFFF"/>
            <w:vAlign w:val="center"/>
          </w:tcPr>
          <w:p w14:paraId="0F2ED87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14:paraId="642EB15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①预算编制是否经过科学论证；</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②预算内容与项目内容是否匹配；</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③预算额度测算依据是否充分，是否按照标准编制；</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④预算确定的项目投资额或资金量是否与工作任务相匹配。</w:t>
            </w:r>
          </w:p>
        </w:tc>
        <w:tc>
          <w:tcPr>
            <w:tcW w:w="512" w:type="pct"/>
            <w:shd w:val="clear" w:color="auto" w:fill="FFFFFF"/>
            <w:vAlign w:val="center"/>
          </w:tcPr>
          <w:p w14:paraId="07EB85A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040A720F">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3DED21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14:paraId="59B4996B">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4CBDE904">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625006E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资金分配</w:t>
            </w:r>
          </w:p>
          <w:p w14:paraId="482794D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合理性</w:t>
            </w:r>
          </w:p>
        </w:tc>
        <w:tc>
          <w:tcPr>
            <w:tcW w:w="680" w:type="pct"/>
            <w:shd w:val="clear" w:color="auto" w:fill="FFFFFF"/>
            <w:vAlign w:val="center"/>
          </w:tcPr>
          <w:p w14:paraId="3E71013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14:paraId="14E7506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①预算资金分配依据是否充分；</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②资金分配额度是否合理，与项目单位或地方实际是否相适应。</w:t>
            </w:r>
          </w:p>
        </w:tc>
        <w:tc>
          <w:tcPr>
            <w:tcW w:w="512" w:type="pct"/>
            <w:shd w:val="clear" w:color="auto" w:fill="FFFFFF"/>
            <w:vAlign w:val="center"/>
          </w:tcPr>
          <w:p w14:paraId="5175C2B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4A6FF3F0">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57C69F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14:paraId="29D518CF">
            <w:pPr>
              <w:widowControl/>
              <w:spacing w:line="0" w:lineRule="atLeast"/>
              <w:jc w:val="center"/>
              <w:rPr>
                <w:rFonts w:hint="default" w:ascii="Times New Roman" w:hAnsi="Times New Roman" w:eastAsia="仿宋_GB2312" w:cs="Times New Roman"/>
                <w:b/>
                <w:bCs/>
                <w:color w:val="000000"/>
                <w:kern w:val="0"/>
                <w:sz w:val="18"/>
                <w:szCs w:val="18"/>
              </w:rPr>
            </w:pPr>
          </w:p>
          <w:p w14:paraId="2049723D">
            <w:pPr>
              <w:widowControl/>
              <w:spacing w:line="0" w:lineRule="atLeast"/>
              <w:jc w:val="center"/>
              <w:rPr>
                <w:rFonts w:hint="default" w:ascii="Times New Roman" w:hAnsi="Times New Roman" w:eastAsia="仿宋_GB2312" w:cs="Times New Roman"/>
                <w:b/>
                <w:bCs/>
                <w:color w:val="000000"/>
                <w:kern w:val="0"/>
                <w:sz w:val="18"/>
                <w:szCs w:val="18"/>
              </w:rPr>
            </w:pPr>
          </w:p>
          <w:p w14:paraId="6EBB4074">
            <w:pPr>
              <w:widowControl/>
              <w:spacing w:line="0" w:lineRule="atLeast"/>
              <w:jc w:val="center"/>
              <w:rPr>
                <w:rFonts w:hint="default" w:ascii="Times New Roman" w:hAnsi="Times New Roman" w:eastAsia="仿宋_GB2312" w:cs="Times New Roman"/>
                <w:b/>
                <w:bCs/>
                <w:color w:val="000000"/>
                <w:kern w:val="0"/>
                <w:sz w:val="18"/>
                <w:szCs w:val="18"/>
              </w:rPr>
            </w:pPr>
          </w:p>
          <w:p w14:paraId="0061B177">
            <w:pPr>
              <w:widowControl/>
              <w:spacing w:line="0" w:lineRule="atLeast"/>
              <w:jc w:val="center"/>
              <w:rPr>
                <w:rFonts w:hint="default" w:ascii="Times New Roman" w:hAnsi="Times New Roman" w:eastAsia="仿宋_GB2312" w:cs="Times New Roman"/>
                <w:b/>
                <w:bCs/>
                <w:color w:val="000000"/>
                <w:kern w:val="0"/>
                <w:sz w:val="18"/>
                <w:szCs w:val="18"/>
              </w:rPr>
            </w:pPr>
          </w:p>
          <w:p w14:paraId="3D81B4C9">
            <w:pPr>
              <w:widowControl/>
              <w:spacing w:line="0" w:lineRule="atLeast"/>
              <w:jc w:val="center"/>
              <w:rPr>
                <w:rFonts w:hint="default" w:ascii="Times New Roman" w:hAnsi="Times New Roman" w:eastAsia="仿宋_GB2312" w:cs="Times New Roman"/>
                <w:b/>
                <w:bCs/>
                <w:color w:val="000000"/>
                <w:kern w:val="0"/>
                <w:sz w:val="18"/>
                <w:szCs w:val="18"/>
              </w:rPr>
            </w:pPr>
          </w:p>
          <w:p w14:paraId="39710D22">
            <w:pPr>
              <w:widowControl/>
              <w:spacing w:line="0" w:lineRule="atLeast"/>
              <w:jc w:val="center"/>
              <w:rPr>
                <w:rFonts w:hint="default" w:ascii="Times New Roman" w:hAnsi="Times New Roman" w:eastAsia="仿宋_GB2312" w:cs="Times New Roman"/>
                <w:b/>
                <w:bCs/>
                <w:color w:val="000000"/>
                <w:kern w:val="0"/>
                <w:sz w:val="18"/>
                <w:szCs w:val="18"/>
              </w:rPr>
            </w:pPr>
          </w:p>
          <w:p w14:paraId="4882F497">
            <w:pPr>
              <w:widowControl/>
              <w:spacing w:line="0" w:lineRule="atLeast"/>
              <w:jc w:val="center"/>
              <w:rPr>
                <w:rFonts w:hint="default" w:ascii="Times New Roman" w:hAnsi="Times New Roman" w:eastAsia="仿宋_GB2312" w:cs="Times New Roman"/>
                <w:b/>
                <w:bCs/>
                <w:color w:val="000000"/>
                <w:kern w:val="0"/>
                <w:sz w:val="18"/>
                <w:szCs w:val="18"/>
              </w:rPr>
            </w:pPr>
          </w:p>
          <w:p w14:paraId="26B5317A">
            <w:pPr>
              <w:widowControl/>
              <w:spacing w:line="0" w:lineRule="atLeast"/>
              <w:jc w:val="center"/>
              <w:rPr>
                <w:rFonts w:hint="default" w:ascii="Times New Roman" w:hAnsi="Times New Roman" w:eastAsia="仿宋_GB2312" w:cs="Times New Roman"/>
                <w:b/>
                <w:bCs/>
                <w:color w:val="000000"/>
                <w:kern w:val="0"/>
                <w:sz w:val="18"/>
                <w:szCs w:val="18"/>
              </w:rPr>
            </w:pPr>
          </w:p>
          <w:p w14:paraId="023573E6">
            <w:pPr>
              <w:widowControl/>
              <w:spacing w:line="0" w:lineRule="atLeast"/>
              <w:jc w:val="center"/>
              <w:rPr>
                <w:rFonts w:hint="default" w:ascii="Times New Roman" w:hAnsi="Times New Roman" w:eastAsia="仿宋_GB2312" w:cs="Times New Roman"/>
                <w:b/>
                <w:bCs/>
                <w:color w:val="000000"/>
                <w:kern w:val="0"/>
                <w:sz w:val="18"/>
                <w:szCs w:val="18"/>
              </w:rPr>
            </w:pPr>
          </w:p>
          <w:p w14:paraId="6F61A903">
            <w:pPr>
              <w:widowControl/>
              <w:spacing w:line="0" w:lineRule="atLeast"/>
              <w:jc w:val="center"/>
              <w:rPr>
                <w:rFonts w:hint="default" w:ascii="Times New Roman" w:hAnsi="Times New Roman" w:eastAsia="仿宋_GB2312" w:cs="Times New Roman"/>
                <w:b/>
                <w:bCs/>
                <w:color w:val="000000"/>
                <w:kern w:val="0"/>
                <w:sz w:val="18"/>
                <w:szCs w:val="18"/>
              </w:rPr>
            </w:pPr>
          </w:p>
          <w:p w14:paraId="4536FD1B">
            <w:pPr>
              <w:widowControl/>
              <w:spacing w:line="0" w:lineRule="atLeast"/>
              <w:jc w:val="center"/>
              <w:rPr>
                <w:rFonts w:hint="default" w:ascii="Times New Roman" w:hAnsi="Times New Roman" w:eastAsia="仿宋_GB2312" w:cs="Times New Roman"/>
                <w:b/>
                <w:bCs/>
                <w:color w:val="000000"/>
                <w:kern w:val="0"/>
                <w:sz w:val="18"/>
                <w:szCs w:val="18"/>
              </w:rPr>
            </w:pPr>
          </w:p>
          <w:p w14:paraId="32E7F4F3">
            <w:pPr>
              <w:widowControl/>
              <w:spacing w:line="0" w:lineRule="atLeast"/>
              <w:jc w:val="center"/>
              <w:rPr>
                <w:rFonts w:hint="default" w:ascii="Times New Roman" w:hAnsi="Times New Roman" w:eastAsia="仿宋_GB2312" w:cs="Times New Roman"/>
                <w:b/>
                <w:bCs/>
                <w:color w:val="000000"/>
                <w:kern w:val="0"/>
                <w:sz w:val="18"/>
                <w:szCs w:val="18"/>
              </w:rPr>
            </w:pPr>
          </w:p>
          <w:p w14:paraId="585BDC22">
            <w:pPr>
              <w:widowControl/>
              <w:spacing w:line="0" w:lineRule="atLeast"/>
              <w:jc w:val="center"/>
              <w:rPr>
                <w:rFonts w:hint="default" w:ascii="Times New Roman" w:hAnsi="Times New Roman" w:eastAsia="仿宋_GB2312" w:cs="Times New Roman"/>
                <w:b/>
                <w:bCs/>
                <w:color w:val="000000"/>
                <w:kern w:val="0"/>
                <w:sz w:val="18"/>
                <w:szCs w:val="18"/>
              </w:rPr>
            </w:pPr>
          </w:p>
          <w:p w14:paraId="00035481">
            <w:pPr>
              <w:widowControl/>
              <w:spacing w:line="0" w:lineRule="atLeast"/>
              <w:jc w:val="center"/>
              <w:rPr>
                <w:rFonts w:hint="default" w:ascii="Times New Roman" w:hAnsi="Times New Roman" w:eastAsia="仿宋_GB2312" w:cs="Times New Roman"/>
                <w:b/>
                <w:bCs/>
                <w:color w:val="000000"/>
                <w:kern w:val="0"/>
                <w:sz w:val="18"/>
                <w:szCs w:val="18"/>
              </w:rPr>
            </w:pPr>
          </w:p>
          <w:p w14:paraId="3201E286">
            <w:pPr>
              <w:widowControl/>
              <w:spacing w:line="0" w:lineRule="atLeast"/>
              <w:jc w:val="center"/>
              <w:rPr>
                <w:rFonts w:hint="default" w:ascii="Times New Roman" w:hAnsi="Times New Roman" w:eastAsia="仿宋_GB2312" w:cs="Times New Roman"/>
                <w:b/>
                <w:bCs/>
                <w:color w:val="000000"/>
                <w:kern w:val="0"/>
                <w:sz w:val="18"/>
                <w:szCs w:val="18"/>
              </w:rPr>
            </w:pPr>
          </w:p>
          <w:p w14:paraId="5D7FF75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过程</w:t>
            </w:r>
          </w:p>
          <w:p w14:paraId="01E72CE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　　</w:t>
            </w:r>
          </w:p>
        </w:tc>
        <w:tc>
          <w:tcPr>
            <w:tcW w:w="394" w:type="pct"/>
            <w:vMerge w:val="restart"/>
            <w:shd w:val="clear" w:color="auto" w:fill="FFFFFF"/>
            <w:vAlign w:val="center"/>
          </w:tcPr>
          <w:p w14:paraId="3EBD811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资金管理</w:t>
            </w:r>
          </w:p>
        </w:tc>
        <w:tc>
          <w:tcPr>
            <w:tcW w:w="422" w:type="pct"/>
            <w:shd w:val="clear" w:color="auto" w:fill="FFFFFF"/>
            <w:vAlign w:val="center"/>
          </w:tcPr>
          <w:p w14:paraId="75C0BA3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资金到位率</w:t>
            </w:r>
          </w:p>
        </w:tc>
        <w:tc>
          <w:tcPr>
            <w:tcW w:w="680" w:type="pct"/>
            <w:shd w:val="clear" w:color="000000" w:fill="FFFFFF"/>
            <w:vAlign w:val="center"/>
          </w:tcPr>
          <w:p w14:paraId="365F732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14:paraId="08EE4FD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资金到位率=（实际到位资金/预算资金）×100%。</w:t>
            </w:r>
          </w:p>
          <w:p w14:paraId="1B093C2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实际到位资金：一定时期（本年度或项目期）内落实到具体项目的资金。</w:t>
            </w:r>
          </w:p>
          <w:p w14:paraId="1439E9B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预算资金：一定时期（本年度或项目期）内预算安排到具体项目的资金。</w:t>
            </w:r>
          </w:p>
        </w:tc>
        <w:tc>
          <w:tcPr>
            <w:tcW w:w="512" w:type="pct"/>
            <w:shd w:val="clear" w:color="000000" w:fill="FFFFFF"/>
            <w:vAlign w:val="center"/>
          </w:tcPr>
          <w:p w14:paraId="5381CF9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7AB75F46">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06FAB0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14:paraId="7DF28472">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6E26C288">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33AEADD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预算执行率</w:t>
            </w:r>
          </w:p>
        </w:tc>
        <w:tc>
          <w:tcPr>
            <w:tcW w:w="680" w:type="pct"/>
            <w:shd w:val="clear" w:color="auto" w:fill="FFFFFF"/>
            <w:vAlign w:val="center"/>
          </w:tcPr>
          <w:p w14:paraId="6276E0D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项目预算资金是否按照计划执行，用以反映或考核项目预算执行情况。</w:t>
            </w:r>
          </w:p>
        </w:tc>
        <w:tc>
          <w:tcPr>
            <w:tcW w:w="2055" w:type="pct"/>
            <w:shd w:val="clear" w:color="auto" w:fill="FFFFFF"/>
            <w:vAlign w:val="center"/>
          </w:tcPr>
          <w:p w14:paraId="60491DE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预算执行率=（实际支出资金/实际到位资金）×100%。</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实际支出资金：一定时期（本年度或项目期）内项目实际拨付的资金。</w:t>
            </w:r>
          </w:p>
        </w:tc>
        <w:tc>
          <w:tcPr>
            <w:tcW w:w="512" w:type="pct"/>
            <w:shd w:val="clear" w:color="auto" w:fill="FFFFFF"/>
            <w:vAlign w:val="center"/>
          </w:tcPr>
          <w:p w14:paraId="157E3D0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24007E1B">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3.99</w:t>
            </w:r>
          </w:p>
        </w:tc>
      </w:tr>
      <w:tr w14:paraId="515DE6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62FFB391">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shd w:val="clear" w:color="auto" w:fill="FFFFFF"/>
            <w:vAlign w:val="center"/>
          </w:tcPr>
          <w:p w14:paraId="74F07C1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资金管理</w:t>
            </w:r>
          </w:p>
        </w:tc>
        <w:tc>
          <w:tcPr>
            <w:tcW w:w="422" w:type="pct"/>
            <w:shd w:val="clear" w:color="auto" w:fill="FFFFFF"/>
            <w:vAlign w:val="center"/>
          </w:tcPr>
          <w:p w14:paraId="2621D31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资金使用</w:t>
            </w:r>
          </w:p>
          <w:p w14:paraId="1735D9D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合规性</w:t>
            </w:r>
          </w:p>
        </w:tc>
        <w:tc>
          <w:tcPr>
            <w:tcW w:w="680" w:type="pct"/>
            <w:shd w:val="clear" w:color="000000" w:fill="FFFFFF"/>
            <w:vAlign w:val="center"/>
          </w:tcPr>
          <w:p w14:paraId="2074593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14:paraId="6542329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②资金的拨付是否有完整的审批程序和手续；</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③是否符合项目预算批复或合同规定的用途；</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④是否存在截留、挤占、挪用、虚列支出等情况。</w:t>
            </w:r>
          </w:p>
        </w:tc>
        <w:tc>
          <w:tcPr>
            <w:tcW w:w="512" w:type="pct"/>
            <w:shd w:val="clear" w:color="000000" w:fill="FFFFFF"/>
            <w:vAlign w:val="center"/>
          </w:tcPr>
          <w:p w14:paraId="2961A64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31EC7C97">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35E631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14:paraId="3AF81E98">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restart"/>
            <w:shd w:val="clear" w:color="auto" w:fill="FFFFFF"/>
            <w:vAlign w:val="center"/>
          </w:tcPr>
          <w:p w14:paraId="232301E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组织实施</w:t>
            </w:r>
          </w:p>
          <w:p w14:paraId="100645C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　</w:t>
            </w:r>
          </w:p>
        </w:tc>
        <w:tc>
          <w:tcPr>
            <w:tcW w:w="422" w:type="pct"/>
            <w:shd w:val="clear" w:color="auto" w:fill="FFFFFF"/>
            <w:vAlign w:val="center"/>
          </w:tcPr>
          <w:p w14:paraId="56AC959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管理制度</w:t>
            </w:r>
          </w:p>
          <w:p w14:paraId="771E1FB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健全性</w:t>
            </w:r>
          </w:p>
        </w:tc>
        <w:tc>
          <w:tcPr>
            <w:tcW w:w="680" w:type="pct"/>
            <w:shd w:val="clear" w:color="000000" w:fill="FFFFFF"/>
            <w:vAlign w:val="center"/>
          </w:tcPr>
          <w:p w14:paraId="7007074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14:paraId="01443C2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①是否已制定或具有相应的财务和业务管理制度；</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②财务和业务管理制度是否合法、合规、完整。</w:t>
            </w:r>
          </w:p>
        </w:tc>
        <w:tc>
          <w:tcPr>
            <w:tcW w:w="512" w:type="pct"/>
            <w:shd w:val="clear" w:color="000000" w:fill="FFFFFF"/>
            <w:vAlign w:val="center"/>
          </w:tcPr>
          <w:p w14:paraId="670F37A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312583EC">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01420F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14:paraId="6DA3F2EA">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2F1AF359">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576CDD8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制度执行</w:t>
            </w:r>
          </w:p>
          <w:p w14:paraId="0CC60FA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有效性</w:t>
            </w:r>
          </w:p>
        </w:tc>
        <w:tc>
          <w:tcPr>
            <w:tcW w:w="680" w:type="pct"/>
            <w:shd w:val="clear" w:color="000000" w:fill="FFFFFF"/>
            <w:vAlign w:val="center"/>
          </w:tcPr>
          <w:p w14:paraId="56C2A01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项目实施是否符合相关管理规定，用以反映和考核相关管理制度的有效执行情况。</w:t>
            </w:r>
          </w:p>
        </w:tc>
        <w:tc>
          <w:tcPr>
            <w:tcW w:w="2055" w:type="pct"/>
            <w:shd w:val="clear" w:color="000000" w:fill="FFFFFF"/>
            <w:vAlign w:val="center"/>
          </w:tcPr>
          <w:p w14:paraId="739C70E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①是否遵守相关法律法规和相关管理规定；</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②项目调整及支出调整手续是否完备；</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③项目合同书、验收报告、技术鉴定等资料是否齐全并及时归档；</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④项目实施的人员条件、场地设备、信息支撑等是否落实到位。</w:t>
            </w:r>
          </w:p>
        </w:tc>
        <w:tc>
          <w:tcPr>
            <w:tcW w:w="512" w:type="pct"/>
            <w:shd w:val="clear" w:color="000000" w:fill="FFFFFF"/>
            <w:vAlign w:val="center"/>
          </w:tcPr>
          <w:p w14:paraId="56B3B06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26319E70">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057A86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14:paraId="3C1C47B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产出</w:t>
            </w:r>
          </w:p>
        </w:tc>
        <w:tc>
          <w:tcPr>
            <w:tcW w:w="394" w:type="pct"/>
            <w:shd w:val="clear" w:color="auto" w:fill="FFFFFF"/>
            <w:vAlign w:val="center"/>
          </w:tcPr>
          <w:p w14:paraId="5C87775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产出数量</w:t>
            </w:r>
          </w:p>
        </w:tc>
        <w:tc>
          <w:tcPr>
            <w:tcW w:w="422" w:type="pct"/>
            <w:shd w:val="clear" w:color="auto" w:fill="FFFFFF"/>
            <w:vAlign w:val="center"/>
          </w:tcPr>
          <w:p w14:paraId="2AF39FA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实际完成率</w:t>
            </w:r>
          </w:p>
        </w:tc>
        <w:tc>
          <w:tcPr>
            <w:tcW w:w="680" w:type="pct"/>
            <w:shd w:val="clear" w:color="000000" w:fill="FFFFFF"/>
            <w:vAlign w:val="center"/>
          </w:tcPr>
          <w:p w14:paraId="1F72687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14:paraId="5B1521C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实际完成率=（实际产出数/计划产出数）×100%。</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14:paraId="03B8822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66B6241B">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r w14:paraId="479286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14:paraId="329394E5">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shd w:val="clear" w:color="auto" w:fill="FFFFFF"/>
            <w:vAlign w:val="center"/>
          </w:tcPr>
          <w:p w14:paraId="27E45E8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产出质量</w:t>
            </w:r>
          </w:p>
        </w:tc>
        <w:tc>
          <w:tcPr>
            <w:tcW w:w="422" w:type="pct"/>
            <w:shd w:val="clear" w:color="auto" w:fill="FFFFFF"/>
            <w:vAlign w:val="center"/>
          </w:tcPr>
          <w:p w14:paraId="3063E3B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质量达标率</w:t>
            </w:r>
          </w:p>
        </w:tc>
        <w:tc>
          <w:tcPr>
            <w:tcW w:w="680" w:type="pct"/>
            <w:shd w:val="clear" w:color="000000" w:fill="FFFFFF"/>
            <w:vAlign w:val="center"/>
          </w:tcPr>
          <w:p w14:paraId="17C2161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14:paraId="073814F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质量达标率=（质量达标产出数/实际产出数）×100%。</w:t>
            </w:r>
          </w:p>
          <w:p w14:paraId="6E628A2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0E01D1C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7ACAA75B">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r w14:paraId="4D6599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14:paraId="04CAB3F0">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shd w:val="clear" w:color="auto" w:fill="FFFFFF"/>
            <w:vAlign w:val="center"/>
          </w:tcPr>
          <w:p w14:paraId="76B707D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产出时效</w:t>
            </w:r>
          </w:p>
        </w:tc>
        <w:tc>
          <w:tcPr>
            <w:tcW w:w="422" w:type="pct"/>
            <w:shd w:val="clear" w:color="auto" w:fill="FFFFFF"/>
            <w:vAlign w:val="center"/>
          </w:tcPr>
          <w:p w14:paraId="09C4F12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完成及时性</w:t>
            </w:r>
          </w:p>
        </w:tc>
        <w:tc>
          <w:tcPr>
            <w:tcW w:w="680" w:type="pct"/>
            <w:shd w:val="clear" w:color="000000" w:fill="FFFFFF"/>
            <w:vAlign w:val="center"/>
          </w:tcPr>
          <w:p w14:paraId="1DA4CFA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14:paraId="590D9A6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实际完成时间：项目实施单位完成该项目实际所耗用的时间。</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计划完成时间：按照项目实施计划或相关规定完成该项目所需的时间。</w:t>
            </w:r>
          </w:p>
        </w:tc>
        <w:tc>
          <w:tcPr>
            <w:tcW w:w="512" w:type="pct"/>
            <w:shd w:val="clear" w:color="000000" w:fill="FFFFFF"/>
            <w:vAlign w:val="center"/>
          </w:tcPr>
          <w:p w14:paraId="6C5CD92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2D3A73B2">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r w14:paraId="6E6290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23579EA7">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shd w:val="clear" w:color="auto" w:fill="FFFFFF"/>
            <w:vAlign w:val="center"/>
          </w:tcPr>
          <w:p w14:paraId="6272F53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产出成本</w:t>
            </w:r>
          </w:p>
        </w:tc>
        <w:tc>
          <w:tcPr>
            <w:tcW w:w="422" w:type="pct"/>
            <w:shd w:val="clear" w:color="auto" w:fill="FFFFFF"/>
            <w:vAlign w:val="center"/>
          </w:tcPr>
          <w:p w14:paraId="138144A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成本节约率</w:t>
            </w:r>
          </w:p>
        </w:tc>
        <w:tc>
          <w:tcPr>
            <w:tcW w:w="680" w:type="pct"/>
            <w:shd w:val="clear" w:color="000000" w:fill="FFFFFF"/>
            <w:vAlign w:val="center"/>
          </w:tcPr>
          <w:p w14:paraId="03B9497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14:paraId="3DA8D93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成本节约率=[（计划成本-实际成本）/计划成本]×100%。</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计划成本：项目实施单位为完成工作目标计划安排的支出，一般以项目预算为参考。</w:t>
            </w:r>
          </w:p>
        </w:tc>
        <w:tc>
          <w:tcPr>
            <w:tcW w:w="512" w:type="pct"/>
            <w:shd w:val="clear" w:color="000000" w:fill="FFFFFF"/>
            <w:vAlign w:val="center"/>
          </w:tcPr>
          <w:p w14:paraId="20B0995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44BC4721">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r w14:paraId="46AD28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14:paraId="79E6706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效益　</w:t>
            </w:r>
          </w:p>
        </w:tc>
        <w:tc>
          <w:tcPr>
            <w:tcW w:w="394" w:type="pct"/>
            <w:vMerge w:val="restart"/>
            <w:shd w:val="clear" w:color="auto" w:fill="FFFFFF"/>
            <w:vAlign w:val="center"/>
          </w:tcPr>
          <w:p w14:paraId="05140DE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项目效益　</w:t>
            </w:r>
          </w:p>
        </w:tc>
        <w:tc>
          <w:tcPr>
            <w:tcW w:w="422" w:type="pct"/>
            <w:shd w:val="clear" w:color="auto" w:fill="FFFFFF"/>
            <w:vAlign w:val="center"/>
          </w:tcPr>
          <w:p w14:paraId="62CC3C8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实施效益</w:t>
            </w:r>
          </w:p>
        </w:tc>
        <w:tc>
          <w:tcPr>
            <w:tcW w:w="680" w:type="pct"/>
            <w:shd w:val="clear" w:color="auto" w:fill="FFFFFF"/>
            <w:vAlign w:val="center"/>
          </w:tcPr>
          <w:p w14:paraId="5605C9F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项目实施所产生的效益。</w:t>
            </w:r>
          </w:p>
        </w:tc>
        <w:tc>
          <w:tcPr>
            <w:tcW w:w="2055" w:type="pct"/>
            <w:shd w:val="clear" w:color="auto" w:fill="FFFFFF"/>
            <w:vAlign w:val="center"/>
          </w:tcPr>
          <w:p w14:paraId="17C1C95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14:paraId="2FE8E39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14:paraId="166F30EB">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r w14:paraId="3F8E1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14:paraId="6ACD0836">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7DE7880A">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62737F9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满意度</w:t>
            </w:r>
          </w:p>
        </w:tc>
        <w:tc>
          <w:tcPr>
            <w:tcW w:w="680" w:type="pct"/>
            <w:shd w:val="clear" w:color="000000" w:fill="FFFFFF"/>
            <w:vAlign w:val="center"/>
          </w:tcPr>
          <w:p w14:paraId="106D454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社会公众或服务对象对项目实施效果的满意程度。</w:t>
            </w:r>
          </w:p>
        </w:tc>
        <w:tc>
          <w:tcPr>
            <w:tcW w:w="2055" w:type="pct"/>
            <w:shd w:val="clear" w:color="000000" w:fill="FFFFFF"/>
            <w:vAlign w:val="center"/>
          </w:tcPr>
          <w:p w14:paraId="430CCC0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14:paraId="066C470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567CD069">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bl>
    <w:p w14:paraId="17982F2E">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eastAsia" w:ascii="仿宋_GB2312" w:hAnsi="仿宋_GB2312" w:eastAsia="仿宋_GB2312" w:cs="仿宋_GB2312"/>
          <w:b/>
          <w:bCs/>
          <w:i w:val="0"/>
          <w:iCs w:val="0"/>
          <w:color w:val="000000"/>
          <w:kern w:val="0"/>
          <w:sz w:val="28"/>
          <w:szCs w:val="28"/>
          <w:u w:val="none"/>
          <w:lang w:val="en-US" w:eastAsia="zh-CN" w:bidi="ar"/>
        </w:rPr>
        <w:sectPr>
          <w:pgSz w:w="16838" w:h="11906" w:orient="landscape"/>
          <w:pgMar w:top="1800" w:right="1440" w:bottom="1558" w:left="1440" w:header="851" w:footer="992" w:gutter="0"/>
          <w:cols w:space="425" w:num="1"/>
          <w:docGrid w:type="lines" w:linePitch="312" w:charSpace="0"/>
        </w:sectPr>
      </w:pPr>
    </w:p>
    <w:p w14:paraId="6D8F1B72">
      <w:pPr>
        <w:widowControl/>
        <w:spacing w:line="0" w:lineRule="atLeast"/>
        <w:jc w:val="both"/>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tbl>
      <w:tblPr>
        <w:tblStyle w:val="14"/>
        <w:tblW w:w="1396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67"/>
        <w:gridCol w:w="870"/>
        <w:gridCol w:w="869"/>
        <w:gridCol w:w="1634"/>
        <w:gridCol w:w="821"/>
        <w:gridCol w:w="720"/>
        <w:gridCol w:w="835"/>
        <w:gridCol w:w="750"/>
        <w:gridCol w:w="867"/>
        <w:gridCol w:w="1041"/>
        <w:gridCol w:w="936"/>
        <w:gridCol w:w="1600"/>
        <w:gridCol w:w="949"/>
        <w:gridCol w:w="1201"/>
      </w:tblGrid>
      <w:tr w14:paraId="16100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3960" w:type="dxa"/>
            <w:gridSpan w:val="14"/>
            <w:tcBorders>
              <w:top w:val="nil"/>
              <w:left w:val="nil"/>
              <w:bottom w:val="nil"/>
              <w:right w:val="nil"/>
            </w:tcBorders>
            <w:shd w:val="clear" w:color="auto" w:fill="auto"/>
            <w:vAlign w:val="center"/>
          </w:tcPr>
          <w:p w14:paraId="5B4FB38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7D5C2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1396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FE74B9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(2024年度)</w:t>
            </w:r>
          </w:p>
        </w:tc>
      </w:tr>
      <w:tr w14:paraId="112F5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17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E3AD2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w:t>
            </w:r>
          </w:p>
        </w:tc>
        <w:tc>
          <w:tcPr>
            <w:tcW w:w="1221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4CE391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生态环境监察项目</w:t>
            </w:r>
          </w:p>
        </w:tc>
      </w:tr>
      <w:tr w14:paraId="3DE06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17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34A08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主管部门</w:t>
            </w:r>
          </w:p>
        </w:tc>
        <w:tc>
          <w:tcPr>
            <w:tcW w:w="48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672B82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新疆维吾尔自治区生态环境厅</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80934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实施单位</w:t>
            </w:r>
          </w:p>
        </w:tc>
        <w:tc>
          <w:tcPr>
            <w:tcW w:w="573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B9029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新疆维吾尔自治区生态环境厅第一生态环境监察专员办公室</w:t>
            </w:r>
          </w:p>
        </w:tc>
      </w:tr>
      <w:tr w14:paraId="2923C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17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0EFC4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项目资金</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（万元）</w:t>
            </w: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289BDD">
            <w:pPr>
              <w:jc w:val="center"/>
              <w:rPr>
                <w:rFonts w:hint="eastAsia" w:ascii="宋体" w:hAnsi="宋体" w:eastAsia="宋体" w:cs="宋体"/>
                <w:b/>
                <w:bCs/>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A091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年初预算数</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FC46D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全年预算数</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EA732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全年执行数</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03FA9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2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E4388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执行率</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EAF9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r>
      <w:tr w14:paraId="06AB0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88A29">
            <w:pPr>
              <w:jc w:val="center"/>
              <w:rPr>
                <w:rFonts w:hint="eastAsia" w:ascii="宋体" w:hAnsi="宋体" w:eastAsia="宋体" w:cs="宋体"/>
                <w:b/>
                <w:bCs/>
                <w:i w:val="0"/>
                <w:iCs w:val="0"/>
                <w:color w:val="000000"/>
                <w:sz w:val="20"/>
                <w:szCs w:val="20"/>
                <w:u w:val="none"/>
              </w:rPr>
            </w:pP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5242C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年度资金总额</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F486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9F0DD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2978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99.99</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10DF3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2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73859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99.99%</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5807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r>
      <w:tr w14:paraId="6A6B7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70CC3">
            <w:pPr>
              <w:jc w:val="center"/>
              <w:rPr>
                <w:rFonts w:hint="eastAsia" w:ascii="宋体" w:hAnsi="宋体" w:eastAsia="宋体" w:cs="宋体"/>
                <w:b/>
                <w:bCs/>
                <w:i w:val="0"/>
                <w:iCs w:val="0"/>
                <w:color w:val="000000"/>
                <w:sz w:val="20"/>
                <w:szCs w:val="20"/>
                <w:u w:val="none"/>
              </w:rPr>
            </w:pP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30C1E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其中：当年财政拨款</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90B4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FF63E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D0743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99.99</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B921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2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46EA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01F4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49D89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4DA1B">
            <w:pPr>
              <w:jc w:val="center"/>
              <w:rPr>
                <w:rFonts w:hint="eastAsia" w:ascii="宋体" w:hAnsi="宋体" w:eastAsia="宋体" w:cs="宋体"/>
                <w:b/>
                <w:bCs/>
                <w:i w:val="0"/>
                <w:iCs w:val="0"/>
                <w:color w:val="000000"/>
                <w:sz w:val="20"/>
                <w:szCs w:val="20"/>
                <w:u w:val="none"/>
              </w:rPr>
            </w:pP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6B82F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其他资金</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E182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5F5BB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B2F05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E45C0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2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654A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03F0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697EC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95C6A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年度总体目标</w:t>
            </w:r>
          </w:p>
        </w:tc>
        <w:tc>
          <w:tcPr>
            <w:tcW w:w="57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35CD64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预期目标</w:t>
            </w:r>
          </w:p>
        </w:tc>
        <w:tc>
          <w:tcPr>
            <w:tcW w:w="73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21721B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实际完成情况</w:t>
            </w:r>
          </w:p>
        </w:tc>
      </w:tr>
      <w:tr w14:paraId="17CE2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1"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4359F">
            <w:pPr>
              <w:jc w:val="center"/>
              <w:rPr>
                <w:rFonts w:hint="eastAsia" w:ascii="宋体" w:hAnsi="宋体" w:eastAsia="宋体" w:cs="宋体"/>
                <w:b/>
                <w:bCs/>
                <w:i w:val="0"/>
                <w:iCs w:val="0"/>
                <w:color w:val="000000"/>
                <w:sz w:val="20"/>
                <w:szCs w:val="20"/>
                <w:u w:val="none"/>
              </w:rPr>
            </w:pPr>
          </w:p>
        </w:tc>
        <w:tc>
          <w:tcPr>
            <w:tcW w:w="57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0E5CAD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根据中央生态环境保护督察涉及的整改任务，按照自治区党委、人民政府及生态环境厅统一部署，开展对全疆十四个地州市区域生态环境监察工作，第一专员办2024年计划覆盖生态环境监察区域4个，一年督导检查不少于4次，形成督察检查专项报告不少于4次，报告质量通过率和区域覆盖率达到100%。通过日常监察、现场巡查等方式，督促当地生态环境保护工作持续改善。</w:t>
            </w:r>
          </w:p>
        </w:tc>
        <w:tc>
          <w:tcPr>
            <w:tcW w:w="73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ABBE8A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第一生态环境监察专员办公室开展伊犁州、克拉玛依市、博州、塔城地区生态环境保护监察工作，聚焦第二轮中央生态环境督察“回头看”，开展第二轮中央生态环境督察和自治区生态环境保护督察整改任务和自治区级生态环境保护督察和督导工作任务，着力做好涉及伊犁州、克拉玛依市、博州、塔城地区生态环境保护督察任务，不断促进辖区生态环境保护质量持续改善，覆盖生态环境监察区域4个，形成督察检查专项报告及整改情况报告各4份，监察频次4次，报告质量通过率和区域覆盖率达到100%。持续开展生态环境保护监察、督察工作，不断构建新型生态环境保护监察体系。</w:t>
            </w:r>
          </w:p>
        </w:tc>
      </w:tr>
      <w:tr w14:paraId="0E2A5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1" w:hRule="atLeast"/>
        </w:trPr>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DCB642">
            <w:pPr>
              <w:jc w:val="center"/>
              <w:rPr>
                <w:rFonts w:hint="eastAsia" w:ascii="宋体" w:hAnsi="宋体" w:eastAsia="宋体" w:cs="宋体"/>
                <w:b/>
                <w:bCs/>
                <w:i w:val="0"/>
                <w:iCs w:val="0"/>
                <w:color w:val="000000"/>
                <w:sz w:val="20"/>
                <w:szCs w:val="20"/>
                <w:u w:val="none"/>
              </w:rPr>
            </w:pP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37485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090CA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w:t>
            </w:r>
          </w:p>
        </w:tc>
        <w:tc>
          <w:tcPr>
            <w:tcW w:w="16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2DEB0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8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BCB50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权重</w:t>
            </w:r>
          </w:p>
        </w:tc>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C140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目标值</w:t>
            </w:r>
          </w:p>
        </w:tc>
        <w:tc>
          <w:tcPr>
            <w:tcW w:w="8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35EF2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业绩值</w:t>
            </w:r>
          </w:p>
        </w:tc>
        <w:tc>
          <w:tcPr>
            <w:tcW w:w="7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201EB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完成率</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59E7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指标得分</w:t>
            </w:r>
          </w:p>
        </w:tc>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2F1FB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指标值设定依据</w:t>
            </w:r>
          </w:p>
        </w:tc>
        <w:tc>
          <w:tcPr>
            <w:tcW w:w="9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304A0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上年完成情况</w:t>
            </w:r>
          </w:p>
        </w:tc>
        <w:tc>
          <w:tcPr>
            <w:tcW w:w="16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54FF9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赋分规则</w:t>
            </w:r>
          </w:p>
        </w:tc>
        <w:tc>
          <w:tcPr>
            <w:tcW w:w="9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021E6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佐证资料</w:t>
            </w:r>
          </w:p>
        </w:tc>
        <w:tc>
          <w:tcPr>
            <w:tcW w:w="12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73574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偏差原因分析及改进措施</w:t>
            </w:r>
          </w:p>
        </w:tc>
      </w:tr>
      <w:tr w14:paraId="02069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5BDA6D">
            <w:pPr>
              <w:jc w:val="center"/>
              <w:rPr>
                <w:rFonts w:hint="eastAsia" w:ascii="宋体" w:hAnsi="宋体" w:eastAsia="宋体" w:cs="宋体"/>
                <w:b/>
                <w:bCs/>
                <w:i w:val="0"/>
                <w:iCs w:val="0"/>
                <w:color w:val="000000"/>
                <w:sz w:val="20"/>
                <w:szCs w:val="20"/>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EA40D">
            <w:pPr>
              <w:jc w:val="center"/>
              <w:rPr>
                <w:rFonts w:hint="eastAsia" w:ascii="宋体" w:hAnsi="宋体" w:eastAsia="宋体" w:cs="宋体"/>
                <w:b/>
                <w:bCs/>
                <w:i w:val="0"/>
                <w:iCs w:val="0"/>
                <w:color w:val="000000"/>
                <w:sz w:val="20"/>
                <w:szCs w:val="20"/>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2D3D7">
            <w:pPr>
              <w:jc w:val="center"/>
              <w:rPr>
                <w:rFonts w:hint="eastAsia" w:ascii="宋体" w:hAnsi="宋体" w:eastAsia="宋体" w:cs="宋体"/>
                <w:b/>
                <w:bCs/>
                <w:i w:val="0"/>
                <w:iCs w:val="0"/>
                <w:color w:val="000000"/>
                <w:sz w:val="20"/>
                <w:szCs w:val="20"/>
                <w:u w:val="none"/>
              </w:rPr>
            </w:pPr>
          </w:p>
        </w:tc>
        <w:tc>
          <w:tcPr>
            <w:tcW w:w="16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395CF">
            <w:pPr>
              <w:jc w:val="center"/>
              <w:rPr>
                <w:rFonts w:hint="eastAsia" w:ascii="宋体" w:hAnsi="宋体" w:eastAsia="宋体" w:cs="宋体"/>
                <w:b/>
                <w:bCs/>
                <w:i w:val="0"/>
                <w:iCs w:val="0"/>
                <w:color w:val="000000"/>
                <w:sz w:val="20"/>
                <w:szCs w:val="20"/>
                <w:u w:val="none"/>
              </w:rPr>
            </w:pPr>
          </w:p>
        </w:tc>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3560F0">
            <w:pPr>
              <w:jc w:val="center"/>
              <w:rPr>
                <w:rFonts w:hint="eastAsia" w:ascii="宋体" w:hAnsi="宋体" w:eastAsia="宋体" w:cs="宋体"/>
                <w:b/>
                <w:bCs/>
                <w:i w:val="0"/>
                <w:iCs w:val="0"/>
                <w:color w:val="000000"/>
                <w:sz w:val="20"/>
                <w:szCs w:val="20"/>
                <w:u w:val="none"/>
              </w:rPr>
            </w:pP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2237AC">
            <w:pPr>
              <w:jc w:val="center"/>
              <w:rPr>
                <w:rFonts w:hint="eastAsia" w:ascii="宋体" w:hAnsi="宋体" w:eastAsia="宋体" w:cs="宋体"/>
                <w:b/>
                <w:bCs/>
                <w:i w:val="0"/>
                <w:iCs w:val="0"/>
                <w:color w:val="000000"/>
                <w:sz w:val="20"/>
                <w:szCs w:val="20"/>
                <w:u w:val="none"/>
              </w:rPr>
            </w:pPr>
          </w:p>
        </w:tc>
        <w:tc>
          <w:tcPr>
            <w:tcW w:w="8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94F94">
            <w:pPr>
              <w:jc w:val="center"/>
              <w:rPr>
                <w:rFonts w:hint="eastAsia" w:ascii="宋体" w:hAnsi="宋体" w:eastAsia="宋体" w:cs="宋体"/>
                <w:b/>
                <w:bCs/>
                <w:i w:val="0"/>
                <w:iCs w:val="0"/>
                <w:color w:val="000000"/>
                <w:sz w:val="20"/>
                <w:szCs w:val="20"/>
                <w:u w:val="none"/>
              </w:rPr>
            </w:pPr>
          </w:p>
        </w:tc>
        <w:tc>
          <w:tcPr>
            <w:tcW w:w="7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973397">
            <w:pPr>
              <w:jc w:val="center"/>
              <w:rPr>
                <w:rFonts w:hint="eastAsia" w:ascii="宋体" w:hAnsi="宋体" w:eastAsia="宋体" w:cs="宋体"/>
                <w:b/>
                <w:bCs/>
                <w:i w:val="0"/>
                <w:iCs w:val="0"/>
                <w:color w:val="000000"/>
                <w:sz w:val="20"/>
                <w:szCs w:val="20"/>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BF32E4">
            <w:pPr>
              <w:jc w:val="center"/>
              <w:rPr>
                <w:rFonts w:hint="eastAsia" w:ascii="宋体" w:hAnsi="宋体" w:eastAsia="宋体" w:cs="宋体"/>
                <w:b/>
                <w:bCs/>
                <w:i w:val="0"/>
                <w:iCs w:val="0"/>
                <w:color w:val="000000"/>
                <w:sz w:val="20"/>
                <w:szCs w:val="20"/>
                <w:u w:val="none"/>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6F3B6">
            <w:pPr>
              <w:jc w:val="center"/>
              <w:rPr>
                <w:rFonts w:hint="eastAsia" w:ascii="宋体" w:hAnsi="宋体" w:eastAsia="宋体" w:cs="宋体"/>
                <w:b/>
                <w:bCs/>
                <w:i w:val="0"/>
                <w:iCs w:val="0"/>
                <w:color w:val="000000"/>
                <w:sz w:val="20"/>
                <w:szCs w:val="20"/>
                <w:u w:val="none"/>
              </w:rPr>
            </w:pPr>
          </w:p>
        </w:tc>
        <w:tc>
          <w:tcPr>
            <w:tcW w:w="9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8FFF4">
            <w:pPr>
              <w:jc w:val="center"/>
              <w:rPr>
                <w:rFonts w:hint="eastAsia" w:ascii="宋体" w:hAnsi="宋体" w:eastAsia="宋体" w:cs="宋体"/>
                <w:b/>
                <w:bCs/>
                <w:i w:val="0"/>
                <w:iCs w:val="0"/>
                <w:color w:val="000000"/>
                <w:sz w:val="20"/>
                <w:szCs w:val="20"/>
                <w:u w:val="none"/>
              </w:rPr>
            </w:pPr>
          </w:p>
        </w:tc>
        <w:tc>
          <w:tcPr>
            <w:tcW w:w="16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CDA34">
            <w:pPr>
              <w:jc w:val="center"/>
              <w:rPr>
                <w:rFonts w:hint="eastAsia" w:ascii="宋体" w:hAnsi="宋体" w:eastAsia="宋体" w:cs="宋体"/>
                <w:b/>
                <w:bCs/>
                <w:i w:val="0"/>
                <w:iCs w:val="0"/>
                <w:color w:val="000000"/>
                <w:sz w:val="20"/>
                <w:szCs w:val="20"/>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D4ED0">
            <w:pPr>
              <w:jc w:val="center"/>
              <w:rPr>
                <w:rFonts w:hint="eastAsia" w:ascii="宋体" w:hAnsi="宋体" w:eastAsia="宋体" w:cs="宋体"/>
                <w:b/>
                <w:bCs/>
                <w:i w:val="0"/>
                <w:iCs w:val="0"/>
                <w:color w:val="000000"/>
                <w:sz w:val="20"/>
                <w:szCs w:val="20"/>
                <w:u w:val="none"/>
              </w:rPr>
            </w:pPr>
          </w:p>
        </w:tc>
        <w:tc>
          <w:tcPr>
            <w:tcW w:w="12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58548E">
            <w:pPr>
              <w:jc w:val="center"/>
              <w:rPr>
                <w:rFonts w:hint="eastAsia" w:ascii="宋体" w:hAnsi="宋体" w:eastAsia="宋体" w:cs="宋体"/>
                <w:b/>
                <w:bCs/>
                <w:i w:val="0"/>
                <w:iCs w:val="0"/>
                <w:color w:val="000000"/>
                <w:sz w:val="20"/>
                <w:szCs w:val="20"/>
                <w:u w:val="none"/>
              </w:rPr>
            </w:pPr>
          </w:p>
        </w:tc>
      </w:tr>
      <w:tr w14:paraId="4F0A0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A2457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年度绩效指标完成情况</w:t>
            </w: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9937F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产出指标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B6C0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B16A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监察频次</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5F14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1469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&gt;=4次</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DFE9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=4次</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D520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C63C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CEF4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E89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52F6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C1AE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336EB">
            <w:pPr>
              <w:jc w:val="center"/>
              <w:rPr>
                <w:rFonts w:hint="eastAsia" w:ascii="宋体" w:hAnsi="宋体" w:eastAsia="宋体" w:cs="宋体"/>
                <w:b/>
                <w:bCs/>
                <w:i w:val="0"/>
                <w:iCs w:val="0"/>
                <w:color w:val="000000"/>
                <w:sz w:val="20"/>
                <w:szCs w:val="20"/>
                <w:u w:val="none"/>
              </w:rPr>
            </w:pPr>
          </w:p>
        </w:tc>
      </w:tr>
      <w:tr w14:paraId="35798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E1F0C">
            <w:pPr>
              <w:jc w:val="center"/>
              <w:rPr>
                <w:rFonts w:hint="eastAsia" w:ascii="宋体" w:hAnsi="宋体" w:eastAsia="宋体" w:cs="宋体"/>
                <w:b/>
                <w:bCs/>
                <w:i w:val="0"/>
                <w:iCs w:val="0"/>
                <w:color w:val="000000"/>
                <w:sz w:val="20"/>
                <w:szCs w:val="20"/>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BEE2E">
            <w:pPr>
              <w:jc w:val="center"/>
              <w:rPr>
                <w:rFonts w:hint="eastAsia" w:ascii="宋体" w:hAnsi="宋体" w:eastAsia="宋体" w:cs="宋体"/>
                <w:b/>
                <w:bCs/>
                <w:i w:val="0"/>
                <w:iCs w:val="0"/>
                <w:color w:val="000000"/>
                <w:sz w:val="20"/>
                <w:szCs w:val="20"/>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99DD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8ADC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完成监察报告数量</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7A42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F895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&gt;=4个</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05EF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=4个</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850F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49F1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F09B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1830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4个</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6C5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3899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D2B3F">
            <w:pPr>
              <w:jc w:val="center"/>
              <w:rPr>
                <w:rFonts w:hint="eastAsia" w:ascii="宋体" w:hAnsi="宋体" w:eastAsia="宋体" w:cs="宋体"/>
                <w:b/>
                <w:bCs/>
                <w:i w:val="0"/>
                <w:iCs w:val="0"/>
                <w:color w:val="000000"/>
                <w:sz w:val="20"/>
                <w:szCs w:val="20"/>
                <w:u w:val="none"/>
              </w:rPr>
            </w:pPr>
          </w:p>
        </w:tc>
      </w:tr>
      <w:tr w14:paraId="087E2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4D8BC">
            <w:pPr>
              <w:jc w:val="center"/>
              <w:rPr>
                <w:rFonts w:hint="eastAsia" w:ascii="宋体" w:hAnsi="宋体" w:eastAsia="宋体" w:cs="宋体"/>
                <w:b/>
                <w:bCs/>
                <w:i w:val="0"/>
                <w:iCs w:val="0"/>
                <w:color w:val="000000"/>
                <w:sz w:val="20"/>
                <w:szCs w:val="20"/>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EA1CF">
            <w:pPr>
              <w:jc w:val="center"/>
              <w:rPr>
                <w:rFonts w:hint="eastAsia" w:ascii="宋体" w:hAnsi="宋体" w:eastAsia="宋体" w:cs="宋体"/>
                <w:b/>
                <w:bCs/>
                <w:i w:val="0"/>
                <w:iCs w:val="0"/>
                <w:color w:val="000000"/>
                <w:sz w:val="20"/>
                <w:szCs w:val="20"/>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10F7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质量指标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5569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抽检覆盖率</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212A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1DAA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9D29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B046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4F0E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4B90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88C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A13B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C1DD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F21CF">
            <w:pPr>
              <w:jc w:val="center"/>
              <w:rPr>
                <w:rFonts w:hint="eastAsia" w:ascii="宋体" w:hAnsi="宋体" w:eastAsia="宋体" w:cs="宋体"/>
                <w:b/>
                <w:bCs/>
                <w:i w:val="0"/>
                <w:iCs w:val="0"/>
                <w:color w:val="000000"/>
                <w:sz w:val="20"/>
                <w:szCs w:val="20"/>
                <w:u w:val="none"/>
              </w:rPr>
            </w:pPr>
          </w:p>
        </w:tc>
      </w:tr>
      <w:tr w14:paraId="34A7A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BDB92">
            <w:pPr>
              <w:jc w:val="center"/>
              <w:rPr>
                <w:rFonts w:hint="eastAsia" w:ascii="宋体" w:hAnsi="宋体" w:eastAsia="宋体" w:cs="宋体"/>
                <w:b/>
                <w:bCs/>
                <w:i w:val="0"/>
                <w:iCs w:val="0"/>
                <w:color w:val="000000"/>
                <w:sz w:val="20"/>
                <w:szCs w:val="20"/>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60488">
            <w:pPr>
              <w:jc w:val="center"/>
              <w:rPr>
                <w:rFonts w:hint="eastAsia" w:ascii="宋体" w:hAnsi="宋体" w:eastAsia="宋体" w:cs="宋体"/>
                <w:b/>
                <w:bCs/>
                <w:i w:val="0"/>
                <w:iCs w:val="0"/>
                <w:color w:val="000000"/>
                <w:sz w:val="20"/>
                <w:szCs w:val="20"/>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ED09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时效指标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6F40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年度监察任务按时完成率</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FEA8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0526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49E6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1F1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865B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34E8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7DB2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BD3F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9C45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ADCA5">
            <w:pPr>
              <w:jc w:val="center"/>
              <w:rPr>
                <w:rFonts w:hint="eastAsia" w:ascii="宋体" w:hAnsi="宋体" w:eastAsia="宋体" w:cs="宋体"/>
                <w:b/>
                <w:bCs/>
                <w:i w:val="0"/>
                <w:iCs w:val="0"/>
                <w:color w:val="000000"/>
                <w:sz w:val="20"/>
                <w:szCs w:val="20"/>
                <w:u w:val="none"/>
              </w:rPr>
            </w:pPr>
          </w:p>
        </w:tc>
      </w:tr>
      <w:tr w14:paraId="246BF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4"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3D37C">
            <w:pPr>
              <w:jc w:val="center"/>
              <w:rPr>
                <w:rFonts w:hint="eastAsia" w:ascii="宋体" w:hAnsi="宋体" w:eastAsia="宋体" w:cs="宋体"/>
                <w:b/>
                <w:bCs/>
                <w:i w:val="0"/>
                <w:iCs w:val="0"/>
                <w:color w:val="000000"/>
                <w:sz w:val="20"/>
                <w:szCs w:val="20"/>
                <w:u w:val="none"/>
              </w:rPr>
            </w:pP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333DD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效益指标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CD3D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社会效益指标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2413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监察结果反馈率</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1FDF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31D2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A07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91ED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C029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E26A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127E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C4D5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604C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ED396">
            <w:pPr>
              <w:jc w:val="center"/>
              <w:rPr>
                <w:rFonts w:hint="eastAsia" w:ascii="宋体" w:hAnsi="宋体" w:eastAsia="宋体" w:cs="宋体"/>
                <w:b/>
                <w:bCs/>
                <w:i w:val="0"/>
                <w:iCs w:val="0"/>
                <w:color w:val="000000"/>
                <w:sz w:val="20"/>
                <w:szCs w:val="20"/>
                <w:u w:val="none"/>
              </w:rPr>
            </w:pPr>
          </w:p>
        </w:tc>
      </w:tr>
      <w:tr w14:paraId="6DF98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16B60">
            <w:pPr>
              <w:jc w:val="center"/>
              <w:rPr>
                <w:rFonts w:hint="eastAsia" w:ascii="宋体" w:hAnsi="宋体" w:eastAsia="宋体" w:cs="宋体"/>
                <w:b/>
                <w:bCs/>
                <w:i w:val="0"/>
                <w:iCs w:val="0"/>
                <w:color w:val="000000"/>
                <w:sz w:val="20"/>
                <w:szCs w:val="20"/>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E21F25">
            <w:pPr>
              <w:jc w:val="center"/>
              <w:rPr>
                <w:rFonts w:hint="eastAsia" w:ascii="宋体" w:hAnsi="宋体" w:eastAsia="宋体" w:cs="宋体"/>
                <w:b/>
                <w:bCs/>
                <w:i w:val="0"/>
                <w:iCs w:val="0"/>
                <w:color w:val="000000"/>
                <w:sz w:val="20"/>
                <w:szCs w:val="20"/>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F679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社会效益指标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1751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问题跟踪督办率</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435D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012D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CCEB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1C29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9ADA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C326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286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A5E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E83D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81C06">
            <w:pPr>
              <w:jc w:val="center"/>
              <w:rPr>
                <w:rFonts w:hint="eastAsia" w:ascii="宋体" w:hAnsi="宋体" w:eastAsia="宋体" w:cs="宋体"/>
                <w:b/>
                <w:bCs/>
                <w:i w:val="0"/>
                <w:iCs w:val="0"/>
                <w:color w:val="000000"/>
                <w:sz w:val="20"/>
                <w:szCs w:val="20"/>
                <w:u w:val="none"/>
              </w:rPr>
            </w:pPr>
          </w:p>
        </w:tc>
      </w:tr>
      <w:tr w14:paraId="0032A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8B36A">
            <w:pPr>
              <w:jc w:val="center"/>
              <w:rPr>
                <w:rFonts w:hint="eastAsia" w:ascii="宋体" w:hAnsi="宋体" w:eastAsia="宋体" w:cs="宋体"/>
                <w:b/>
                <w:bCs/>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9804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满意度指标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12F0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满意度指标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9C3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监察人员被诉讼次数</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57EF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E65F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&lt;=2次</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7158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=0次</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BD71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A27C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DDB2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F7B1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80E3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满意度赋分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D65F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846CE">
            <w:pPr>
              <w:jc w:val="center"/>
              <w:rPr>
                <w:rFonts w:hint="eastAsia" w:ascii="宋体" w:hAnsi="宋体" w:eastAsia="宋体" w:cs="宋体"/>
                <w:b/>
                <w:bCs/>
                <w:i w:val="0"/>
                <w:iCs w:val="0"/>
                <w:color w:val="000000"/>
                <w:sz w:val="20"/>
                <w:szCs w:val="20"/>
                <w:u w:val="none"/>
              </w:rPr>
            </w:pPr>
          </w:p>
        </w:tc>
      </w:tr>
      <w:tr w14:paraId="1C5E3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trPr>
        <w:tc>
          <w:tcPr>
            <w:tcW w:w="4250" w:type="dxa"/>
            <w:gridSpan w:val="4"/>
            <w:tcBorders>
              <w:top w:val="single" w:color="000000" w:sz="4" w:space="0"/>
              <w:left w:val="single" w:color="000000" w:sz="4" w:space="0"/>
              <w:bottom w:val="single" w:color="000000" w:sz="4" w:space="0"/>
              <w:right w:val="nil"/>
            </w:tcBorders>
            <w:shd w:val="clear" w:color="auto" w:fill="auto"/>
            <w:vAlign w:val="center"/>
          </w:tcPr>
          <w:p w14:paraId="3D90F2D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F034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715" w:type="dxa"/>
            <w:tcBorders>
              <w:top w:val="single" w:color="000000" w:sz="4" w:space="0"/>
              <w:left w:val="nil"/>
              <w:bottom w:val="single" w:color="000000" w:sz="4" w:space="0"/>
              <w:right w:val="single" w:color="000000" w:sz="4" w:space="0"/>
            </w:tcBorders>
            <w:shd w:val="clear" w:color="auto" w:fill="auto"/>
            <w:vAlign w:val="center"/>
          </w:tcPr>
          <w:p w14:paraId="2D1C75B8">
            <w:pPr>
              <w:rPr>
                <w:rFonts w:hint="eastAsia" w:ascii="宋体" w:hAnsi="宋体" w:eastAsia="宋体" w:cs="宋体"/>
                <w:b/>
                <w:bCs/>
                <w:i w:val="0"/>
                <w:iCs w:val="0"/>
                <w:color w:val="000000"/>
                <w:sz w:val="20"/>
                <w:szCs w:val="20"/>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51AF9">
            <w:pPr>
              <w:jc w:val="center"/>
              <w:rPr>
                <w:rFonts w:hint="eastAsia" w:ascii="宋体" w:hAnsi="宋体" w:eastAsia="宋体" w:cs="宋体"/>
                <w:b/>
                <w:bCs/>
                <w:i w:val="0"/>
                <w:iCs w:val="0"/>
                <w:color w:val="000000"/>
                <w:sz w:val="20"/>
                <w:szCs w:val="20"/>
                <w:u w:val="none"/>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9625F">
            <w:pPr>
              <w:jc w:val="center"/>
              <w:rPr>
                <w:rFonts w:hint="eastAsia" w:ascii="宋体" w:hAnsi="宋体" w:eastAsia="宋体" w:cs="宋体"/>
                <w:b/>
                <w:bCs/>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1B31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100.00分</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598BE">
            <w:pPr>
              <w:rPr>
                <w:rFonts w:hint="eastAsia" w:ascii="宋体" w:hAnsi="宋体" w:eastAsia="宋体" w:cs="宋体"/>
                <w:b/>
                <w:bCs/>
                <w:i w:val="0"/>
                <w:iCs w:val="0"/>
                <w:color w:val="000000"/>
                <w:sz w:val="20"/>
                <w:szCs w:val="20"/>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6A0E4">
            <w:pPr>
              <w:rPr>
                <w:rFonts w:hint="eastAsia" w:ascii="宋体" w:hAnsi="宋体" w:eastAsia="宋体" w:cs="宋体"/>
                <w:b/>
                <w:bCs/>
                <w:i w:val="0"/>
                <w:iCs w:val="0"/>
                <w:color w:val="000000"/>
                <w:sz w:val="20"/>
                <w:szCs w:val="20"/>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1DB26">
            <w:pPr>
              <w:rPr>
                <w:rFonts w:hint="eastAsia" w:ascii="宋体" w:hAnsi="宋体" w:eastAsia="宋体" w:cs="宋体"/>
                <w:b/>
                <w:bCs/>
                <w:i w:val="0"/>
                <w:iCs w:val="0"/>
                <w:color w:val="000000"/>
                <w:sz w:val="20"/>
                <w:szCs w:val="20"/>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ECEBA">
            <w:pPr>
              <w:rPr>
                <w:rFonts w:hint="eastAsia" w:ascii="宋体" w:hAnsi="宋体" w:eastAsia="宋体" w:cs="宋体"/>
                <w:b/>
                <w:bCs/>
                <w:i w:val="0"/>
                <w:iCs w:val="0"/>
                <w:color w:val="000000"/>
                <w:sz w:val="20"/>
                <w:szCs w:val="20"/>
                <w:u w:val="none"/>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D26DA">
            <w:pPr>
              <w:rPr>
                <w:rFonts w:hint="eastAsia" w:ascii="宋体" w:hAnsi="宋体" w:eastAsia="宋体" w:cs="宋体"/>
                <w:b/>
                <w:bCs/>
                <w:i w:val="0"/>
                <w:iCs w:val="0"/>
                <w:color w:val="000000"/>
                <w:sz w:val="20"/>
                <w:szCs w:val="20"/>
                <w:u w:val="none"/>
              </w:rPr>
            </w:pPr>
          </w:p>
        </w:tc>
      </w:tr>
    </w:tbl>
    <w:p w14:paraId="7FB630D8">
      <w:pPr>
        <w:pStyle w:val="2"/>
        <w:rPr>
          <w:rFonts w:hint="eastAsia"/>
          <w:lang w:eastAsia="zh-C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E9D485D">
        <w:pPr>
          <w:pStyle w:val="8"/>
          <w:jc w:val="center"/>
        </w:pPr>
        <w:r>
          <w:fldChar w:fldCharType="begin"/>
        </w:r>
        <w:r>
          <w:instrText xml:space="preserve">PAGE   \* MERGEFORMAT</w:instrText>
        </w:r>
        <w:r>
          <w:fldChar w:fldCharType="separate"/>
        </w:r>
        <w:r>
          <w:rPr>
            <w:lang w:val="zh-CN"/>
          </w:rPr>
          <w:t>13</w:t>
        </w:r>
        <w:r>
          <w:fldChar w:fldCharType="end"/>
        </w:r>
      </w:p>
    </w:sdtContent>
  </w:sdt>
  <w:p w14:paraId="049FE444">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046CA0"/>
    <w:rsid w:val="003F5F2A"/>
    <w:rsid w:val="00423C6D"/>
    <w:rsid w:val="00614E57"/>
    <w:rsid w:val="006360BD"/>
    <w:rsid w:val="006F7242"/>
    <w:rsid w:val="007007DA"/>
    <w:rsid w:val="007B168A"/>
    <w:rsid w:val="008B2CFE"/>
    <w:rsid w:val="00BC57CD"/>
    <w:rsid w:val="00F26FF6"/>
    <w:rsid w:val="01261A8C"/>
    <w:rsid w:val="01610122"/>
    <w:rsid w:val="0176597C"/>
    <w:rsid w:val="01C26E13"/>
    <w:rsid w:val="01DA7A36"/>
    <w:rsid w:val="02057C2F"/>
    <w:rsid w:val="0213141D"/>
    <w:rsid w:val="02510197"/>
    <w:rsid w:val="02613E2E"/>
    <w:rsid w:val="026223A4"/>
    <w:rsid w:val="02EB4148"/>
    <w:rsid w:val="03196AE0"/>
    <w:rsid w:val="03802AE2"/>
    <w:rsid w:val="03A013D6"/>
    <w:rsid w:val="03EC461B"/>
    <w:rsid w:val="03FD2384"/>
    <w:rsid w:val="0494447E"/>
    <w:rsid w:val="049A4077"/>
    <w:rsid w:val="054B5371"/>
    <w:rsid w:val="056A1389"/>
    <w:rsid w:val="06023C82"/>
    <w:rsid w:val="069A65B0"/>
    <w:rsid w:val="06B64A6C"/>
    <w:rsid w:val="06C673A5"/>
    <w:rsid w:val="06EB4B98"/>
    <w:rsid w:val="07397B77"/>
    <w:rsid w:val="07762EA7"/>
    <w:rsid w:val="07E2535C"/>
    <w:rsid w:val="08A811EA"/>
    <w:rsid w:val="08BD20E2"/>
    <w:rsid w:val="08C73411"/>
    <w:rsid w:val="08E056F9"/>
    <w:rsid w:val="090B72F2"/>
    <w:rsid w:val="09664528"/>
    <w:rsid w:val="0A2F5262"/>
    <w:rsid w:val="0A7A4830"/>
    <w:rsid w:val="0A913826"/>
    <w:rsid w:val="0AA73886"/>
    <w:rsid w:val="0AD007F3"/>
    <w:rsid w:val="0B8D0492"/>
    <w:rsid w:val="0BA46B52"/>
    <w:rsid w:val="0C457C25"/>
    <w:rsid w:val="0CD619C5"/>
    <w:rsid w:val="0CFC034B"/>
    <w:rsid w:val="0D570D57"/>
    <w:rsid w:val="0D5C11BA"/>
    <w:rsid w:val="0DA47D15"/>
    <w:rsid w:val="0DE16873"/>
    <w:rsid w:val="0E3C619F"/>
    <w:rsid w:val="0E8F2773"/>
    <w:rsid w:val="0EA31D7A"/>
    <w:rsid w:val="0ECA0DBE"/>
    <w:rsid w:val="0ED349D0"/>
    <w:rsid w:val="0EEF29F9"/>
    <w:rsid w:val="0F887F30"/>
    <w:rsid w:val="0FC87CEA"/>
    <w:rsid w:val="0FD0231D"/>
    <w:rsid w:val="0FF52AA9"/>
    <w:rsid w:val="10196798"/>
    <w:rsid w:val="104E3A64"/>
    <w:rsid w:val="10701822"/>
    <w:rsid w:val="10D66437"/>
    <w:rsid w:val="10EF59FB"/>
    <w:rsid w:val="110765F0"/>
    <w:rsid w:val="110C00AB"/>
    <w:rsid w:val="11170296"/>
    <w:rsid w:val="11384414"/>
    <w:rsid w:val="114E421F"/>
    <w:rsid w:val="117479FE"/>
    <w:rsid w:val="11760389"/>
    <w:rsid w:val="118C4D48"/>
    <w:rsid w:val="11AB54C3"/>
    <w:rsid w:val="11F823DD"/>
    <w:rsid w:val="12326E23"/>
    <w:rsid w:val="12503FC7"/>
    <w:rsid w:val="1293171B"/>
    <w:rsid w:val="12A34203"/>
    <w:rsid w:val="1319260B"/>
    <w:rsid w:val="131F4B6D"/>
    <w:rsid w:val="13471461"/>
    <w:rsid w:val="13B90F01"/>
    <w:rsid w:val="140E5EE8"/>
    <w:rsid w:val="14B22D17"/>
    <w:rsid w:val="155E4C4D"/>
    <w:rsid w:val="16380D23"/>
    <w:rsid w:val="163934E9"/>
    <w:rsid w:val="165F4CB9"/>
    <w:rsid w:val="166748E1"/>
    <w:rsid w:val="16BC7E7D"/>
    <w:rsid w:val="171323D2"/>
    <w:rsid w:val="17462648"/>
    <w:rsid w:val="176A1687"/>
    <w:rsid w:val="17966920"/>
    <w:rsid w:val="179761F4"/>
    <w:rsid w:val="181066D2"/>
    <w:rsid w:val="186F340C"/>
    <w:rsid w:val="188B5D59"/>
    <w:rsid w:val="196C13D6"/>
    <w:rsid w:val="1A27385F"/>
    <w:rsid w:val="1A3836A2"/>
    <w:rsid w:val="1AC47300"/>
    <w:rsid w:val="1ADD03C2"/>
    <w:rsid w:val="1AE9320B"/>
    <w:rsid w:val="1AF916A0"/>
    <w:rsid w:val="1B1C0EEA"/>
    <w:rsid w:val="1B793281"/>
    <w:rsid w:val="1BA20DA5"/>
    <w:rsid w:val="1BC83448"/>
    <w:rsid w:val="1C2D7B76"/>
    <w:rsid w:val="1C393D1E"/>
    <w:rsid w:val="1C671E73"/>
    <w:rsid w:val="1CE92F45"/>
    <w:rsid w:val="1D1125A5"/>
    <w:rsid w:val="1D1A76AB"/>
    <w:rsid w:val="1D322C47"/>
    <w:rsid w:val="1D724FC4"/>
    <w:rsid w:val="1D7D6213"/>
    <w:rsid w:val="1DA014D5"/>
    <w:rsid w:val="1DBC5E2F"/>
    <w:rsid w:val="1DF24184"/>
    <w:rsid w:val="1DF4614E"/>
    <w:rsid w:val="1E0C793C"/>
    <w:rsid w:val="1F443106"/>
    <w:rsid w:val="1F9C1D8C"/>
    <w:rsid w:val="1F9E7C38"/>
    <w:rsid w:val="1FD44489"/>
    <w:rsid w:val="1FDC50EC"/>
    <w:rsid w:val="1FFD26A7"/>
    <w:rsid w:val="201C6E50"/>
    <w:rsid w:val="20893DC7"/>
    <w:rsid w:val="208E4638"/>
    <w:rsid w:val="210B5C89"/>
    <w:rsid w:val="21651998"/>
    <w:rsid w:val="219519F6"/>
    <w:rsid w:val="22347461"/>
    <w:rsid w:val="225673A4"/>
    <w:rsid w:val="231D1CA3"/>
    <w:rsid w:val="23603C94"/>
    <w:rsid w:val="23616034"/>
    <w:rsid w:val="237F64BA"/>
    <w:rsid w:val="238B30B1"/>
    <w:rsid w:val="23D26F32"/>
    <w:rsid w:val="2409047A"/>
    <w:rsid w:val="242233A1"/>
    <w:rsid w:val="24480FA2"/>
    <w:rsid w:val="247E6772"/>
    <w:rsid w:val="249059E1"/>
    <w:rsid w:val="24E231A5"/>
    <w:rsid w:val="24EF58C2"/>
    <w:rsid w:val="251946ED"/>
    <w:rsid w:val="25227A45"/>
    <w:rsid w:val="255B6AB3"/>
    <w:rsid w:val="256E7F3B"/>
    <w:rsid w:val="25EC766F"/>
    <w:rsid w:val="26AC3A6A"/>
    <w:rsid w:val="27722657"/>
    <w:rsid w:val="280671AA"/>
    <w:rsid w:val="281178FD"/>
    <w:rsid w:val="28386671"/>
    <w:rsid w:val="28662918"/>
    <w:rsid w:val="28724840"/>
    <w:rsid w:val="28AB7D51"/>
    <w:rsid w:val="28B74948"/>
    <w:rsid w:val="291807B8"/>
    <w:rsid w:val="29C9048F"/>
    <w:rsid w:val="2A1C2CB5"/>
    <w:rsid w:val="2A5E151F"/>
    <w:rsid w:val="2A936E6A"/>
    <w:rsid w:val="2AA2341D"/>
    <w:rsid w:val="2B0B2D29"/>
    <w:rsid w:val="2B606BD1"/>
    <w:rsid w:val="2B660AC0"/>
    <w:rsid w:val="2B9D7E25"/>
    <w:rsid w:val="2BAE4BB8"/>
    <w:rsid w:val="2BE772F2"/>
    <w:rsid w:val="2C0E487F"/>
    <w:rsid w:val="2C2048AF"/>
    <w:rsid w:val="2C7C7A3B"/>
    <w:rsid w:val="2C8A732B"/>
    <w:rsid w:val="2CEC4736"/>
    <w:rsid w:val="2D6F2C11"/>
    <w:rsid w:val="2E8779E7"/>
    <w:rsid w:val="2EB627B4"/>
    <w:rsid w:val="2EBA2A9C"/>
    <w:rsid w:val="2ED973C6"/>
    <w:rsid w:val="2EFC0D68"/>
    <w:rsid w:val="2F364819"/>
    <w:rsid w:val="2F6D5D61"/>
    <w:rsid w:val="2F807842"/>
    <w:rsid w:val="2FC026AB"/>
    <w:rsid w:val="2FD63906"/>
    <w:rsid w:val="304F7153"/>
    <w:rsid w:val="30937A49"/>
    <w:rsid w:val="31104BF6"/>
    <w:rsid w:val="3115220C"/>
    <w:rsid w:val="312A215B"/>
    <w:rsid w:val="312E32CE"/>
    <w:rsid w:val="320C1E16"/>
    <w:rsid w:val="32C72628"/>
    <w:rsid w:val="338C600D"/>
    <w:rsid w:val="33AB10CB"/>
    <w:rsid w:val="33B757FC"/>
    <w:rsid w:val="34767713"/>
    <w:rsid w:val="34A044E2"/>
    <w:rsid w:val="351D5B33"/>
    <w:rsid w:val="352407BE"/>
    <w:rsid w:val="35327D21"/>
    <w:rsid w:val="35621829"/>
    <w:rsid w:val="358F4C83"/>
    <w:rsid w:val="35CD5C70"/>
    <w:rsid w:val="3680281D"/>
    <w:rsid w:val="36DD557A"/>
    <w:rsid w:val="36FE4597"/>
    <w:rsid w:val="37215DAE"/>
    <w:rsid w:val="3724764D"/>
    <w:rsid w:val="372C36A5"/>
    <w:rsid w:val="378E2D18"/>
    <w:rsid w:val="379320DC"/>
    <w:rsid w:val="37AE42C5"/>
    <w:rsid w:val="37D85830"/>
    <w:rsid w:val="386E4498"/>
    <w:rsid w:val="38CA40DD"/>
    <w:rsid w:val="38F31085"/>
    <w:rsid w:val="395F2B56"/>
    <w:rsid w:val="39B03E93"/>
    <w:rsid w:val="3A345DF9"/>
    <w:rsid w:val="3A3E27D3"/>
    <w:rsid w:val="3A3E6C77"/>
    <w:rsid w:val="3AA14A06"/>
    <w:rsid w:val="3AA30888"/>
    <w:rsid w:val="3ABD5DEE"/>
    <w:rsid w:val="3AFB2473"/>
    <w:rsid w:val="3B376514"/>
    <w:rsid w:val="3B871F58"/>
    <w:rsid w:val="3BBA0580"/>
    <w:rsid w:val="3BC136BC"/>
    <w:rsid w:val="3BC52F70"/>
    <w:rsid w:val="3BCB0097"/>
    <w:rsid w:val="3BD258C9"/>
    <w:rsid w:val="3BECE841"/>
    <w:rsid w:val="3C095063"/>
    <w:rsid w:val="3C1B290E"/>
    <w:rsid w:val="3C291261"/>
    <w:rsid w:val="3C34554B"/>
    <w:rsid w:val="3C7A1ABD"/>
    <w:rsid w:val="3CDE204C"/>
    <w:rsid w:val="3D350701"/>
    <w:rsid w:val="3D363C36"/>
    <w:rsid w:val="3D516EDE"/>
    <w:rsid w:val="3D5D04CE"/>
    <w:rsid w:val="3D840E45"/>
    <w:rsid w:val="3DAE7C70"/>
    <w:rsid w:val="3DBE0523"/>
    <w:rsid w:val="3DBF38A8"/>
    <w:rsid w:val="3DD31485"/>
    <w:rsid w:val="3DF04B24"/>
    <w:rsid w:val="3E3C27D0"/>
    <w:rsid w:val="3E5E027A"/>
    <w:rsid w:val="3E8B3C26"/>
    <w:rsid w:val="3E9230EE"/>
    <w:rsid w:val="3E94330A"/>
    <w:rsid w:val="3E9C3F6D"/>
    <w:rsid w:val="3EED2A1A"/>
    <w:rsid w:val="3F205AEF"/>
    <w:rsid w:val="3F890E75"/>
    <w:rsid w:val="3FA255B3"/>
    <w:rsid w:val="3FA550A3"/>
    <w:rsid w:val="3FBC79CC"/>
    <w:rsid w:val="3FDB1BC7"/>
    <w:rsid w:val="3FF7797D"/>
    <w:rsid w:val="4010076E"/>
    <w:rsid w:val="40742CC1"/>
    <w:rsid w:val="40827192"/>
    <w:rsid w:val="40BF3F42"/>
    <w:rsid w:val="40FB01BB"/>
    <w:rsid w:val="420C1409"/>
    <w:rsid w:val="42355B13"/>
    <w:rsid w:val="425828A0"/>
    <w:rsid w:val="425C5EED"/>
    <w:rsid w:val="42612F66"/>
    <w:rsid w:val="426D23D8"/>
    <w:rsid w:val="42E70741"/>
    <w:rsid w:val="43291B47"/>
    <w:rsid w:val="43E02B4D"/>
    <w:rsid w:val="4415745D"/>
    <w:rsid w:val="4442116C"/>
    <w:rsid w:val="44731E1D"/>
    <w:rsid w:val="449B3A61"/>
    <w:rsid w:val="44BA1E4D"/>
    <w:rsid w:val="44F248E6"/>
    <w:rsid w:val="4508235C"/>
    <w:rsid w:val="45374186"/>
    <w:rsid w:val="45AC5B64"/>
    <w:rsid w:val="45CC759A"/>
    <w:rsid w:val="460348D1"/>
    <w:rsid w:val="46081EE8"/>
    <w:rsid w:val="46690BD8"/>
    <w:rsid w:val="466C691A"/>
    <w:rsid w:val="466E4440"/>
    <w:rsid w:val="469876B5"/>
    <w:rsid w:val="47DE1152"/>
    <w:rsid w:val="482C45B3"/>
    <w:rsid w:val="482F19AD"/>
    <w:rsid w:val="4837750D"/>
    <w:rsid w:val="486A6177"/>
    <w:rsid w:val="487E0C43"/>
    <w:rsid w:val="48B8495E"/>
    <w:rsid w:val="48EC5AF0"/>
    <w:rsid w:val="495C4A24"/>
    <w:rsid w:val="498E0956"/>
    <w:rsid w:val="49F70BF1"/>
    <w:rsid w:val="4A58343D"/>
    <w:rsid w:val="4A68021F"/>
    <w:rsid w:val="4A9E2E1A"/>
    <w:rsid w:val="4AC636BD"/>
    <w:rsid w:val="4B1355B6"/>
    <w:rsid w:val="4B4340EE"/>
    <w:rsid w:val="4BB02127"/>
    <w:rsid w:val="4BF03B4A"/>
    <w:rsid w:val="4BF06537"/>
    <w:rsid w:val="4BF37C34"/>
    <w:rsid w:val="4C215478"/>
    <w:rsid w:val="4C3E5C30"/>
    <w:rsid w:val="4C525FF2"/>
    <w:rsid w:val="4C8F3363"/>
    <w:rsid w:val="4C947039"/>
    <w:rsid w:val="4D057181"/>
    <w:rsid w:val="4D537EEC"/>
    <w:rsid w:val="4ECF5C98"/>
    <w:rsid w:val="4F6B59C1"/>
    <w:rsid w:val="503D507A"/>
    <w:rsid w:val="509F6E94"/>
    <w:rsid w:val="51656440"/>
    <w:rsid w:val="517B3EB5"/>
    <w:rsid w:val="51FA74D0"/>
    <w:rsid w:val="521D4F6D"/>
    <w:rsid w:val="52574AF9"/>
    <w:rsid w:val="52AA4A52"/>
    <w:rsid w:val="52EA30A1"/>
    <w:rsid w:val="53281E1B"/>
    <w:rsid w:val="53670B95"/>
    <w:rsid w:val="539234BA"/>
    <w:rsid w:val="53C75190"/>
    <w:rsid w:val="54754BEC"/>
    <w:rsid w:val="549D0194"/>
    <w:rsid w:val="54F80A0C"/>
    <w:rsid w:val="553D2884"/>
    <w:rsid w:val="55A03EEB"/>
    <w:rsid w:val="55DD513F"/>
    <w:rsid w:val="568E6439"/>
    <w:rsid w:val="57034731"/>
    <w:rsid w:val="57763155"/>
    <w:rsid w:val="57977A63"/>
    <w:rsid w:val="58136BF6"/>
    <w:rsid w:val="5886386C"/>
    <w:rsid w:val="589601B9"/>
    <w:rsid w:val="58CA2C20"/>
    <w:rsid w:val="5906675A"/>
    <w:rsid w:val="59111F5E"/>
    <w:rsid w:val="59266DFD"/>
    <w:rsid w:val="59337BDA"/>
    <w:rsid w:val="593B570D"/>
    <w:rsid w:val="59855F6D"/>
    <w:rsid w:val="59943D66"/>
    <w:rsid w:val="59CF6DF0"/>
    <w:rsid w:val="59E051FD"/>
    <w:rsid w:val="59E6355E"/>
    <w:rsid w:val="5A29749D"/>
    <w:rsid w:val="5A955EFF"/>
    <w:rsid w:val="5B13515F"/>
    <w:rsid w:val="5B160B91"/>
    <w:rsid w:val="5B821531"/>
    <w:rsid w:val="5BBB7CD0"/>
    <w:rsid w:val="5BFC1FA4"/>
    <w:rsid w:val="5BFF6039"/>
    <w:rsid w:val="5C2313D1"/>
    <w:rsid w:val="5C594DF3"/>
    <w:rsid w:val="5CEE7C31"/>
    <w:rsid w:val="5CF05758"/>
    <w:rsid w:val="5D2D69AC"/>
    <w:rsid w:val="5D3C274B"/>
    <w:rsid w:val="5D4E06D0"/>
    <w:rsid w:val="5D5A7075"/>
    <w:rsid w:val="5D76A616"/>
    <w:rsid w:val="5D7F20B9"/>
    <w:rsid w:val="5DAC7D0E"/>
    <w:rsid w:val="5DB4653D"/>
    <w:rsid w:val="5EDF3CD6"/>
    <w:rsid w:val="5F506981"/>
    <w:rsid w:val="5F512FE9"/>
    <w:rsid w:val="5F98B5AF"/>
    <w:rsid w:val="5FC52ECB"/>
    <w:rsid w:val="5FCB6008"/>
    <w:rsid w:val="5FE80968"/>
    <w:rsid w:val="5FFE8511"/>
    <w:rsid w:val="5FFEACE2"/>
    <w:rsid w:val="5FFF5CB2"/>
    <w:rsid w:val="601852D7"/>
    <w:rsid w:val="603E67DA"/>
    <w:rsid w:val="604E7EF3"/>
    <w:rsid w:val="605129B1"/>
    <w:rsid w:val="609D5BF6"/>
    <w:rsid w:val="61073070"/>
    <w:rsid w:val="610F0176"/>
    <w:rsid w:val="611D2893"/>
    <w:rsid w:val="61842912"/>
    <w:rsid w:val="61B9080E"/>
    <w:rsid w:val="61DF3FED"/>
    <w:rsid w:val="622F6D22"/>
    <w:rsid w:val="62614A02"/>
    <w:rsid w:val="62B611F1"/>
    <w:rsid w:val="63041F5D"/>
    <w:rsid w:val="634C47E8"/>
    <w:rsid w:val="63554A0D"/>
    <w:rsid w:val="63C24F39"/>
    <w:rsid w:val="63CA40E4"/>
    <w:rsid w:val="63DA0F0F"/>
    <w:rsid w:val="63E63410"/>
    <w:rsid w:val="640D20A2"/>
    <w:rsid w:val="64144421"/>
    <w:rsid w:val="642B176B"/>
    <w:rsid w:val="643EE26D"/>
    <w:rsid w:val="64C55523"/>
    <w:rsid w:val="64E060B2"/>
    <w:rsid w:val="64FB738F"/>
    <w:rsid w:val="65445212"/>
    <w:rsid w:val="6549634D"/>
    <w:rsid w:val="656019A0"/>
    <w:rsid w:val="65873E6D"/>
    <w:rsid w:val="6592092B"/>
    <w:rsid w:val="65F242EE"/>
    <w:rsid w:val="66383CCB"/>
    <w:rsid w:val="666D7E19"/>
    <w:rsid w:val="66A601AC"/>
    <w:rsid w:val="6723497B"/>
    <w:rsid w:val="677A13E7"/>
    <w:rsid w:val="680D18B3"/>
    <w:rsid w:val="68376930"/>
    <w:rsid w:val="68733E11"/>
    <w:rsid w:val="688F051A"/>
    <w:rsid w:val="68F91E38"/>
    <w:rsid w:val="694C01BA"/>
    <w:rsid w:val="69767E03"/>
    <w:rsid w:val="69992CD3"/>
    <w:rsid w:val="699C10AC"/>
    <w:rsid w:val="69C04704"/>
    <w:rsid w:val="69EB15DA"/>
    <w:rsid w:val="69F94294"/>
    <w:rsid w:val="6A115CF4"/>
    <w:rsid w:val="6A27283A"/>
    <w:rsid w:val="6A9E4A45"/>
    <w:rsid w:val="6AD246EE"/>
    <w:rsid w:val="6AD81D69"/>
    <w:rsid w:val="6AE83F12"/>
    <w:rsid w:val="6B3158B9"/>
    <w:rsid w:val="6BA02A3F"/>
    <w:rsid w:val="6BC71D79"/>
    <w:rsid w:val="6BDD159D"/>
    <w:rsid w:val="6C1E5A53"/>
    <w:rsid w:val="6D4D2752"/>
    <w:rsid w:val="6DAC56CB"/>
    <w:rsid w:val="6DD20F3C"/>
    <w:rsid w:val="6DDF5CD2"/>
    <w:rsid w:val="6DE53B02"/>
    <w:rsid w:val="6DF17581"/>
    <w:rsid w:val="6E081941"/>
    <w:rsid w:val="6E6715F2"/>
    <w:rsid w:val="6E9248C1"/>
    <w:rsid w:val="6F4436E1"/>
    <w:rsid w:val="6F5C41AC"/>
    <w:rsid w:val="6F624A60"/>
    <w:rsid w:val="6FAF6C78"/>
    <w:rsid w:val="6FFB0243"/>
    <w:rsid w:val="70F911C8"/>
    <w:rsid w:val="711A6DEF"/>
    <w:rsid w:val="71381023"/>
    <w:rsid w:val="716167CC"/>
    <w:rsid w:val="718A7AD1"/>
    <w:rsid w:val="71DE606F"/>
    <w:rsid w:val="71FD29A8"/>
    <w:rsid w:val="723D02F0"/>
    <w:rsid w:val="72785B7B"/>
    <w:rsid w:val="72A44BC2"/>
    <w:rsid w:val="72B868C0"/>
    <w:rsid w:val="72BE5118"/>
    <w:rsid w:val="72C0548F"/>
    <w:rsid w:val="72D65D2C"/>
    <w:rsid w:val="73075151"/>
    <w:rsid w:val="7317C656"/>
    <w:rsid w:val="734740E0"/>
    <w:rsid w:val="734ED73F"/>
    <w:rsid w:val="736F595B"/>
    <w:rsid w:val="737A1DC7"/>
    <w:rsid w:val="73C82B32"/>
    <w:rsid w:val="73F94DAE"/>
    <w:rsid w:val="74220495"/>
    <w:rsid w:val="7443040B"/>
    <w:rsid w:val="74620891"/>
    <w:rsid w:val="747D1B6F"/>
    <w:rsid w:val="749E5641"/>
    <w:rsid w:val="74DD464D"/>
    <w:rsid w:val="756248C1"/>
    <w:rsid w:val="756725B0"/>
    <w:rsid w:val="761A519B"/>
    <w:rsid w:val="76271066"/>
    <w:rsid w:val="762D3121"/>
    <w:rsid w:val="765C57B4"/>
    <w:rsid w:val="772C5E72"/>
    <w:rsid w:val="77436940"/>
    <w:rsid w:val="778C3E77"/>
    <w:rsid w:val="77901BB9"/>
    <w:rsid w:val="77F55EC0"/>
    <w:rsid w:val="77FD8BE9"/>
    <w:rsid w:val="78000AED"/>
    <w:rsid w:val="780B739F"/>
    <w:rsid w:val="783F5EFC"/>
    <w:rsid w:val="78517DC7"/>
    <w:rsid w:val="78AA798D"/>
    <w:rsid w:val="78FB5758"/>
    <w:rsid w:val="79166F8B"/>
    <w:rsid w:val="792A3948"/>
    <w:rsid w:val="795301B7"/>
    <w:rsid w:val="796C5D0E"/>
    <w:rsid w:val="799C1B31"/>
    <w:rsid w:val="79A9BD3F"/>
    <w:rsid w:val="79BD2A0E"/>
    <w:rsid w:val="79C478F8"/>
    <w:rsid w:val="7ACC2F08"/>
    <w:rsid w:val="7AD973D3"/>
    <w:rsid w:val="7AFE109F"/>
    <w:rsid w:val="7B5A49B8"/>
    <w:rsid w:val="7B672C31"/>
    <w:rsid w:val="7B776F12"/>
    <w:rsid w:val="7BA67BFD"/>
    <w:rsid w:val="7BAF02C3"/>
    <w:rsid w:val="7BFFFDD0"/>
    <w:rsid w:val="7C336E5F"/>
    <w:rsid w:val="7C8D4919"/>
    <w:rsid w:val="7CB023B6"/>
    <w:rsid w:val="7D182D45"/>
    <w:rsid w:val="7D2B02D8"/>
    <w:rsid w:val="7D2D5DF4"/>
    <w:rsid w:val="7D342FE7"/>
    <w:rsid w:val="7D3F0B3F"/>
    <w:rsid w:val="7D496A92"/>
    <w:rsid w:val="7D7A5F86"/>
    <w:rsid w:val="7DEC7621"/>
    <w:rsid w:val="7E4B683A"/>
    <w:rsid w:val="7E4C28CF"/>
    <w:rsid w:val="7E5E656D"/>
    <w:rsid w:val="7E5F322E"/>
    <w:rsid w:val="7E7A3F89"/>
    <w:rsid w:val="7E8F2BCB"/>
    <w:rsid w:val="7EC02D84"/>
    <w:rsid w:val="7F37BB4E"/>
    <w:rsid w:val="7F4D0390"/>
    <w:rsid w:val="7FAC155A"/>
    <w:rsid w:val="7FE72465"/>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6"/>
    <w:qFormat/>
    <w:uiPriority w:val="0"/>
    <w:pPr>
      <w:spacing w:after="0"/>
      <w:ind w:firstLine="20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4345</Words>
  <Characters>4445</Characters>
  <Lines>58</Lines>
  <Paragraphs>16</Paragraphs>
  <TotalTime>0</TotalTime>
  <ScaleCrop>false</ScaleCrop>
  <LinksUpToDate>false</LinksUpToDate>
  <CharactersWithSpaces>4446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Joey</cp:lastModifiedBy>
  <dcterms:modified xsi:type="dcterms:W3CDTF">2025-09-03T14:44:56Z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487F86BFBBE44E7C8ADE7AF8BEFD03A1_13</vt:lpwstr>
  </property>
  <property fmtid="{D5CDD505-2E9C-101B-9397-08002B2CF9AE}" pid="4" name="KSOTemplateDocerSaveRecord">
    <vt:lpwstr>eyJoZGlkIjoiNWY0NzU0ZGQzYzg5MTlmYWY4ZGZlYzY2M2Q2NjUyMGMiLCJ1c2VySWQiOiIzMTA1NzAxMDkifQ==</vt:lpwstr>
  </property>
</Properties>
</file>