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rPr>
      </w:pPr>
      <w:bookmarkStart w:id="3" w:name="_GoBack"/>
      <w:bookmarkEnd w:id="3"/>
    </w:p>
    <w:p>
      <w:pPr>
        <w:spacing w:line="540" w:lineRule="exact"/>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方正小标宋_GBK" w:cs="Times New Roman"/>
          <w:kern w:val="0"/>
          <w:sz w:val="48"/>
          <w:szCs w:val="48"/>
        </w:rPr>
      </w:pPr>
      <w:r>
        <w:rPr>
          <w:rFonts w:hint="eastAsia" w:eastAsia="方正小标宋_GBK" w:cs="Times New Roman"/>
          <w:kern w:val="0"/>
          <w:sz w:val="48"/>
          <w:szCs w:val="48"/>
          <w:lang w:val="en-US" w:eastAsia="zh-CN"/>
        </w:rPr>
        <w:t>生态环境监察</w:t>
      </w:r>
      <w:r>
        <w:rPr>
          <w:rFonts w:hint="default" w:ascii="Times New Roman" w:hAnsi="Times New Roman" w:eastAsia="方正小标宋_GBK" w:cs="Times New Roman"/>
          <w:kern w:val="0"/>
          <w:sz w:val="48"/>
          <w:szCs w:val="48"/>
        </w:rPr>
        <w:t>项目支出绩效评价</w:t>
      </w:r>
    </w:p>
    <w:p>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rPr>
        <w:t>报告</w:t>
      </w: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pStyle w:val="11"/>
        <w:rPr>
          <w:rFonts w:hint="default" w:ascii="Times New Roman" w:hAnsi="Times New Roman" w:cs="Times New Roman"/>
        </w:rPr>
      </w:pPr>
    </w:p>
    <w:p>
      <w:pPr>
        <w:spacing w:line="540" w:lineRule="exact"/>
        <w:jc w:val="center"/>
        <w:rPr>
          <w:rFonts w:hint="default" w:ascii="Times New Roman" w:hAnsi="Times New Roman" w:eastAsia="仿宋_GB2312" w:cs="Times New Roman"/>
          <w:kern w:val="0"/>
          <w:sz w:val="30"/>
          <w:szCs w:val="30"/>
        </w:rPr>
      </w:pPr>
    </w:p>
    <w:p>
      <w:pPr>
        <w:spacing w:line="540" w:lineRule="exact"/>
        <w:rPr>
          <w:rFonts w:hint="default" w:ascii="Times New Roman" w:hAnsi="Times New Roman" w:eastAsia="仿宋_GB2312" w:cs="Times New Roman"/>
          <w:kern w:val="0"/>
          <w:sz w:val="30"/>
          <w:szCs w:val="30"/>
        </w:rPr>
      </w:pPr>
    </w:p>
    <w:p>
      <w:pPr>
        <w:spacing w:line="700" w:lineRule="exact"/>
        <w:ind w:firstLine="1440" w:firstLineChars="4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项目名称：</w:t>
      </w:r>
      <w:r>
        <w:rPr>
          <w:rFonts w:hint="eastAsia" w:eastAsia="仿宋_GB2312" w:cs="Times New Roman"/>
          <w:kern w:val="0"/>
          <w:sz w:val="36"/>
          <w:szCs w:val="36"/>
          <w:lang w:val="en-US" w:eastAsia="zh-CN"/>
        </w:rPr>
        <w:t>生态环境监察项目</w:t>
      </w:r>
    </w:p>
    <w:p>
      <w:pPr>
        <w:spacing w:line="700" w:lineRule="exact"/>
        <w:ind w:firstLine="1440" w:firstLineChars="4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实施单位（公章）：</w:t>
      </w:r>
      <w:r>
        <w:rPr>
          <w:rFonts w:hint="eastAsia" w:eastAsia="仿宋_GB2312" w:cs="Times New Roman"/>
          <w:kern w:val="0"/>
          <w:sz w:val="36"/>
          <w:szCs w:val="36"/>
          <w:lang w:val="en-US" w:eastAsia="zh-CN"/>
        </w:rPr>
        <w:t>新疆维吾尔自治区生态环境厅第四生态环境监察专员办公室</w:t>
      </w:r>
    </w:p>
    <w:p>
      <w:pPr>
        <w:spacing w:line="700" w:lineRule="exact"/>
        <w:ind w:firstLine="1440" w:firstLineChars="4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主管部门（公章）：</w:t>
      </w:r>
      <w:r>
        <w:rPr>
          <w:rFonts w:hint="eastAsia" w:eastAsia="仿宋_GB2312" w:cs="Times New Roman"/>
          <w:kern w:val="0"/>
          <w:sz w:val="36"/>
          <w:szCs w:val="36"/>
          <w:lang w:val="en-US" w:eastAsia="zh-CN"/>
        </w:rPr>
        <w:t>新疆维吾尔自治区生态环境厅</w:t>
      </w:r>
    </w:p>
    <w:p>
      <w:pPr>
        <w:spacing w:line="700" w:lineRule="exact"/>
        <w:ind w:firstLine="1440" w:firstLineChars="4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项目负责人（签章）：</w:t>
      </w:r>
      <w:r>
        <w:rPr>
          <w:rFonts w:hint="eastAsia" w:eastAsia="仿宋_GB2312" w:cs="Times New Roman"/>
          <w:kern w:val="0"/>
          <w:sz w:val="36"/>
          <w:szCs w:val="36"/>
          <w:lang w:val="en-US" w:eastAsia="zh-CN"/>
        </w:rPr>
        <w:t>木拉提·托肯</w:t>
      </w:r>
    </w:p>
    <w:p>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w:t>
      </w:r>
      <w:r>
        <w:rPr>
          <w:rFonts w:hint="eastAsia" w:eastAsia="仿宋_GB2312" w:cs="Times New Roman"/>
          <w:kern w:val="0"/>
          <w:sz w:val="36"/>
          <w:szCs w:val="36"/>
          <w:lang w:val="en-US" w:eastAsia="zh-CN"/>
        </w:rPr>
        <w:t>2025</w:t>
      </w:r>
      <w:r>
        <w:rPr>
          <w:rFonts w:hint="default" w:ascii="Times New Roman" w:hAnsi="Times New Roman" w:eastAsia="仿宋_GB2312" w:cs="Times New Roman"/>
          <w:kern w:val="0"/>
          <w:sz w:val="36"/>
          <w:szCs w:val="36"/>
        </w:rPr>
        <w:t>年</w:t>
      </w:r>
      <w:r>
        <w:rPr>
          <w:rFonts w:hint="eastAsia" w:eastAsia="仿宋_GB2312" w:cs="Times New Roman"/>
          <w:kern w:val="0"/>
          <w:sz w:val="36"/>
          <w:szCs w:val="36"/>
          <w:lang w:val="en-US" w:eastAsia="zh-CN"/>
        </w:rPr>
        <w:t>2</w:t>
      </w:r>
      <w:r>
        <w:rPr>
          <w:rFonts w:hint="default" w:ascii="Times New Roman" w:hAnsi="Times New Roman" w:eastAsia="仿宋_GB2312" w:cs="Times New Roman"/>
          <w:kern w:val="0"/>
          <w:sz w:val="36"/>
          <w:szCs w:val="36"/>
        </w:rPr>
        <w:t>月</w:t>
      </w:r>
      <w:r>
        <w:rPr>
          <w:rFonts w:hint="eastAsia" w:eastAsia="仿宋_GB2312" w:cs="Times New Roman"/>
          <w:kern w:val="0"/>
          <w:sz w:val="36"/>
          <w:szCs w:val="36"/>
          <w:lang w:val="en-US" w:eastAsia="zh-CN"/>
        </w:rPr>
        <w:t>25</w:t>
      </w:r>
      <w:r>
        <w:rPr>
          <w:rFonts w:hint="default" w:ascii="Times New Roman" w:hAnsi="Times New Roman" w:eastAsia="仿宋_GB2312" w:cs="Times New Roman"/>
          <w:kern w:val="0"/>
          <w:sz w:val="36"/>
          <w:szCs w:val="36"/>
        </w:rPr>
        <w:t>日</w:t>
      </w:r>
    </w:p>
    <w:p>
      <w:pPr>
        <w:spacing w:line="540" w:lineRule="exact"/>
        <w:jc w:val="center"/>
        <w:rPr>
          <w:rFonts w:hint="default" w:ascii="Times New Roman" w:hAnsi="Times New Roman" w:eastAsia="仿宋_GB2312" w:cs="Times New Roman"/>
          <w:kern w:val="0"/>
          <w:sz w:val="30"/>
          <w:szCs w:val="30"/>
        </w:rPr>
      </w:pPr>
    </w:p>
    <w:p>
      <w:pPr>
        <w:spacing w:line="540" w:lineRule="exact"/>
        <w:rPr>
          <w:rStyle w:val="17"/>
          <w:rFonts w:hint="default" w:ascii="Times New Roman" w:hAnsi="Times New Roman" w:eastAsia="黑体" w:cs="Times New Roman"/>
          <w:b w:val="0"/>
          <w:spacing w:val="-4"/>
          <w:sz w:val="32"/>
          <w:szCs w:val="32"/>
        </w:rPr>
      </w:pPr>
    </w:p>
    <w:p>
      <w:pPr>
        <w:spacing w:line="540" w:lineRule="exact"/>
        <w:ind w:firstLine="640"/>
        <w:rPr>
          <w:rStyle w:val="17"/>
          <w:rFonts w:hint="default" w:ascii="Times New Roman" w:hAnsi="Times New Roman" w:eastAsia="黑体" w:cs="Times New Roman"/>
          <w:b w:val="0"/>
          <w:spacing w:val="-4"/>
          <w:sz w:val="32"/>
          <w:szCs w:val="32"/>
        </w:rPr>
      </w:pPr>
    </w:p>
    <w:p>
      <w:pPr>
        <w:spacing w:line="540" w:lineRule="exact"/>
        <w:rPr>
          <w:rStyle w:val="17"/>
          <w:rFonts w:hint="default" w:ascii="Times New Roman" w:hAnsi="Times New Roman" w:eastAsia="黑体" w:cs="Times New Roman"/>
          <w:b w:val="0"/>
          <w:spacing w:val="-4"/>
          <w:sz w:val="32"/>
          <w:szCs w:val="32"/>
        </w:rPr>
      </w:pPr>
    </w:p>
    <w:p>
      <w:pPr>
        <w:spacing w:line="560" w:lineRule="exact"/>
        <w:ind w:firstLine="640" w:firstLineChars="200"/>
        <w:rPr>
          <w:rFonts w:hint="default" w:ascii="Times New Roman" w:hAnsi="Times New Roman" w:eastAsia="黑体" w:cs="Times New Roman"/>
          <w:bCs/>
          <w:sz w:val="32"/>
          <w:szCs w:val="32"/>
        </w:rPr>
        <w:sectPr>
          <w:pgSz w:w="11906" w:h="16838"/>
          <w:pgMar w:top="1440" w:right="1558" w:bottom="1440" w:left="1800" w:header="851" w:footer="992" w:gutter="0"/>
          <w:cols w:space="425" w:num="1"/>
          <w:docGrid w:type="lines" w:linePitch="312" w:charSpace="0"/>
        </w:sectPr>
      </w:pP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pPr>
        <w:spacing w:line="56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根据《自治区党委办公厅 自治区人民政府办公厅印发&lt;自治区生态环境机构监测监察执法垂直管理制度改革实施方案&gt;的通知》（新党厅字〔2019〕60号），建立生态环境保护监察专员制度，在新疆维吾尔自治区生态环境厅设生态环境保护监察专员。跨区域设立生态环境保护监察专员办公室，驻地（州、市）开展生态环境保护监察和督察工作，人员和工作经费由自治区本级承担。</w:t>
      </w:r>
    </w:p>
    <w:p>
      <w:pPr>
        <w:spacing w:line="560" w:lineRule="exact"/>
        <w:ind w:firstLine="640" w:firstLineChars="200"/>
        <w:rPr>
          <w:rStyle w:val="17"/>
          <w:rFonts w:hint="default" w:ascii="Times New Roman" w:hAnsi="Times New Roman" w:eastAsia="黑体" w:cs="Times New Roman"/>
          <w:b w:val="0"/>
          <w:bCs/>
          <w:spacing w:val="-4"/>
          <w:sz w:val="32"/>
          <w:szCs w:val="32"/>
          <w:highlight w:val="yellow"/>
          <w:lang w:eastAsia="zh-CN"/>
        </w:rPr>
      </w:pPr>
      <w:r>
        <w:rPr>
          <w:rFonts w:hint="eastAsia" w:ascii="Times New Roman" w:hAnsi="Times New Roman" w:eastAsia="仿宋_GB2312" w:cs="Times New Roman"/>
          <w:sz w:val="32"/>
          <w:szCs w:val="32"/>
          <w:highlight w:val="none"/>
          <w:lang w:val="en-US" w:eastAsia="zh-CN"/>
        </w:rPr>
        <w:t>2019年新疆维吾尔自治区生态环境厅在全疆设立六个监察专员办公室。新疆维吾尔自治区生态环境厅第四生态环境监察专员办公室根据《关于自治区生态环境厅6个生态环境监察专员办公室编制和具体职责的批复》（新党编办〔2019〕59号）要求，我办负责对哈密市、吐鲁番市党委、政府及相关部门履行生态环境保护责任情况，生态环境保护法律法规、标准、政策、规划执行情况，生态环境保护一岗双责落实情况，以及生态环境质量落实情况进行监督检查；承担生态环境损害责任追究相关协调配合工作；配合自治区生态环境保护督察组开展定期督查，并对督察整改落实情况进行督导等。</w:t>
      </w:r>
    </w:p>
    <w:p>
      <w:pPr>
        <w:pStyle w:val="11"/>
        <w:numPr>
          <w:ilvl w:val="0"/>
          <w:numId w:val="0"/>
        </w:numPr>
        <w:spacing w:before="0" w:after="0" w:line="560" w:lineRule="exact"/>
        <w:ind w:firstLine="643" w:firstLineChars="200"/>
        <w:jc w:val="both"/>
        <w:rPr>
          <w:rFonts w:hint="default" w:ascii="Times New Roman" w:hAnsi="Times New Roman" w:eastAsia="仿宋_GB2312" w:cs="Times New Roman"/>
          <w:kern w:val="2"/>
          <w:lang w:val="en-US" w:eastAsia="zh-CN"/>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r>
        <w:rPr>
          <w:rFonts w:hint="eastAsia" w:ascii="Times New Roman" w:hAnsi="Times New Roman" w:eastAsia="仿宋_GB2312" w:cs="Times New Roman"/>
          <w:kern w:val="2"/>
          <w:lang w:val="en-US" w:eastAsia="zh-CN"/>
        </w:rPr>
        <w:t>及实施情况</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主要内容：根据自治区第四生态环境监察专员办公室职责，2024年第四生态环境监察专员办公室对哈密市、吐鲁番市开展生态环境保护监察工作，重点对第二轮中央生态环境督察和自治区生态环境保护督察反馈意见整改开展督导检查，持续做好日常派驻监察工作，不断促进辖区生态环境质量持续改善。2024年第四专员办计划覆盖生态环境监察区域2个，形成督察监察专项报告及整改情况报告4个，监察频率每地州各4次，报告质量通过率和区域覆盖率100%。通过项目的实施有效督促当地生态环境保护工作持续开展，以高水平环境保护推动经济高质量。</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项目实施情况：</w:t>
      </w:r>
      <w:r>
        <w:rPr>
          <w:rFonts w:hint="eastAsia" w:ascii="Times New Roman" w:hAnsi="Times New Roman" w:eastAsia="仿宋_GB2312" w:cs="Times New Roman"/>
          <w:sz w:val="32"/>
          <w:szCs w:val="32"/>
          <w:highlight w:val="none"/>
          <w:lang w:val="en-US" w:eastAsia="zh-CN"/>
        </w:rPr>
        <w:t>截止到2024年12月31日，本年度项目已经完成实际设立的目标。我单位</w:t>
      </w:r>
      <w:r>
        <w:rPr>
          <w:rFonts w:hint="default" w:ascii="Times New Roman" w:hAnsi="Times New Roman" w:eastAsia="仿宋_GB2312" w:cs="Times New Roman"/>
          <w:sz w:val="32"/>
          <w:szCs w:val="32"/>
          <w:highlight w:val="none"/>
          <w:lang w:val="en-US" w:eastAsia="zh-CN"/>
        </w:rPr>
        <w:t>对哈密市、吐鲁番市中央生态环境保护督察整改工作开展四轮督导帮扶，以2024年度销号的自治区生态环保督察整改任务为重点，对哈密市、吐鲁番市开展四轮督导，积极选派9人次业务骨干参加和田地区、阿勒泰地区、博州、克州自治区生态环保督察前期摸排、督察进驻全过程，配合督导二组持续做好日常派驻监察工作，不断促进辖区生态环境质量持续改善。形成督察监察专项报告及整改情况报告各4个，监察频率哈密市、吐鲁番市各4次，报告质量通过率和区域覆盖率100%。通过项目的实施有效督促当地生态环境保护工作持续开展，以高水平环境保护推动经济高质量。</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pPr>
        <w:shd w:val="clear"/>
        <w:spacing w:line="600" w:lineRule="exact"/>
        <w:ind w:firstLine="640" w:firstLineChars="200"/>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90.00</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90.00</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eastAsia="仿宋_GB2312" w:cs="Times New Roman"/>
          <w:sz w:val="32"/>
          <w:szCs w:val="32"/>
          <w:highlight w:val="none"/>
          <w:lang w:val="en-US" w:eastAsia="zh-CN"/>
        </w:rPr>
        <w:t>财政拨款</w:t>
      </w:r>
      <w:r>
        <w:rPr>
          <w:rFonts w:hint="default" w:ascii="Times New Roman" w:hAnsi="Times New Roman"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90.00</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90.00</w:t>
      </w:r>
      <w:r>
        <w:rPr>
          <w:rFonts w:hint="default" w:ascii="Times New Roman" w:hAnsi="Times New Roman" w:eastAsia="仿宋_GB2312" w:cs="Times New Roman"/>
          <w:sz w:val="32"/>
          <w:szCs w:val="32"/>
          <w:highlight w:val="none"/>
          <w:lang w:val="en-US" w:eastAsia="zh-CN"/>
        </w:rPr>
        <w:t>万元，全年执行数</w:t>
      </w:r>
      <w:r>
        <w:rPr>
          <w:rFonts w:hint="eastAsia" w:eastAsia="仿宋_GB2312" w:cs="Times New Roman"/>
          <w:sz w:val="32"/>
          <w:szCs w:val="32"/>
          <w:highlight w:val="none"/>
          <w:lang w:val="en-US" w:eastAsia="zh-CN"/>
        </w:rPr>
        <w:t>76.24</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84.71</w:t>
      </w:r>
      <w:r>
        <w:rPr>
          <w:rFonts w:hint="default" w:ascii="Times New Roman" w:hAnsi="Times New Roman" w:eastAsia="仿宋_GB2312" w:cs="Times New Roman"/>
          <w:sz w:val="32"/>
          <w:szCs w:val="32"/>
          <w:highlight w:val="none"/>
          <w:lang w:val="en-US" w:eastAsia="zh-CN"/>
        </w:rPr>
        <w:t>%，主要用于：</w:t>
      </w:r>
      <w:r>
        <w:rPr>
          <w:rFonts w:hint="eastAsia" w:ascii="仿宋_GB2312" w:hAnsi="仿宋_GB2312" w:eastAsia="仿宋_GB2312"/>
          <w:sz w:val="32"/>
          <w:szCs w:val="24"/>
          <w:highlight w:val="none"/>
          <w:lang w:val="en-US" w:eastAsia="zh-CN"/>
        </w:rPr>
        <w:t>支付项目实施进程中的各项费用</w:t>
      </w:r>
      <w:r>
        <w:rPr>
          <w:rFonts w:hint="default" w:ascii="Times New Roman" w:hAnsi="Times New Roman" w:eastAsia="仿宋_GB2312" w:cs="Times New Roman"/>
          <w:sz w:val="32"/>
          <w:szCs w:val="32"/>
          <w:highlight w:val="none"/>
          <w:lang w:val="en-US" w:eastAsia="zh-CN"/>
        </w:rPr>
        <w:t>。</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pPr>
        <w:spacing w:line="560" w:lineRule="exact"/>
        <w:ind w:firstLine="640" w:firstLineChars="200"/>
        <w:rPr>
          <w:rStyle w:val="17"/>
          <w:rFonts w:hint="default" w:ascii="Times New Roman" w:hAnsi="Times New Roman" w:eastAsia="黑体" w:cs="Times New Roman"/>
          <w:b w:val="0"/>
          <w:bCs/>
          <w:spacing w:val="-4"/>
          <w:sz w:val="32"/>
          <w:szCs w:val="32"/>
          <w:highlight w:val="yellow"/>
        </w:rPr>
      </w:pPr>
      <w:r>
        <w:rPr>
          <w:rFonts w:hint="default" w:ascii="Times New Roman" w:hAnsi="Times New Roman" w:eastAsia="仿宋_GB2312" w:cs="Times New Roman"/>
          <w:sz w:val="32"/>
          <w:szCs w:val="32"/>
          <w:highlight w:val="none"/>
          <w:lang w:val="en-US" w:eastAsia="zh-CN"/>
        </w:rPr>
        <w:t>根据自治区第四生态环境监察专员办公室职责，2024年第四生态环境监察专员办公室对哈密市、吐鲁番市开展生态环境保护监察工作，重点对第二轮中央生态环境督察和自治区生态环境保护督察反馈意见整改开展督导检查，持续做好日常派驻监察工作，不断促进辖区生态环境质量持续改善。2024年第四专员办计划覆盖生态环境监察区域2个，形成督察监察专项报告及整改情况报告4个，监察频率每地州各4次，报告质量通过率和区域覆盖率100%。通过项目的实施有效督促当地生态环境保护工作持续开展，以高水平环境保护推动经济高质量。</w:t>
      </w:r>
    </w:p>
    <w:p>
      <w:pPr>
        <w:spacing w:line="560" w:lineRule="exact"/>
        <w:ind w:firstLine="640" w:firstLineChars="200"/>
        <w:rPr>
          <w:rFonts w:hint="default" w:ascii="Times New Roman" w:hAnsi="Times New Roman" w:eastAsia="仿宋_GB2312" w:cs="Times New Roman"/>
          <w:color w:val="FF0000"/>
          <w:sz w:val="30"/>
          <w:szCs w:val="30"/>
          <w:highlight w:val="none"/>
          <w:lang w:val="en-US" w:eastAsia="zh-CN"/>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阶段性目标</w:t>
      </w:r>
    </w:p>
    <w:p>
      <w:pPr>
        <w:spacing w:line="560" w:lineRule="exact"/>
        <w:ind w:firstLine="640" w:firstLineChars="200"/>
        <w:rPr>
          <w:rFonts w:hint="eastAsia" w:eastAsia="黑体"/>
          <w:sz w:val="21"/>
          <w:szCs w:val="24"/>
          <w:lang w:eastAsia="zh-CN"/>
        </w:rPr>
      </w:pPr>
      <w:r>
        <w:rPr>
          <w:rFonts w:hint="eastAsia" w:ascii="Times New Roman" w:hAnsi="Times New Roman" w:eastAsia="仿宋_GB2312" w:cs="Times New Roman"/>
          <w:sz w:val="32"/>
          <w:szCs w:val="32"/>
          <w:highlight w:val="none"/>
          <w:lang w:val="en-US" w:eastAsia="zh-CN"/>
        </w:rPr>
        <w:t>每季度对哈密市、吐鲁番市进行一轮次生态环境保护督导监察，开展第二轮中央生态环境督察“回头看”，配合督导二组对哈密市、吐鲁番第二轮中央生态环境督察整改情况开展督导，配合自治区级生态环境保护督察和督导工作，充分发挥派驻监察作用，提升哈密市、吐鲁番市生态环境治理效能。</w:t>
      </w: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lang w:val="en-US" w:eastAsia="zh-CN"/>
        </w:rPr>
        <w:t>效益等多个维度，力求全方位反映项目的绩效状况。同时，对于每个指标的评价标准和数据来源均进行了明确说明，确保评价结果的客观性和可追溯性。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rPr>
        <w:t>效益等多维度指标，为项目后续的改进与优化提供科学依据。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highlight w:val="none"/>
        </w:rPr>
        <w:t>本项目预算绩效评价报告的评价对象是</w:t>
      </w:r>
      <w:r>
        <w:rPr>
          <w:rFonts w:hint="eastAsia" w:ascii="Times New Roman" w:hAnsi="Times New Roman" w:eastAsia="仿宋_GB2312" w:cs="Times New Roman"/>
          <w:b w:val="0"/>
          <w:bCs w:val="0"/>
          <w:highlight w:val="none"/>
          <w:lang w:val="en-US" w:eastAsia="zh-CN"/>
        </w:rPr>
        <w:t>生态环境监察项目</w:t>
      </w:r>
      <w:r>
        <w:rPr>
          <w:rFonts w:hint="default" w:ascii="Times New Roman" w:hAnsi="Times New Roman" w:eastAsia="仿宋_GB2312" w:cs="Times New Roman"/>
          <w:b w:val="0"/>
          <w:bCs w:val="0"/>
          <w:highlight w:val="none"/>
        </w:rPr>
        <w:t>及其预算执行情况。该项目由</w:t>
      </w:r>
      <w:r>
        <w:rPr>
          <w:rFonts w:hint="eastAsia" w:ascii="Times New Roman" w:hAnsi="Times New Roman" w:eastAsia="仿宋_GB2312" w:cs="Times New Roman"/>
          <w:b w:val="0"/>
          <w:bCs w:val="0"/>
          <w:highlight w:val="none"/>
          <w:lang w:val="en-US" w:eastAsia="zh-CN"/>
        </w:rPr>
        <w:t>新疆维吾尔自治区生态环境厅第四生态环境监察专员办公室</w:t>
      </w:r>
      <w:r>
        <w:rPr>
          <w:rFonts w:hint="default" w:ascii="Times New Roman" w:hAnsi="Times New Roman" w:eastAsia="仿宋_GB2312" w:cs="Times New Roman"/>
          <w:b w:val="0"/>
          <w:bCs w:val="0"/>
          <w:highlight w:val="none"/>
        </w:rPr>
        <w:t>负责实施，旨在</w:t>
      </w:r>
      <w:r>
        <w:rPr>
          <w:rFonts w:hint="eastAsia" w:ascii="Times New Roman" w:hAnsi="Times New Roman" w:eastAsia="仿宋_GB2312" w:cs="Times New Roman"/>
          <w:b w:val="0"/>
          <w:bCs w:val="0"/>
          <w:highlight w:val="none"/>
          <w:lang w:val="en-US" w:eastAsia="zh-CN"/>
        </w:rPr>
        <w:t>通过项目的实施有效促进当地生态环境保护工作持续开展，以高水平环境保护推动经济高质量。</w:t>
      </w:r>
      <w:r>
        <w:rPr>
          <w:rFonts w:hint="default" w:ascii="Times New Roman" w:hAnsi="Times New Roman" w:eastAsia="仿宋_GB2312" w:cs="Times New Roman"/>
          <w:b w:val="0"/>
          <w:bCs w:val="0"/>
          <w:highlight w:val="none"/>
        </w:rPr>
        <w:t>项目预算涵盖从</w:t>
      </w:r>
      <w:r>
        <w:rPr>
          <w:rFonts w:hint="eastAsia" w:ascii="Times New Roman" w:hAnsi="Times New Roman" w:eastAsia="仿宋_GB2312" w:cs="Times New Roman"/>
          <w:b w:val="0"/>
          <w:bCs w:val="0"/>
          <w:highlight w:val="none"/>
          <w:lang w:val="en-US" w:eastAsia="zh-CN"/>
        </w:rPr>
        <w:t>2024年1月1日</w:t>
      </w:r>
      <w:r>
        <w:rPr>
          <w:rFonts w:hint="default" w:ascii="Times New Roman" w:hAnsi="Times New Roman" w:eastAsia="仿宋_GB2312" w:cs="Times New Roman"/>
          <w:b w:val="0"/>
          <w:bCs w:val="0"/>
          <w:highlight w:val="none"/>
        </w:rPr>
        <w:t>至</w:t>
      </w:r>
      <w:r>
        <w:rPr>
          <w:rFonts w:hint="eastAsia" w:ascii="Times New Roman" w:hAnsi="Times New Roman" w:eastAsia="仿宋_GB2312" w:cs="Times New Roman"/>
          <w:b w:val="0"/>
          <w:bCs w:val="0"/>
          <w:highlight w:val="none"/>
          <w:lang w:val="en-US" w:eastAsia="zh-CN"/>
        </w:rPr>
        <w:t>2024年12月31日</w:t>
      </w:r>
      <w:r>
        <w:rPr>
          <w:rFonts w:hint="default" w:ascii="Times New Roman" w:hAnsi="Times New Roman" w:eastAsia="仿宋_GB2312" w:cs="Times New Roman"/>
          <w:b w:val="0"/>
          <w:bCs w:val="0"/>
          <w:highlight w:val="none"/>
        </w:rPr>
        <w:t>的全部资金投入与支出，涉及资金总额为</w:t>
      </w:r>
      <w:r>
        <w:rPr>
          <w:rFonts w:hint="eastAsia" w:ascii="Times New Roman" w:hAnsi="Times New Roman" w:eastAsia="仿宋_GB2312" w:cs="Times New Roman"/>
          <w:b w:val="0"/>
          <w:bCs w:val="0"/>
          <w:highlight w:val="none"/>
          <w:lang w:val="en-US" w:eastAsia="zh-CN"/>
        </w:rPr>
        <w:t>90.00</w:t>
      </w:r>
      <w:r>
        <w:rPr>
          <w:rFonts w:hint="default" w:ascii="Times New Roman" w:hAnsi="Times New Roman" w:eastAsia="仿宋_GB2312" w:cs="Times New Roman"/>
          <w:b w:val="0"/>
          <w:bCs w:val="0"/>
          <w:highlight w:val="none"/>
          <w:lang w:val="en-US" w:eastAsia="zh-CN"/>
        </w:rPr>
        <w:t>万</w:t>
      </w:r>
      <w:r>
        <w:rPr>
          <w:rFonts w:hint="default" w:ascii="Times New Roman" w:hAnsi="Times New Roman" w:eastAsia="仿宋_GB2312" w:cs="Times New Roman"/>
          <w:b w:val="0"/>
          <w:bCs w:val="0"/>
          <w:highlight w:val="none"/>
        </w:rPr>
        <w:t>元。</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rPr>
        <w:t>绩效评价的范围</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本项目预算绩效评价报告的评价范围广泛而全面，涵盖了从项目立项至评价时点期间的所有关键预算活动和财务流程。具体而言，评价范围包括以下几个方面：</w:t>
      </w:r>
    </w:p>
    <w:p>
      <w:pPr>
        <w:pStyle w:val="11"/>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pPr>
        <w:pStyle w:val="11"/>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pPr>
        <w:pStyle w:val="11"/>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pPr>
        <w:pStyle w:val="11"/>
        <w:widowControl w:val="0"/>
        <w:numPr>
          <w:ilvl w:val="0"/>
          <w:numId w:val="0"/>
        </w:numPr>
        <w:spacing w:before="0" w:after="0" w:line="560" w:lineRule="exact"/>
        <w:ind w:firstLine="640" w:firstLineChars="200"/>
        <w:jc w:val="both"/>
        <w:outlineLvl w:val="9"/>
        <w:rPr>
          <w:rFonts w:hint="default" w:ascii="Times New Roman" w:hAnsi="Times New Roman" w:eastAsia="仿宋_GB2312" w:cs="Times New Roman"/>
          <w:b w:val="0"/>
          <w:bCs w:val="0"/>
          <w:highlight w:val="green"/>
          <w:lang w:eastAsia="zh-CN"/>
        </w:rPr>
      </w:pPr>
      <w:r>
        <w:rPr>
          <w:rFonts w:hint="eastAsia"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4</w:t>
      </w:r>
      <w:r>
        <w:rPr>
          <w:rFonts w:hint="eastAsia"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rPr>
        <w:t>社会</w:t>
      </w:r>
      <w:r>
        <w:rPr>
          <w:rFonts w:hint="default"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生态</w:t>
      </w:r>
      <w:r>
        <w:rPr>
          <w:rFonts w:hint="default" w:ascii="Times New Roman" w:hAnsi="Times New Roman" w:eastAsia="仿宋_GB2312" w:cs="Times New Roman"/>
          <w:b w:val="0"/>
          <w:bCs w:val="0"/>
          <w:highlight w:val="none"/>
          <w:lang w:val="en-US" w:eastAsia="zh-CN"/>
        </w:rPr>
        <w:t>等</w:t>
      </w:r>
      <w:r>
        <w:rPr>
          <w:rFonts w:hint="default" w:ascii="Times New Roman" w:hAnsi="Times New Roman" w:eastAsia="仿宋_GB2312" w:cs="Times New Roman"/>
          <w:b w:val="0"/>
          <w:bCs w:val="0"/>
          <w:highlight w:val="none"/>
        </w:rPr>
        <w:t>影响：考察项目对社会、</w:t>
      </w:r>
      <w:r>
        <w:rPr>
          <w:rFonts w:hint="eastAsia" w:ascii="Times New Roman" w:hAnsi="Times New Roman" w:eastAsia="仿宋_GB2312" w:cs="Times New Roman"/>
          <w:b w:val="0"/>
          <w:bCs w:val="0"/>
          <w:highlight w:val="none"/>
          <w:lang w:val="en-US" w:eastAsia="zh-CN"/>
        </w:rPr>
        <w:t>生态</w:t>
      </w:r>
      <w:r>
        <w:rPr>
          <w:rFonts w:hint="default" w:ascii="Times New Roman" w:hAnsi="Times New Roman" w:eastAsia="仿宋_GB2312" w:cs="Times New Roman"/>
          <w:b w:val="0"/>
          <w:bCs w:val="0"/>
          <w:highlight w:val="none"/>
        </w:rPr>
        <w:t>等方面的综合影响。</w:t>
      </w:r>
    </w:p>
    <w:p>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pPr>
        <w:spacing w:line="560" w:lineRule="exact"/>
        <w:ind w:firstLine="708" w:firstLineChars="200"/>
        <w:rPr>
          <w:rFonts w:hint="default" w:ascii="Times New Roman" w:hAnsi="Times New Roman" w:eastAsia="仿宋_GB2312" w:cs="Times New Roman"/>
          <w:color w:val="FF0000"/>
          <w:spacing w:val="17"/>
          <w:sz w:val="32"/>
          <w:szCs w:val="32"/>
          <w:lang w:eastAsia="zh-CN"/>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确定各个指标相对于项目总体绩效的权重分值。在绩效评价指标体系中，项目决策权重为20分，项目过程权重为20分，项目产出权重为40分，项目效益权重为20分。</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11"/>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pPr>
        <w:pStyle w:val="11"/>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 xml:space="preserve">（一）成本效益分析法。是指将投入与产出、效益进行关联性分析的方法。 </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（二）比较法。是指将实施情况与绩效目标、历史情况、不同部门和地区同类支出情况进行比较的方法。</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（三）因素分析法。是指综合分析影响绩效目标实现、实施效果的内外部因素的方法。</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w:t>
      </w:r>
      <w:r>
        <w:rPr>
          <w:rFonts w:hint="eastAsia" w:eastAsia="仿宋_GB2312" w:cs="Times New Roman"/>
          <w:color w:val="000000"/>
          <w:spacing w:val="17"/>
          <w:sz w:val="32"/>
          <w:szCs w:val="32"/>
          <w:highlight w:val="none"/>
          <w:lang w:val="en-US" w:eastAsia="zh-CN"/>
        </w:rPr>
        <w:t>四</w:t>
      </w:r>
      <w:r>
        <w:rPr>
          <w:rFonts w:hint="default" w:ascii="Times New Roman" w:hAnsi="Times New Roman" w:eastAsia="仿宋_GB2312" w:cs="Times New Roman"/>
          <w:color w:val="000000"/>
          <w:spacing w:val="17"/>
          <w:sz w:val="32"/>
          <w:szCs w:val="32"/>
          <w:highlight w:val="none"/>
        </w:rPr>
        <w:t>）公众评判法。是指通过专家评估、公众问卷及抽样调查等方式进行评判的方法。</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4</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评价标准</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highlight w:val="none"/>
          <w:lang w:val="en-US" w:eastAsia="zh-CN"/>
        </w:rPr>
        <w:t>计划</w:t>
      </w:r>
      <w:r>
        <w:rPr>
          <w:rFonts w:hint="default" w:ascii="Times New Roman" w:hAnsi="Times New Roman" w:eastAsia="仿宋_GB2312" w:cs="Times New Roman"/>
          <w:b w:val="0"/>
          <w:bCs w:val="0"/>
        </w:rPr>
        <w:t>标准。</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1</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计划标准。指以预先制定的目标、计划、预算、定额等作为评价标准。</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2</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行业标准。指参照国家公布的行业指标数据制定的评价标准。</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历史标准。指参照历史数据制定的评价标准，为体现绩效改进的原则，在可实现的条件下应当确定相对较高的评价标准。</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财政部门和预算部门确认或认可的其他标准。</w:t>
      </w:r>
    </w:p>
    <w:p>
      <w:pPr>
        <w:pStyle w:val="11"/>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3"/>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pPr>
        <w:pStyle w:val="11"/>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green"/>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eastAsia" w:eastAsia="仿宋_GB2312" w:cs="Times New Roman"/>
          <w:color w:val="auto"/>
          <w:sz w:val="32"/>
          <w:szCs w:val="32"/>
          <w:highlight w:val="none"/>
          <w:lang w:val="en-US" w:eastAsia="zh-CN"/>
        </w:rPr>
        <w:t>生态环境监察项目</w:t>
      </w:r>
      <w:r>
        <w:rPr>
          <w:rFonts w:hint="default" w:ascii="Times New Roman" w:hAnsi="Times New Roman" w:eastAsia="仿宋_GB2312" w:cs="Times New Roman"/>
          <w:sz w:val="32"/>
          <w:szCs w:val="32"/>
          <w:highlight w:val="none"/>
        </w:rPr>
        <w:t>在</w:t>
      </w:r>
      <w:r>
        <w:rPr>
          <w:rFonts w:hint="eastAsia" w:eastAsia="仿宋_GB2312" w:cs="Times New Roman"/>
          <w:sz w:val="32"/>
          <w:szCs w:val="32"/>
          <w:highlight w:val="none"/>
          <w:lang w:val="en-US" w:eastAsia="zh-CN"/>
        </w:rPr>
        <w:t>监督（监察）频次、形成督察监察专项报告、形成环保督查整改情况报告</w:t>
      </w:r>
      <w:r>
        <w:rPr>
          <w:rFonts w:hint="default" w:ascii="Times New Roman" w:hAnsi="Times New Roman" w:eastAsia="仿宋_GB2312" w:cs="Times New Roman"/>
          <w:sz w:val="32"/>
          <w:szCs w:val="32"/>
          <w:highlight w:val="none"/>
        </w:rPr>
        <w:t>等方面表现出色，达到了预期的标准与要求。同时，项目也在</w:t>
      </w:r>
      <w:r>
        <w:rPr>
          <w:rFonts w:hint="eastAsia" w:eastAsia="仿宋_GB2312" w:cs="Times New Roman"/>
          <w:sz w:val="32"/>
          <w:szCs w:val="32"/>
          <w:highlight w:val="none"/>
          <w:lang w:val="en-US" w:eastAsia="zh-CN"/>
        </w:rPr>
        <w:t>项目产出环节</w:t>
      </w:r>
      <w:r>
        <w:rPr>
          <w:rFonts w:hint="default" w:ascii="Times New Roman" w:hAnsi="Times New Roman" w:eastAsia="仿宋_GB2312" w:cs="Times New Roman"/>
          <w:sz w:val="32"/>
          <w:szCs w:val="32"/>
          <w:highlight w:val="none"/>
        </w:rPr>
        <w:t>取得了显著的成效，如</w:t>
      </w:r>
      <w:r>
        <w:rPr>
          <w:rFonts w:hint="eastAsia" w:eastAsia="仿宋_GB2312" w:cs="Times New Roman"/>
          <w:sz w:val="32"/>
          <w:szCs w:val="32"/>
          <w:highlight w:val="none"/>
          <w:lang w:val="en-US" w:eastAsia="zh-CN"/>
        </w:rPr>
        <w:t>报告质量通过率</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区域覆盖率</w:t>
      </w:r>
      <w:r>
        <w:rPr>
          <w:rFonts w:hint="default" w:ascii="Times New Roman" w:hAnsi="Times New Roman" w:eastAsia="仿宋_GB2312" w:cs="Times New Roman"/>
          <w:sz w:val="32"/>
          <w:szCs w:val="32"/>
          <w:highlight w:val="none"/>
        </w:rPr>
        <w:t>等。</w:t>
      </w:r>
    </w:p>
    <w:p>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ascii="仿宋_GB2312" w:eastAsia="仿宋_GB2312"/>
          <w:sz w:val="32"/>
          <w:szCs w:val="24"/>
          <w:lang w:eastAsia="zh-CN"/>
        </w:rPr>
        <w:t>新疆维吾尔自治区生态环境厅第</w:t>
      </w:r>
      <w:r>
        <w:rPr>
          <w:rFonts w:hint="eastAsia" w:ascii="仿宋_GB2312" w:eastAsia="仿宋_GB2312"/>
          <w:sz w:val="32"/>
          <w:szCs w:val="24"/>
          <w:lang w:val="en-US" w:eastAsia="zh-CN"/>
        </w:rPr>
        <w:t>四</w:t>
      </w:r>
      <w:r>
        <w:rPr>
          <w:rFonts w:hint="eastAsia" w:ascii="仿宋_GB2312" w:eastAsia="仿宋_GB2312"/>
          <w:sz w:val="32"/>
          <w:szCs w:val="24"/>
          <w:lang w:eastAsia="zh-CN"/>
        </w:rPr>
        <w:t>生态环境监察专员办公室</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w:t>
      </w:r>
      <w:r>
        <w:rPr>
          <w:rFonts w:hint="eastAsia" w:eastAsia="仿宋_GB2312" w:cs="Times New Roman"/>
          <w:sz w:val="32"/>
          <w:szCs w:val="32"/>
          <w:highlight w:val="none"/>
          <w:lang w:val="en-US" w:eastAsia="zh-CN"/>
        </w:rPr>
        <w:t>在</w:t>
      </w:r>
      <w:r>
        <w:rPr>
          <w:rFonts w:hint="default" w:ascii="Times New Roman" w:hAnsi="Times New Roman" w:eastAsia="仿宋_GB2312" w:cs="Times New Roman"/>
          <w:sz w:val="32"/>
          <w:szCs w:val="32"/>
          <w:highlight w:val="none"/>
        </w:rPr>
        <w:t>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rPr>
        <w:t>效益等方面产生了积极的影响。具体而言，</w:t>
      </w:r>
      <w:r>
        <w:rPr>
          <w:rFonts w:hint="eastAsia" w:eastAsia="仿宋_GB2312" w:cs="Times New Roman"/>
          <w:sz w:val="32"/>
          <w:szCs w:val="32"/>
          <w:highlight w:val="none"/>
          <w:lang w:val="en-US" w:eastAsia="zh-CN"/>
        </w:rPr>
        <w:t>监察结果反馈率</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跟踪督办率</w:t>
      </w:r>
      <w:r>
        <w:rPr>
          <w:rFonts w:hint="default" w:ascii="Times New Roman" w:hAnsi="Times New Roman" w:eastAsia="仿宋_GB2312" w:cs="Times New Roman"/>
          <w:sz w:val="32"/>
          <w:szCs w:val="32"/>
          <w:highlight w:val="none"/>
        </w:rPr>
        <w:t>等方面的提升，为项目的利益相关者带来了实实在在的利益。</w:t>
      </w:r>
    </w:p>
    <w:p>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w:t>
      </w:r>
      <w:r>
        <w:rPr>
          <w:rFonts w:hint="eastAsia" w:eastAsia="仿宋_GB2312" w:cs="Times New Roman"/>
          <w:sz w:val="32"/>
          <w:szCs w:val="32"/>
          <w:highlight w:val="none"/>
          <w:lang w:val="en-US" w:eastAsia="zh-CN"/>
        </w:rPr>
        <w:t>生态环境监察项目</w:t>
      </w:r>
      <w:r>
        <w:rPr>
          <w:rFonts w:hint="default" w:ascii="Times New Roman" w:hAnsi="Times New Roman" w:eastAsia="仿宋_GB2312" w:cs="Times New Roman"/>
          <w:sz w:val="32"/>
          <w:szCs w:val="32"/>
          <w:highlight w:val="none"/>
        </w:rPr>
        <w:t>在绩效评价中表现出色，达到了项目的预期目标，并在多个方面取得了显著的成效。</w:t>
      </w:r>
    </w:p>
    <w:p>
      <w:pPr>
        <w:pStyle w:val="11"/>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w:t>
      </w:r>
      <w:r>
        <w:rPr>
          <w:rFonts w:hint="default" w:ascii="Times New Roman" w:hAnsi="Times New Roman" w:eastAsia="仿宋_GB2312" w:cs="Times New Roman"/>
          <w:b w:val="0"/>
          <w:bCs w:val="0"/>
          <w:highlight w:val="none"/>
        </w:rPr>
        <w:t>，最终评分结果：总得分为</w:t>
      </w:r>
      <w:r>
        <w:rPr>
          <w:rFonts w:hint="eastAsia" w:ascii="Times New Roman" w:hAnsi="Times New Roman" w:eastAsia="仿宋_GB2312" w:cs="Times New Roman"/>
          <w:b w:val="0"/>
          <w:bCs w:val="0"/>
          <w:highlight w:val="none"/>
          <w:lang w:val="en-US" w:eastAsia="zh-CN"/>
        </w:rPr>
        <w:t>99.39</w:t>
      </w:r>
      <w:r>
        <w:rPr>
          <w:rFonts w:hint="default" w:ascii="Times New Roman" w:hAnsi="Times New Roman" w:eastAsia="仿宋_GB2312" w:cs="Times New Roman"/>
          <w:b w:val="0"/>
          <w:bCs w:val="0"/>
          <w:highlight w:val="none"/>
        </w:rPr>
        <w:t>分，属于“优”。其中，项目决策类指标权重为20分，得分为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19.39</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96.95</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%。具体打分情况详见：附件1综合评分表</w:t>
      </w:r>
      <w:r>
        <w:rPr>
          <w:rFonts w:hint="default" w:ascii="Times New Roman" w:hAnsi="Times New Roman" w:eastAsia="仿宋_GB2312" w:cs="Times New Roman"/>
          <w:b w:val="0"/>
          <w:bCs w:val="0"/>
          <w:highlight w:val="none"/>
          <w:lang w:eastAsia="zh-CN"/>
        </w:rPr>
        <w:t>。</w:t>
      </w:r>
    </w:p>
    <w:p>
      <w:pPr>
        <w:pStyle w:val="11"/>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5"/>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19.39</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99.39</w:t>
            </w:r>
          </w:p>
        </w:tc>
      </w:tr>
    </w:tbl>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11"/>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pPr>
        <w:shd w:val="clear"/>
        <w:spacing w:line="600" w:lineRule="exact"/>
        <w:ind w:firstLine="640" w:firstLineChars="200"/>
        <w:outlineLvl w:val="0"/>
        <w:rPr>
          <w:rFonts w:hint="default" w:ascii="Times New Roman" w:hAnsi="Times New Roman" w:eastAsia="仿宋_GB2312" w:cs="Times New Roman"/>
          <w:sz w:val="32"/>
          <w:szCs w:val="32"/>
          <w:highlight w:val="yellow"/>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1"/>
        <w:numPr>
          <w:ilvl w:val="0"/>
          <w:numId w:val="4"/>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default" w:ascii="Times New Roman" w:hAnsi="Times New Roman" w:eastAsia="仿宋_GB2312" w:cs="Times New Roman"/>
          <w:sz w:val="32"/>
          <w:szCs w:val="32"/>
          <w:highlight w:val="none"/>
          <w:lang w:val="en-US" w:eastAsia="zh-CN"/>
        </w:rPr>
        <w:t>5个</w:t>
      </w:r>
      <w:r>
        <w:rPr>
          <w:rFonts w:hint="default" w:ascii="Times New Roman" w:hAnsi="Times New Roman" w:eastAsia="仿宋_GB2312" w:cs="Times New Roman"/>
          <w:sz w:val="32"/>
          <w:szCs w:val="32"/>
          <w:lang w:val="en-US" w:eastAsia="zh-CN"/>
        </w:rPr>
        <w:t>三级指标构成，权重分值为20分，</w:t>
      </w:r>
      <w:r>
        <w:rPr>
          <w:rFonts w:hint="default" w:ascii="Times New Roman" w:hAnsi="Times New Roman" w:eastAsia="仿宋_GB2312" w:cs="Times New Roman"/>
          <w:sz w:val="32"/>
          <w:szCs w:val="32"/>
          <w:highlight w:val="none"/>
          <w:lang w:val="en-US" w:eastAsia="zh-CN"/>
        </w:rPr>
        <w:t>实际得分</w:t>
      </w:r>
      <w:r>
        <w:rPr>
          <w:rFonts w:hint="eastAsia" w:eastAsia="仿宋_GB2312" w:cs="Times New Roman"/>
          <w:sz w:val="32"/>
          <w:szCs w:val="32"/>
          <w:highlight w:val="none"/>
          <w:lang w:val="en-US" w:eastAsia="zh-CN"/>
        </w:rPr>
        <w:t>19.39</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96.95</w:t>
      </w:r>
      <w:r>
        <w:rPr>
          <w:rFonts w:hint="default" w:ascii="Times New Roman" w:hAnsi="Times New Roman" w:eastAsia="仿宋_GB2312" w:cs="Times New Roman"/>
          <w:sz w:val="32"/>
          <w:szCs w:val="32"/>
          <w:highlight w:val="none"/>
          <w:lang w:val="en-US" w:eastAsia="zh-CN"/>
        </w:rPr>
        <w:t>%。</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w:t>
      </w:r>
      <w:r>
        <w:rPr>
          <w:rFonts w:hint="default" w:ascii="Times New Roman" w:hAnsi="Times New Roman" w:eastAsia="仿宋_GB2312" w:cs="Times New Roman"/>
          <w:sz w:val="32"/>
          <w:szCs w:val="32"/>
          <w:highlight w:val="none"/>
          <w:lang w:val="en-US" w:eastAsia="zh-CN"/>
        </w:rPr>
        <w:t>目总投资</w:t>
      </w:r>
      <w:r>
        <w:rPr>
          <w:rFonts w:hint="eastAsia" w:eastAsia="仿宋_GB2312" w:cs="Times New Roman"/>
          <w:sz w:val="32"/>
          <w:szCs w:val="32"/>
          <w:highlight w:val="none"/>
          <w:lang w:val="en-US" w:eastAsia="zh-CN"/>
        </w:rPr>
        <w:t>90.00</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lang w:val="en-US" w:eastAsia="zh-CN"/>
        </w:rPr>
        <w:t>预算资金按计划进度执行。</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w:t>
      </w:r>
      <w:r>
        <w:rPr>
          <w:rFonts w:hint="eastAsia" w:eastAsia="仿宋_GB2312" w:cs="Times New Roman"/>
          <w:sz w:val="32"/>
          <w:szCs w:val="32"/>
          <w:highlight w:val="none"/>
          <w:lang w:val="en-US" w:eastAsia="zh-CN"/>
        </w:rPr>
        <w:t>76.24</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84.71</w:t>
      </w:r>
      <w:r>
        <w:rPr>
          <w:rFonts w:hint="default" w:ascii="Times New Roman" w:hAnsi="Times New Roman"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pPr>
        <w:pStyle w:val="13"/>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项目产出类指标包括产出数量、产出质量、产出时效</w:t>
      </w:r>
      <w:r>
        <w:rPr>
          <w:rFonts w:hint="eastAsia" w:eastAsia="仿宋_GB2312" w:cs="Times New Roman"/>
          <w:sz w:val="32"/>
          <w:szCs w:val="32"/>
          <w:highlight w:val="none"/>
          <w:lang w:val="en-US" w:eastAsia="zh-CN"/>
        </w:rPr>
        <w:t>三</w:t>
      </w:r>
      <w:r>
        <w:rPr>
          <w:rFonts w:hint="default" w:ascii="Times New Roman" w:hAnsi="Times New Roman" w:eastAsia="仿宋_GB2312" w:cs="Times New Roman"/>
          <w:sz w:val="32"/>
          <w:szCs w:val="32"/>
          <w:highlight w:val="none"/>
          <w:lang w:val="en-US" w:eastAsia="zh-CN"/>
        </w:rPr>
        <w:t>方面的内容，由</w:t>
      </w:r>
      <w:r>
        <w:rPr>
          <w:rFonts w:hint="eastAsia" w:eastAsia="仿宋_GB2312" w:cs="Times New Roman"/>
          <w:sz w:val="32"/>
          <w:szCs w:val="32"/>
          <w:highlight w:val="none"/>
          <w:lang w:val="en-US" w:eastAsia="zh-CN"/>
        </w:rPr>
        <w:t>7</w:t>
      </w:r>
      <w:r>
        <w:rPr>
          <w:rFonts w:hint="default" w:ascii="Times New Roman" w:hAnsi="Times New Roman" w:eastAsia="仿宋_GB2312" w:cs="Times New Roman"/>
          <w:sz w:val="32"/>
          <w:szCs w:val="32"/>
          <w:highlight w:val="none"/>
          <w:lang w:val="en-US" w:eastAsia="zh-CN"/>
        </w:rPr>
        <w:t>个三级指标构成，权重分为</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%。具体产出指标完成情况如下：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指标1：覆盖生态环境监察区域，指标值</w:t>
      </w:r>
      <w:r>
        <w:rPr>
          <w:rFonts w:hint="eastAsia"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2个</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2个</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p>
    <w:p>
      <w:pPr>
        <w:spacing w:line="600" w:lineRule="exact"/>
        <w:ind w:firstLine="640" w:firstLineChars="200"/>
        <w:outlineLvl w:val="0"/>
        <w:rPr>
          <w:rFonts w:hint="eastAsia" w:ascii="仿宋_GB2312" w:hAnsi="仿宋_GB2312" w:eastAsia="仿宋_GB2312"/>
          <w:sz w:val="32"/>
          <w:szCs w:val="24"/>
          <w:lang w:val="en-US" w:eastAsia="zh-CN"/>
        </w:rPr>
      </w:pPr>
      <w:r>
        <w:rPr>
          <w:rFonts w:hint="eastAsia" w:ascii="Times New Roman" w:hAnsi="Times New Roman" w:eastAsia="仿宋_GB2312" w:cs="Times New Roman"/>
          <w:sz w:val="32"/>
          <w:szCs w:val="32"/>
          <w:highlight w:val="none"/>
        </w:rPr>
        <w:t>指标2：督察(监察)频次，指标值：</w:t>
      </w:r>
      <w:r>
        <w:rPr>
          <w:rFonts w:hint="eastAsia" w:ascii="Times New Roman" w:hAnsi="Times New Roman" w:eastAsia="仿宋_GB2312" w:cs="Times New Roman"/>
          <w:sz w:val="32"/>
          <w:szCs w:val="32"/>
          <w:highlight w:val="none"/>
          <w:lang w:val="en-US" w:eastAsia="zh-CN"/>
        </w:rPr>
        <w:t>≥8次</w:t>
      </w:r>
      <w:r>
        <w:rPr>
          <w:rFonts w:hint="eastAsia" w:ascii="Times New Roman" w:hAnsi="Times New Roman" w:eastAsia="仿宋_GB2312" w:cs="Times New Roman"/>
          <w:sz w:val="32"/>
          <w:szCs w:val="32"/>
          <w:highlight w:val="none"/>
        </w:rPr>
        <w:t>，实际完成值：</w:t>
      </w:r>
      <w:r>
        <w:rPr>
          <w:rFonts w:hint="eastAsia" w:ascii="Times New Roman" w:hAnsi="Times New Roman" w:eastAsia="仿宋_GB2312" w:cs="Times New Roman"/>
          <w:sz w:val="32"/>
          <w:szCs w:val="32"/>
          <w:highlight w:val="none"/>
          <w:lang w:val="en-US" w:eastAsia="zh-CN"/>
        </w:rPr>
        <w:t>8次</w:t>
      </w:r>
      <w:r>
        <w:rPr>
          <w:rFonts w:hint="eastAsia" w:ascii="Times New Roman" w:hAnsi="Times New Roman" w:eastAsia="仿宋_GB2312" w:cs="Times New Roman"/>
          <w:sz w:val="32"/>
          <w:szCs w:val="32"/>
          <w:highlight w:val="none"/>
        </w:rPr>
        <w:t>，指标完成率</w:t>
      </w:r>
      <w:r>
        <w:rPr>
          <w:rFonts w:hint="eastAsia" w:ascii="Times New Roman" w:hAnsi="Times New Roman" w:eastAsia="仿宋_GB2312" w:cs="Times New Roman"/>
          <w:sz w:val="32"/>
          <w:szCs w:val="32"/>
          <w:highlight w:val="none"/>
          <w:lang w:val="en-US" w:eastAsia="zh-CN"/>
        </w:rPr>
        <w:t>100%。</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3</w:t>
      </w:r>
      <w:r>
        <w:rPr>
          <w:rFonts w:hint="eastAsia" w:ascii="Times New Roman" w:hAnsi="Times New Roman" w:eastAsia="仿宋_GB2312" w:cs="Times New Roman"/>
          <w:sz w:val="32"/>
          <w:szCs w:val="32"/>
          <w:highlight w:val="none"/>
        </w:rPr>
        <w:t>：形成</w:t>
      </w:r>
      <w:r>
        <w:rPr>
          <w:rFonts w:hint="eastAsia" w:ascii="Times New Roman" w:hAnsi="Times New Roman" w:eastAsia="仿宋_GB2312" w:cs="Times New Roman"/>
          <w:sz w:val="32"/>
          <w:szCs w:val="32"/>
          <w:highlight w:val="none"/>
          <w:lang w:val="en-US" w:eastAsia="zh-CN"/>
        </w:rPr>
        <w:t>督察</w:t>
      </w:r>
      <w:r>
        <w:rPr>
          <w:rFonts w:hint="eastAsia" w:ascii="Times New Roman" w:hAnsi="Times New Roman" w:eastAsia="仿宋_GB2312" w:cs="Times New Roman"/>
          <w:sz w:val="32"/>
          <w:szCs w:val="32"/>
          <w:highlight w:val="none"/>
        </w:rPr>
        <w:t>监察</w:t>
      </w:r>
      <w:r>
        <w:rPr>
          <w:rFonts w:hint="eastAsia" w:ascii="Times New Roman" w:hAnsi="Times New Roman" w:eastAsia="仿宋_GB2312" w:cs="Times New Roman"/>
          <w:sz w:val="32"/>
          <w:szCs w:val="32"/>
          <w:highlight w:val="none"/>
          <w:lang w:val="en-US" w:eastAsia="zh-CN"/>
        </w:rPr>
        <w:t>专项</w:t>
      </w:r>
      <w:r>
        <w:rPr>
          <w:rFonts w:hint="eastAsia" w:ascii="Times New Roman" w:hAnsi="Times New Roman" w:eastAsia="仿宋_GB2312" w:cs="Times New Roman"/>
          <w:sz w:val="32"/>
          <w:szCs w:val="32"/>
          <w:highlight w:val="none"/>
        </w:rPr>
        <w:t>报告，指标值：</w:t>
      </w:r>
      <w:r>
        <w:rPr>
          <w:rFonts w:hint="eastAsia" w:ascii="Times New Roman" w:hAnsi="Times New Roman" w:eastAsia="仿宋_GB2312" w:cs="Times New Roman"/>
          <w:sz w:val="32"/>
          <w:szCs w:val="32"/>
          <w:highlight w:val="none"/>
          <w:lang w:val="en-US" w:eastAsia="zh-CN"/>
        </w:rPr>
        <w:t>≥4个</w:t>
      </w:r>
      <w:r>
        <w:rPr>
          <w:rFonts w:hint="eastAsia" w:ascii="Times New Roman" w:hAnsi="Times New Roman" w:eastAsia="仿宋_GB2312" w:cs="Times New Roman"/>
          <w:sz w:val="32"/>
          <w:szCs w:val="32"/>
          <w:highlight w:val="none"/>
        </w:rPr>
        <w:t>，实际完成值：</w:t>
      </w:r>
      <w:r>
        <w:rPr>
          <w:rFonts w:hint="eastAsia" w:ascii="Times New Roman" w:hAnsi="Times New Roman" w:eastAsia="仿宋_GB2312" w:cs="Times New Roman"/>
          <w:sz w:val="32"/>
          <w:szCs w:val="32"/>
          <w:highlight w:val="none"/>
          <w:lang w:val="en-US" w:eastAsia="zh-CN"/>
        </w:rPr>
        <w:t>4个</w:t>
      </w:r>
      <w:r>
        <w:rPr>
          <w:rFonts w:hint="eastAsia" w:ascii="Times New Roman" w:hAnsi="Times New Roman" w:eastAsia="仿宋_GB2312" w:cs="Times New Roman"/>
          <w:sz w:val="32"/>
          <w:szCs w:val="32"/>
          <w:highlight w:val="none"/>
        </w:rPr>
        <w:t>，指标完成率</w:t>
      </w:r>
      <w:r>
        <w:rPr>
          <w:rFonts w:hint="eastAsia" w:ascii="Times New Roman" w:hAnsi="Times New Roman" w:eastAsia="仿宋_GB2312" w:cs="Times New Roman"/>
          <w:sz w:val="32"/>
          <w:szCs w:val="32"/>
          <w:highlight w:val="none"/>
          <w:lang w:val="en-US" w:eastAsia="zh-CN"/>
        </w:rPr>
        <w:t>100%。</w:t>
      </w:r>
    </w:p>
    <w:p>
      <w:pPr>
        <w:shd w:val="clear"/>
        <w:spacing w:line="600" w:lineRule="exact"/>
        <w:ind w:firstLine="640" w:firstLineChars="200"/>
        <w:outlineLvl w:val="0"/>
        <w:rPr>
          <w:rFonts w:hint="default"/>
          <w:sz w:val="21"/>
          <w:szCs w:val="24"/>
          <w:lang w:val="en-US" w:eastAsia="zh-CN"/>
        </w:rPr>
      </w:pPr>
      <w:r>
        <w:rPr>
          <w:rFonts w:hint="eastAsia"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4</w:t>
      </w:r>
      <w:r>
        <w:rPr>
          <w:rFonts w:hint="eastAsia" w:ascii="Times New Roman" w:hAnsi="Times New Roman" w:eastAsia="仿宋_GB2312" w:cs="Times New Roman"/>
          <w:sz w:val="32"/>
          <w:szCs w:val="32"/>
          <w:highlight w:val="none"/>
        </w:rPr>
        <w:t>：形成</w:t>
      </w:r>
      <w:r>
        <w:rPr>
          <w:rFonts w:hint="eastAsia" w:ascii="Times New Roman" w:hAnsi="Times New Roman" w:eastAsia="仿宋_GB2312" w:cs="Times New Roman"/>
          <w:sz w:val="32"/>
          <w:szCs w:val="32"/>
          <w:highlight w:val="none"/>
          <w:lang w:val="en-US" w:eastAsia="zh-CN"/>
        </w:rPr>
        <w:t>环保督察整改情况</w:t>
      </w:r>
      <w:r>
        <w:rPr>
          <w:rFonts w:hint="eastAsia" w:ascii="Times New Roman" w:hAnsi="Times New Roman" w:eastAsia="仿宋_GB2312" w:cs="Times New Roman"/>
          <w:sz w:val="32"/>
          <w:szCs w:val="32"/>
          <w:highlight w:val="none"/>
        </w:rPr>
        <w:t>报告，指标值：</w:t>
      </w:r>
      <w:r>
        <w:rPr>
          <w:rFonts w:hint="eastAsia" w:ascii="Times New Roman" w:hAnsi="Times New Roman" w:eastAsia="仿宋_GB2312" w:cs="Times New Roman"/>
          <w:sz w:val="32"/>
          <w:szCs w:val="32"/>
          <w:highlight w:val="none"/>
          <w:lang w:val="en-US" w:eastAsia="zh-CN"/>
        </w:rPr>
        <w:t>≥4个</w:t>
      </w:r>
      <w:r>
        <w:rPr>
          <w:rFonts w:hint="eastAsia" w:ascii="Times New Roman" w:hAnsi="Times New Roman" w:eastAsia="仿宋_GB2312" w:cs="Times New Roman"/>
          <w:sz w:val="32"/>
          <w:szCs w:val="32"/>
          <w:highlight w:val="none"/>
        </w:rPr>
        <w:t>，实际完成值：</w:t>
      </w:r>
      <w:r>
        <w:rPr>
          <w:rFonts w:hint="eastAsia" w:ascii="Times New Roman" w:hAnsi="Times New Roman" w:eastAsia="仿宋_GB2312" w:cs="Times New Roman"/>
          <w:sz w:val="32"/>
          <w:szCs w:val="32"/>
          <w:highlight w:val="none"/>
          <w:lang w:val="en-US" w:eastAsia="zh-CN"/>
        </w:rPr>
        <w:t>4个</w:t>
      </w:r>
      <w:r>
        <w:rPr>
          <w:rFonts w:hint="eastAsia" w:ascii="Times New Roman" w:hAnsi="Times New Roman" w:eastAsia="仿宋_GB2312" w:cs="Times New Roman"/>
          <w:sz w:val="32"/>
          <w:szCs w:val="32"/>
          <w:highlight w:val="none"/>
        </w:rPr>
        <w:t>，指标完成率</w:t>
      </w:r>
      <w:r>
        <w:rPr>
          <w:rFonts w:hint="eastAsia" w:ascii="Times New Roman" w:hAnsi="Times New Roman" w:eastAsia="仿宋_GB2312" w:cs="Times New Roman"/>
          <w:sz w:val="32"/>
          <w:szCs w:val="32"/>
          <w:highlight w:val="none"/>
          <w:lang w:val="en-US" w:eastAsia="zh-CN"/>
        </w:rPr>
        <w:t>100%。</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pPr>
        <w:shd w:val="clear"/>
        <w:spacing w:line="600" w:lineRule="exact"/>
        <w:ind w:firstLine="640" w:firstLineChars="200"/>
        <w:outlineLvl w:val="0"/>
        <w:rPr>
          <w:rFonts w:hint="eastAsia"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指标1：报告质量通过率，指标值：</w:t>
      </w:r>
      <w:r>
        <w:rPr>
          <w:rFonts w:hint="eastAsia"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100%</w:t>
      </w:r>
      <w:r>
        <w:rPr>
          <w:rFonts w:hint="eastAsia" w:ascii="Times New Roman" w:hAnsi="Times New Roman" w:eastAsia="仿宋_GB2312" w:cs="Times New Roman"/>
          <w:sz w:val="32"/>
          <w:szCs w:val="32"/>
          <w:highlight w:val="none"/>
        </w:rPr>
        <w:t>，实际完成值：</w:t>
      </w:r>
      <w:r>
        <w:rPr>
          <w:rFonts w:hint="eastAsia" w:ascii="Times New Roman" w:hAnsi="Times New Roman" w:eastAsia="仿宋_GB2312" w:cs="Times New Roman"/>
          <w:sz w:val="32"/>
          <w:szCs w:val="32"/>
          <w:highlight w:val="none"/>
          <w:lang w:val="en-US" w:eastAsia="zh-CN"/>
        </w:rPr>
        <w:t>100%</w:t>
      </w:r>
      <w:r>
        <w:rPr>
          <w:rFonts w:hint="eastAsia" w:ascii="Times New Roman" w:hAnsi="Times New Roman" w:eastAsia="仿宋_GB2312" w:cs="Times New Roman"/>
          <w:sz w:val="32"/>
          <w:szCs w:val="32"/>
          <w:highlight w:val="none"/>
        </w:rPr>
        <w:t>，指标完成率</w:t>
      </w:r>
      <w:r>
        <w:rPr>
          <w:rFonts w:hint="eastAsia" w:ascii="Times New Roman" w:hAnsi="Times New Roman" w:eastAsia="仿宋_GB2312" w:cs="Times New Roman"/>
          <w:sz w:val="32"/>
          <w:szCs w:val="32"/>
          <w:highlight w:val="none"/>
          <w:lang w:val="en-US" w:eastAsia="zh-CN"/>
        </w:rPr>
        <w:t>100%</w:t>
      </w:r>
      <w:r>
        <w:rPr>
          <w:rFonts w:hint="eastAsia"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eastAsia" w:ascii="仿宋_GB2312" w:hAnsi="仿宋_GB2312" w:eastAsia="仿宋_GB2312"/>
          <w:sz w:val="32"/>
          <w:szCs w:val="24"/>
          <w:lang w:val="en-US" w:eastAsia="zh-CN"/>
        </w:rPr>
      </w:pPr>
      <w:r>
        <w:rPr>
          <w:rFonts w:hint="eastAsia" w:ascii="Times New Roman" w:hAnsi="Times New Roman" w:eastAsia="仿宋_GB2312" w:cs="Times New Roman"/>
          <w:sz w:val="32"/>
          <w:szCs w:val="32"/>
          <w:highlight w:val="none"/>
          <w:lang w:val="en-US" w:eastAsia="zh-CN"/>
        </w:rPr>
        <w:t>指标2：区域</w:t>
      </w:r>
      <w:r>
        <w:rPr>
          <w:rFonts w:hint="eastAsia" w:ascii="Times New Roman" w:hAnsi="Times New Roman" w:eastAsia="仿宋_GB2312" w:cs="Times New Roman"/>
          <w:sz w:val="32"/>
          <w:szCs w:val="32"/>
          <w:highlight w:val="none"/>
        </w:rPr>
        <w:t>覆盖率，指标值：</w:t>
      </w:r>
      <w:r>
        <w:rPr>
          <w:rFonts w:hint="eastAsia"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100%</w:t>
      </w:r>
      <w:r>
        <w:rPr>
          <w:rFonts w:hint="eastAsia" w:ascii="Times New Roman" w:hAnsi="Times New Roman" w:eastAsia="仿宋_GB2312" w:cs="Times New Roman"/>
          <w:sz w:val="32"/>
          <w:szCs w:val="32"/>
          <w:highlight w:val="none"/>
        </w:rPr>
        <w:t>，实际完成值：</w:t>
      </w:r>
      <w:r>
        <w:rPr>
          <w:rFonts w:hint="eastAsia" w:ascii="Times New Roman" w:hAnsi="Times New Roman" w:eastAsia="仿宋_GB2312" w:cs="Times New Roman"/>
          <w:sz w:val="32"/>
          <w:szCs w:val="32"/>
          <w:highlight w:val="none"/>
          <w:lang w:val="en-US" w:eastAsia="zh-CN"/>
        </w:rPr>
        <w:t>100%</w:t>
      </w:r>
      <w:r>
        <w:rPr>
          <w:rFonts w:hint="eastAsia" w:ascii="Times New Roman" w:hAnsi="Times New Roman" w:eastAsia="仿宋_GB2312" w:cs="Times New Roman"/>
          <w:sz w:val="32"/>
          <w:szCs w:val="32"/>
          <w:highlight w:val="none"/>
        </w:rPr>
        <w:t>，指标完成率</w:t>
      </w:r>
      <w:r>
        <w:rPr>
          <w:rFonts w:hint="eastAsia" w:ascii="Times New Roman" w:hAnsi="Times New Roman" w:eastAsia="仿宋_GB2312" w:cs="Times New Roman"/>
          <w:sz w:val="32"/>
          <w:szCs w:val="32"/>
          <w:highlight w:val="none"/>
          <w:lang w:val="en-US" w:eastAsia="zh-CN"/>
        </w:rPr>
        <w:t>100%</w:t>
      </w:r>
      <w:r>
        <w:rPr>
          <w:rFonts w:hint="eastAsia"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指标1：年度督察任务按时完成率，指标值：</w:t>
      </w:r>
      <w:r>
        <w:rPr>
          <w:rFonts w:hint="eastAsia"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100%，实际完成值：100%，指标完成率100%。</w:t>
      </w:r>
    </w:p>
    <w:p>
      <w:pPr>
        <w:pStyle w:val="13"/>
        <w:numPr>
          <w:ilvl w:val="0"/>
          <w:numId w:val="4"/>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个三级指标构成，权重分为</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p>
    <w:p>
      <w:pPr>
        <w:shd w:val="clear"/>
        <w:spacing w:line="600" w:lineRule="exact"/>
        <w:ind w:firstLine="640" w:firstLineChars="200"/>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社会效益指标：</w:t>
      </w:r>
    </w:p>
    <w:p>
      <w:pPr>
        <w:shd w:val="clear"/>
        <w:spacing w:line="600" w:lineRule="exact"/>
        <w:ind w:firstLine="640" w:firstLineChars="200"/>
        <w:outlineLvl w:val="0"/>
        <w:rPr>
          <w:rFonts w:hint="eastAsia"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指标1：监察结果反馈率，指标值：</w:t>
      </w:r>
      <w:r>
        <w:rPr>
          <w:rFonts w:hint="eastAsia"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100%</w:t>
      </w:r>
      <w:r>
        <w:rPr>
          <w:rFonts w:hint="eastAsia" w:ascii="Times New Roman" w:hAnsi="Times New Roman" w:eastAsia="仿宋_GB2312" w:cs="Times New Roman"/>
          <w:sz w:val="32"/>
          <w:szCs w:val="32"/>
          <w:highlight w:val="none"/>
        </w:rPr>
        <w:t>，实际完成值：</w:t>
      </w:r>
      <w:r>
        <w:rPr>
          <w:rFonts w:hint="eastAsia" w:ascii="Times New Roman" w:hAnsi="Times New Roman" w:eastAsia="仿宋_GB2312" w:cs="Times New Roman"/>
          <w:sz w:val="32"/>
          <w:szCs w:val="32"/>
          <w:highlight w:val="none"/>
          <w:lang w:val="en-US" w:eastAsia="zh-CN"/>
        </w:rPr>
        <w:t>100%</w:t>
      </w:r>
      <w:r>
        <w:rPr>
          <w:rFonts w:hint="eastAsia" w:ascii="Times New Roman" w:hAnsi="Times New Roman" w:eastAsia="仿宋_GB2312" w:cs="Times New Roman"/>
          <w:sz w:val="32"/>
          <w:szCs w:val="32"/>
          <w:highlight w:val="none"/>
        </w:rPr>
        <w:t>，指标完成率</w:t>
      </w:r>
      <w:r>
        <w:rPr>
          <w:rFonts w:hint="eastAsia" w:ascii="Times New Roman" w:hAnsi="Times New Roman" w:eastAsia="仿宋_GB2312" w:cs="Times New Roman"/>
          <w:sz w:val="32"/>
          <w:szCs w:val="32"/>
          <w:highlight w:val="none"/>
          <w:lang w:val="en-US" w:eastAsia="zh-CN"/>
        </w:rPr>
        <w:t>100%</w:t>
      </w:r>
      <w:r>
        <w:rPr>
          <w:rFonts w:hint="eastAsia"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指标2：跟踪督办率</w:t>
      </w:r>
      <w:r>
        <w:rPr>
          <w:rFonts w:hint="eastAsia"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100%</w:t>
      </w:r>
      <w:r>
        <w:rPr>
          <w:rFonts w:hint="eastAsia" w:ascii="Times New Roman" w:hAnsi="Times New Roman" w:eastAsia="仿宋_GB2312" w:cs="Times New Roman"/>
          <w:sz w:val="32"/>
          <w:szCs w:val="32"/>
          <w:highlight w:val="none"/>
        </w:rPr>
        <w:t>，实际完成值：</w:t>
      </w:r>
      <w:r>
        <w:rPr>
          <w:rFonts w:hint="eastAsia" w:ascii="Times New Roman" w:hAnsi="Times New Roman" w:eastAsia="仿宋_GB2312" w:cs="Times New Roman"/>
          <w:sz w:val="32"/>
          <w:szCs w:val="32"/>
          <w:highlight w:val="none"/>
          <w:lang w:val="en-US" w:eastAsia="zh-CN"/>
        </w:rPr>
        <w:t>100%</w:t>
      </w:r>
      <w:r>
        <w:rPr>
          <w:rFonts w:hint="eastAsia" w:ascii="Times New Roman" w:hAnsi="Times New Roman" w:eastAsia="仿宋_GB2312" w:cs="Times New Roman"/>
          <w:sz w:val="32"/>
          <w:szCs w:val="32"/>
          <w:highlight w:val="none"/>
        </w:rPr>
        <w:t>，指标完成率</w:t>
      </w:r>
      <w:r>
        <w:rPr>
          <w:rFonts w:hint="eastAsia" w:ascii="Times New Roman" w:hAnsi="Times New Roman" w:eastAsia="仿宋_GB2312" w:cs="Times New Roman"/>
          <w:sz w:val="32"/>
          <w:szCs w:val="32"/>
          <w:highlight w:val="none"/>
          <w:lang w:val="en-US" w:eastAsia="zh-CN"/>
        </w:rPr>
        <w:t>100%</w:t>
      </w:r>
      <w:r>
        <w:rPr>
          <w:rFonts w:hint="eastAsia"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指标1：检查人员被投诉次数，指标值：≤2次，实际完成值：0次，指标完成率100%。</w:t>
      </w:r>
    </w:p>
    <w:p>
      <w:pPr>
        <w:spacing w:line="560" w:lineRule="exact"/>
        <w:ind w:firstLine="643" w:firstLineChars="200"/>
        <w:rPr>
          <w:rFonts w:hint="eastAsia" w:ascii="Times New Roman" w:hAnsi="Times New Roman" w:eastAsia="楷体_GB2312" w:cs="Times New Roman"/>
          <w:b/>
          <w:bCs/>
          <w:sz w:val="32"/>
          <w:szCs w:val="32"/>
          <w:lang w:val="en-US" w:eastAsia="zh-Hans"/>
        </w:rPr>
      </w:pPr>
      <w:r>
        <w:rPr>
          <w:rFonts w:hint="eastAsia" w:ascii="Times New Roman" w:hAnsi="Times New Roman" w:eastAsia="楷体_GB2312" w:cs="Times New Roman"/>
          <w:b/>
          <w:bCs/>
          <w:sz w:val="32"/>
          <w:szCs w:val="32"/>
          <w:lang w:val="en-US" w:eastAsia="zh-CN"/>
        </w:rPr>
        <w:t>（五）</w:t>
      </w:r>
      <w:r>
        <w:rPr>
          <w:rFonts w:hint="eastAsia" w:ascii="Times New Roman" w:hAnsi="Times New Roman" w:eastAsia="楷体_GB2312" w:cs="Times New Roman"/>
          <w:b/>
          <w:bCs/>
          <w:sz w:val="32"/>
          <w:szCs w:val="32"/>
          <w:lang w:val="en-US" w:eastAsia="zh-Hans"/>
        </w:rPr>
        <w:t>预算执行进度与绩效指标总体完成率偏差</w:t>
      </w:r>
    </w:p>
    <w:p>
      <w:pPr>
        <w:pStyle w:val="20"/>
        <w:spacing w:line="560" w:lineRule="exact"/>
        <w:ind w:firstLine="640"/>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lang w:val="en-US" w:eastAsia="zh-CN"/>
        </w:rPr>
        <w:t>生态环境监察项目</w:t>
      </w:r>
      <w:r>
        <w:rPr>
          <w:rFonts w:hint="eastAsia" w:ascii="仿宋_GB2312" w:hAnsi="仿宋_GB2312" w:eastAsia="仿宋_GB2312" w:cs="仿宋_GB2312"/>
          <w:b w:val="0"/>
          <w:bCs w:val="0"/>
          <w:sz w:val="32"/>
          <w:szCs w:val="32"/>
          <w:highlight w:val="none"/>
        </w:rPr>
        <w:t>年初预算</w:t>
      </w:r>
      <w:r>
        <w:rPr>
          <w:rFonts w:hint="eastAsia" w:ascii="仿宋_GB2312" w:hAnsi="仿宋_GB2312" w:eastAsia="仿宋_GB2312" w:cs="仿宋_GB2312"/>
          <w:b w:val="0"/>
          <w:bCs w:val="0"/>
          <w:sz w:val="32"/>
          <w:szCs w:val="32"/>
          <w:highlight w:val="none"/>
          <w:lang w:val="en-US" w:eastAsia="zh-CN"/>
        </w:rPr>
        <w:t>90.00</w:t>
      </w:r>
      <w:r>
        <w:rPr>
          <w:rFonts w:hint="eastAsia" w:ascii="仿宋_GB2312" w:hAnsi="仿宋_GB2312" w:eastAsia="仿宋_GB2312" w:cs="仿宋_GB2312"/>
          <w:b w:val="0"/>
          <w:bCs w:val="0"/>
          <w:sz w:val="32"/>
          <w:szCs w:val="32"/>
          <w:highlight w:val="none"/>
        </w:rPr>
        <w:t>万元，全年预算</w:t>
      </w:r>
      <w:r>
        <w:rPr>
          <w:rFonts w:hint="eastAsia" w:ascii="仿宋_GB2312" w:hAnsi="仿宋_GB2312" w:eastAsia="仿宋_GB2312" w:cs="仿宋_GB2312"/>
          <w:b w:val="0"/>
          <w:bCs w:val="0"/>
          <w:sz w:val="32"/>
          <w:szCs w:val="32"/>
          <w:highlight w:val="none"/>
          <w:lang w:val="en-US" w:eastAsia="zh-CN"/>
        </w:rPr>
        <w:t>90.00</w:t>
      </w:r>
      <w:r>
        <w:rPr>
          <w:rFonts w:hint="eastAsia" w:ascii="仿宋_GB2312" w:hAnsi="仿宋_GB2312" w:eastAsia="仿宋_GB2312" w:cs="仿宋_GB2312"/>
          <w:b w:val="0"/>
          <w:bCs w:val="0"/>
          <w:sz w:val="32"/>
          <w:szCs w:val="32"/>
          <w:highlight w:val="none"/>
        </w:rPr>
        <w:t>万元，实际支出</w:t>
      </w:r>
      <w:r>
        <w:rPr>
          <w:rFonts w:hint="eastAsia" w:ascii="仿宋_GB2312" w:hAnsi="仿宋_GB2312" w:eastAsia="仿宋_GB2312" w:cs="仿宋_GB2312"/>
          <w:b w:val="0"/>
          <w:bCs w:val="0"/>
          <w:sz w:val="32"/>
          <w:szCs w:val="32"/>
          <w:highlight w:val="none"/>
          <w:lang w:val="en-US" w:eastAsia="zh-CN"/>
        </w:rPr>
        <w:t>76.24</w:t>
      </w:r>
      <w:r>
        <w:rPr>
          <w:rFonts w:hint="eastAsia" w:ascii="仿宋_GB2312" w:hAnsi="仿宋_GB2312" w:eastAsia="仿宋_GB2312" w:cs="仿宋_GB2312"/>
          <w:b w:val="0"/>
          <w:bCs w:val="0"/>
          <w:sz w:val="32"/>
          <w:szCs w:val="32"/>
          <w:highlight w:val="none"/>
        </w:rPr>
        <w:t>万元，预算执行率为</w:t>
      </w:r>
      <w:r>
        <w:rPr>
          <w:rFonts w:hint="eastAsia" w:ascii="仿宋_GB2312" w:hAnsi="仿宋_GB2312" w:eastAsia="仿宋_GB2312" w:cs="仿宋_GB2312"/>
          <w:b w:val="0"/>
          <w:bCs w:val="0"/>
          <w:sz w:val="32"/>
          <w:szCs w:val="32"/>
          <w:highlight w:val="none"/>
          <w:lang w:val="en-US" w:eastAsia="zh-CN"/>
        </w:rPr>
        <w:t>84.71</w:t>
      </w:r>
      <w:r>
        <w:rPr>
          <w:rFonts w:hint="eastAsia" w:ascii="仿宋_GB2312" w:hAnsi="仿宋_GB2312" w:eastAsia="仿宋_GB2312" w:cs="仿宋_GB2312"/>
          <w:b w:val="0"/>
          <w:bCs w:val="0"/>
          <w:sz w:val="32"/>
          <w:szCs w:val="32"/>
          <w:highlight w:val="none"/>
        </w:rPr>
        <w:t>%，项目绩效指标总体完成率为</w:t>
      </w:r>
      <w:r>
        <w:rPr>
          <w:rFonts w:hint="eastAsia" w:ascii="仿宋_GB2312" w:hAnsi="仿宋_GB2312" w:eastAsia="仿宋_GB2312" w:cs="仿宋_GB2312"/>
          <w:b w:val="0"/>
          <w:bCs w:val="0"/>
          <w:sz w:val="32"/>
          <w:szCs w:val="32"/>
          <w:highlight w:val="none"/>
          <w:lang w:val="en-US" w:eastAsia="zh-CN"/>
        </w:rPr>
        <w:t>100</w:t>
      </w:r>
      <w:r>
        <w:rPr>
          <w:rFonts w:hint="eastAsia" w:ascii="仿宋_GB2312" w:hAnsi="仿宋_GB2312" w:eastAsia="仿宋_GB2312" w:cs="仿宋_GB2312"/>
          <w:b w:val="0"/>
          <w:bCs w:val="0"/>
          <w:sz w:val="32"/>
          <w:szCs w:val="32"/>
          <w:highlight w:val="none"/>
        </w:rPr>
        <w:t>%，</w:t>
      </w:r>
      <w:r>
        <w:rPr>
          <w:rFonts w:hint="eastAsia" w:ascii="仿宋_GB2312" w:hAnsi="仿宋_GB2312" w:eastAsia="仿宋_GB2312" w:cs="仿宋_GB2312"/>
          <w:b w:val="0"/>
          <w:bCs w:val="0"/>
          <w:sz w:val="32"/>
          <w:szCs w:val="32"/>
          <w:highlight w:val="none"/>
          <w:lang w:eastAsia="zh-Hans"/>
        </w:rPr>
        <w:t>总体</w:t>
      </w:r>
      <w:r>
        <w:rPr>
          <w:rFonts w:hint="eastAsia" w:ascii="仿宋_GB2312" w:hAnsi="仿宋_GB2312" w:eastAsia="仿宋_GB2312" w:cs="仿宋_GB2312"/>
          <w:b w:val="0"/>
          <w:bCs w:val="0"/>
          <w:sz w:val="32"/>
          <w:szCs w:val="32"/>
          <w:highlight w:val="none"/>
        </w:rPr>
        <w:t>偏差率为</w:t>
      </w:r>
      <w:r>
        <w:rPr>
          <w:rFonts w:hint="eastAsia" w:ascii="仿宋_GB2312" w:hAnsi="仿宋_GB2312" w:eastAsia="仿宋_GB2312" w:cs="仿宋_GB2312"/>
          <w:b w:val="0"/>
          <w:bCs w:val="0"/>
          <w:sz w:val="32"/>
          <w:szCs w:val="32"/>
          <w:highlight w:val="none"/>
          <w:lang w:val="en-US" w:eastAsia="zh-CN"/>
        </w:rPr>
        <w:t>15.29</w:t>
      </w:r>
      <w:r>
        <w:rPr>
          <w:rFonts w:hint="eastAsia" w:ascii="仿宋_GB2312" w:hAnsi="仿宋_GB2312" w:eastAsia="仿宋_GB2312" w:cs="仿宋_GB2312"/>
          <w:b w:val="0"/>
          <w:bCs w:val="0"/>
          <w:sz w:val="32"/>
          <w:szCs w:val="32"/>
          <w:highlight w:val="none"/>
        </w:rPr>
        <w:t>%</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lang w:eastAsia="zh-Hans"/>
        </w:rPr>
        <w:t>偏差</w:t>
      </w:r>
      <w:r>
        <w:rPr>
          <w:rFonts w:hint="eastAsia" w:ascii="仿宋_GB2312" w:hAnsi="仿宋_GB2312" w:eastAsia="仿宋_GB2312" w:cs="仿宋_GB2312"/>
          <w:b w:val="0"/>
          <w:bCs w:val="0"/>
          <w:sz w:val="32"/>
          <w:szCs w:val="32"/>
          <w:highlight w:val="none"/>
        </w:rPr>
        <w:t>原因</w:t>
      </w:r>
      <w:r>
        <w:rPr>
          <w:rFonts w:hint="eastAsia" w:ascii="仿宋_GB2312" w:hAnsi="仿宋_GB2312" w:eastAsia="仿宋_GB2312" w:cs="仿宋_GB2312"/>
          <w:b w:val="0"/>
          <w:bCs w:val="0"/>
          <w:sz w:val="32"/>
          <w:szCs w:val="32"/>
          <w:highlight w:val="none"/>
          <w:lang w:val="en-US" w:eastAsia="zh-CN"/>
        </w:rPr>
        <w:t>一是2024年度在岗人数与计划项目实施人数偏差过大，2024年计划项目实施人数为7人，实际月平均在岗人数不足7人</w:t>
      </w:r>
      <w:r>
        <w:rPr>
          <w:rFonts w:hint="eastAsia" w:ascii="仿宋_GB2312" w:hAnsi="仿宋_GB2312" w:eastAsia="仿宋_GB2312" w:cs="仿宋_GB2312"/>
          <w:b w:val="0"/>
          <w:bCs w:val="0"/>
          <w:sz w:val="32"/>
          <w:szCs w:val="32"/>
          <w:highlight w:val="none"/>
        </w:rPr>
        <w:t>，</w:t>
      </w:r>
      <w:r>
        <w:rPr>
          <w:rFonts w:hint="eastAsia" w:ascii="仿宋_GB2312" w:hAnsi="仿宋_GB2312" w:eastAsia="仿宋_GB2312" w:cs="仿宋_GB2312"/>
          <w:b w:val="0"/>
          <w:bCs w:val="0"/>
          <w:sz w:val="32"/>
          <w:szCs w:val="32"/>
          <w:highlight w:val="none"/>
          <w:lang w:val="en-US" w:eastAsia="zh-CN"/>
        </w:rPr>
        <w:t>项目预算执行率受到影响；二是因单位涉改，按程序提交的公务用车租赁申请未收到批复，公务用车租赁费用未支出。</w:t>
      </w:r>
      <w:r>
        <w:rPr>
          <w:rFonts w:hint="eastAsia" w:ascii="仿宋_GB2312" w:hAnsi="仿宋_GB2312" w:eastAsia="仿宋_GB2312" w:cs="仿宋_GB2312"/>
          <w:b w:val="0"/>
          <w:bCs w:val="0"/>
          <w:sz w:val="32"/>
          <w:szCs w:val="32"/>
          <w:highlight w:val="none"/>
          <w:lang w:eastAsia="zh-Hans"/>
        </w:rPr>
        <w:t>改进</w:t>
      </w:r>
      <w:r>
        <w:rPr>
          <w:rFonts w:hint="eastAsia" w:ascii="仿宋_GB2312" w:hAnsi="仿宋_GB2312" w:eastAsia="仿宋_GB2312" w:cs="仿宋_GB2312"/>
          <w:b w:val="0"/>
          <w:bCs w:val="0"/>
          <w:sz w:val="32"/>
          <w:szCs w:val="32"/>
          <w:highlight w:val="none"/>
        </w:rPr>
        <w:t>措施</w:t>
      </w:r>
      <w:r>
        <w:rPr>
          <w:rFonts w:hint="eastAsia" w:ascii="仿宋_GB2312" w:hAnsi="仿宋_GB2312" w:eastAsia="仿宋_GB2312" w:cs="仿宋_GB2312"/>
          <w:b w:val="0"/>
          <w:bCs w:val="0"/>
          <w:sz w:val="32"/>
          <w:szCs w:val="32"/>
          <w:highlight w:val="none"/>
          <w:lang w:val="en-US" w:eastAsia="zh-CN"/>
        </w:rPr>
        <w:t>一是更加合理安排预算资金，加强风险应对能力；二是提前谋划，合理预估不确定因素，做好应对措施</w:t>
      </w:r>
      <w:r>
        <w:rPr>
          <w:rFonts w:hint="eastAsia" w:ascii="仿宋_GB2312" w:hAnsi="仿宋_GB2312" w:eastAsia="仿宋_GB2312" w:cs="仿宋_GB2312"/>
          <w:b w:val="0"/>
          <w:bCs w:val="0"/>
          <w:sz w:val="32"/>
          <w:szCs w:val="32"/>
          <w:highlight w:val="none"/>
        </w:rPr>
        <w:t>。</w:t>
      </w:r>
    </w:p>
    <w:p>
      <w:pPr>
        <w:spacing w:line="560" w:lineRule="exact"/>
        <w:ind w:firstLine="640" w:firstLineChars="200"/>
        <w:rPr>
          <w:rStyle w:val="19"/>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w:t>
      </w:r>
      <w:r>
        <w:rPr>
          <w:rFonts w:hint="eastAsia" w:eastAsia="仿宋_GB2312" w:cs="Times New Roman"/>
          <w:sz w:val="32"/>
          <w:szCs w:val="32"/>
          <w:lang w:val="en-US" w:eastAsia="zh-CN"/>
        </w:rPr>
        <w:t>障</w:t>
      </w:r>
      <w:r>
        <w:rPr>
          <w:rFonts w:hint="default" w:ascii="Times New Roman" w:hAnsi="Times New Roman" w:eastAsia="仿宋_GB2312" w:cs="Times New Roman"/>
          <w:sz w:val="32"/>
          <w:szCs w:val="32"/>
        </w:rPr>
        <w:t>项目顺利进行，</w:t>
      </w:r>
      <w:r>
        <w:rPr>
          <w:rFonts w:hint="eastAsia" w:eastAsia="仿宋_GB2312" w:cs="Times New Roman"/>
          <w:sz w:val="32"/>
          <w:szCs w:val="32"/>
          <w:lang w:val="en-US" w:eastAsia="zh-CN"/>
        </w:rPr>
        <w:t>我单位</w:t>
      </w:r>
      <w:r>
        <w:rPr>
          <w:rFonts w:hint="default" w:ascii="Times New Roman" w:hAnsi="Times New Roman" w:eastAsia="仿宋_GB2312" w:cs="Times New Roman"/>
          <w:sz w:val="32"/>
          <w:szCs w:val="32"/>
        </w:rPr>
        <w:t>提前做好项目规划，</w:t>
      </w:r>
      <w:r>
        <w:rPr>
          <w:rFonts w:hint="eastAsia" w:ascii="仿宋_GB2312" w:hAnsi="仿宋_GB2312" w:eastAsia="仿宋_GB2312"/>
          <w:b w:val="0"/>
          <w:kern w:val="2"/>
          <w:sz w:val="32"/>
          <w:szCs w:val="24"/>
        </w:rPr>
        <w:t>制定</w:t>
      </w:r>
      <w:r>
        <w:rPr>
          <w:rFonts w:hint="eastAsia" w:ascii="仿宋_GB2312" w:hAnsi="仿宋_GB2312" w:eastAsia="仿宋_GB2312"/>
          <w:b w:val="0"/>
          <w:kern w:val="2"/>
          <w:sz w:val="32"/>
          <w:szCs w:val="24"/>
          <w:lang w:val="en-US" w:eastAsia="zh-CN"/>
        </w:rPr>
        <w:t>年度</w:t>
      </w:r>
      <w:r>
        <w:rPr>
          <w:rFonts w:hint="eastAsia" w:ascii="仿宋_GB2312" w:hAnsi="仿宋_GB2312" w:eastAsia="仿宋_GB2312"/>
          <w:b w:val="0"/>
          <w:kern w:val="2"/>
          <w:sz w:val="32"/>
          <w:szCs w:val="24"/>
        </w:rPr>
        <w:t>计划</w:t>
      </w:r>
      <w:r>
        <w:rPr>
          <w:rFonts w:hint="eastAsia" w:ascii="仿宋_GB2312" w:hAnsi="仿宋_GB2312" w:eastAsia="仿宋_GB2312"/>
          <w:b w:val="0"/>
          <w:kern w:val="2"/>
          <w:sz w:val="32"/>
          <w:szCs w:val="24"/>
          <w:lang w:val="en-US" w:eastAsia="zh-CN"/>
        </w:rPr>
        <w:t>及实施方案并报主要负责人</w:t>
      </w:r>
      <w:r>
        <w:rPr>
          <w:rFonts w:hint="default" w:ascii="Times New Roman" w:hAnsi="Times New Roman" w:eastAsia="仿宋_GB2312" w:cs="Times New Roman"/>
          <w:sz w:val="32"/>
          <w:szCs w:val="32"/>
        </w:rPr>
        <w:t>审核。在项目实施过程中做好定期监督检查，</w:t>
      </w:r>
      <w:r>
        <w:rPr>
          <w:rFonts w:hint="eastAsia" w:eastAsia="仿宋_GB2312" w:cs="Times New Roman"/>
          <w:sz w:val="32"/>
          <w:szCs w:val="32"/>
          <w:lang w:val="en-US" w:eastAsia="zh-CN"/>
        </w:rPr>
        <w:t>按照项目计划及实施方案有序</w:t>
      </w:r>
      <w:r>
        <w:rPr>
          <w:rFonts w:hint="default" w:ascii="Times New Roman" w:hAnsi="Times New Roman" w:eastAsia="仿宋_GB2312" w:cs="Times New Roman"/>
          <w:sz w:val="32"/>
          <w:szCs w:val="32"/>
        </w:rPr>
        <w:t>进行，在项目资金使用过程中，</w:t>
      </w:r>
      <w:r>
        <w:rPr>
          <w:rFonts w:hint="eastAsia" w:eastAsia="仿宋_GB2312" w:cs="Times New Roman"/>
          <w:sz w:val="32"/>
          <w:szCs w:val="32"/>
          <w:lang w:val="en-US" w:eastAsia="zh-CN"/>
        </w:rPr>
        <w:t>按照资金使用范围和用途，</w:t>
      </w:r>
      <w:r>
        <w:rPr>
          <w:rFonts w:hint="default" w:ascii="Times New Roman" w:hAnsi="Times New Roman" w:eastAsia="仿宋_GB2312" w:cs="Times New Roman"/>
          <w:sz w:val="32"/>
          <w:szCs w:val="32"/>
        </w:rPr>
        <w:t>严格</w:t>
      </w:r>
      <w:r>
        <w:rPr>
          <w:rFonts w:hint="eastAsia" w:eastAsia="仿宋_GB2312" w:cs="Times New Roman"/>
          <w:sz w:val="32"/>
          <w:szCs w:val="32"/>
          <w:lang w:val="en-US" w:eastAsia="zh-CN"/>
        </w:rPr>
        <w:t>遵守相关规定</w:t>
      </w:r>
      <w:r>
        <w:rPr>
          <w:rFonts w:hint="default" w:ascii="Times New Roman" w:hAnsi="Times New Roman" w:eastAsia="仿宋_GB2312" w:cs="Times New Roman"/>
          <w:sz w:val="32"/>
          <w:szCs w:val="32"/>
        </w:rPr>
        <w:t>，</w:t>
      </w:r>
      <w:r>
        <w:rPr>
          <w:rFonts w:hint="eastAsia" w:eastAsia="仿宋_GB2312" w:cs="Times New Roman"/>
          <w:sz w:val="32"/>
          <w:szCs w:val="32"/>
          <w:lang w:val="en-US" w:eastAsia="zh-CN"/>
        </w:rPr>
        <w:t>确保资金使用合法合规，并对资金使用情况进行动态监控，</w:t>
      </w:r>
      <w:r>
        <w:rPr>
          <w:rFonts w:hint="default" w:ascii="Times New Roman" w:hAnsi="Times New Roman" w:eastAsia="仿宋_GB2312" w:cs="Times New Roman"/>
          <w:sz w:val="32"/>
          <w:szCs w:val="32"/>
        </w:rPr>
        <w:t>让项目资金落于实处。</w:t>
      </w:r>
    </w:p>
    <w:p>
      <w:pPr>
        <w:keepNext/>
        <w:keepLines/>
        <w:numPr>
          <w:ilvl w:val="0"/>
          <w:numId w:val="5"/>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pPr>
        <w:spacing w:line="560" w:lineRule="exact"/>
        <w:ind w:firstLine="627" w:firstLineChars="200"/>
        <w:rPr>
          <w:rFonts w:hint="eastAsia" w:ascii="Times New Roman" w:hAnsi="Times New Roman" w:eastAsia="楷体" w:cs="Times New Roman"/>
          <w:b/>
          <w:spacing w:val="-4"/>
          <w:sz w:val="32"/>
          <w:szCs w:val="32"/>
          <w:lang w:val="en-US" w:eastAsia="zh-CN"/>
        </w:rPr>
      </w:pPr>
      <w:r>
        <w:rPr>
          <w:rFonts w:hint="eastAsia" w:ascii="Times New Roman" w:hAnsi="Times New Roman" w:eastAsia="楷体" w:cs="Times New Roman"/>
          <w:b/>
          <w:spacing w:val="-4"/>
          <w:sz w:val="32"/>
          <w:szCs w:val="32"/>
          <w:lang w:val="en-US" w:eastAsia="zh-CN"/>
        </w:rPr>
        <w:t>（一）强化组织领导</w:t>
      </w:r>
    </w:p>
    <w:p>
      <w:pPr>
        <w:shd w:val="clear"/>
        <w:spacing w:line="600" w:lineRule="exact"/>
        <w:ind w:firstLine="640" w:firstLineChars="200"/>
        <w:outlineLvl w:val="0"/>
        <w:rPr>
          <w:rFonts w:hint="eastAsia" w:ascii="楷体_GB2312" w:hAnsi="楷体_GB2312" w:eastAsia="楷体_GB2312" w:cs="楷体_GB2312"/>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提高对预算绩效管理工作重要性的认识，总结经验查找问题，</w:t>
      </w:r>
      <w:r>
        <w:rPr>
          <w:rFonts w:hint="eastAsia" w:ascii="Times New Roman" w:hAnsi="Times New Roman" w:eastAsia="仿宋_GB2312" w:cs="Times New Roman"/>
          <w:sz w:val="32"/>
          <w:szCs w:val="32"/>
          <w:highlight w:val="none"/>
          <w:lang w:val="en-US" w:eastAsia="zh-CN"/>
        </w:rPr>
        <w:t>建立健全</w:t>
      </w:r>
      <w:r>
        <w:rPr>
          <w:rFonts w:hint="default" w:ascii="Times New Roman" w:hAnsi="Times New Roman" w:eastAsia="仿宋_GB2312" w:cs="Times New Roman"/>
          <w:sz w:val="32"/>
          <w:szCs w:val="32"/>
          <w:highlight w:val="none"/>
          <w:lang w:val="en-US" w:eastAsia="zh-CN"/>
        </w:rPr>
        <w:t>绩效评价管理办法</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加大对全面实施预算绩效管理和绩效管理工作</w:t>
      </w:r>
      <w:r>
        <w:rPr>
          <w:rFonts w:hint="eastAsia" w:ascii="Times New Roman" w:hAnsi="Times New Roman" w:eastAsia="仿宋_GB2312" w:cs="Times New Roman"/>
          <w:sz w:val="32"/>
          <w:szCs w:val="32"/>
          <w:highlight w:val="none"/>
          <w:lang w:val="en-US" w:eastAsia="zh-CN"/>
        </w:rPr>
        <w:t>认识</w:t>
      </w:r>
      <w:r>
        <w:rPr>
          <w:rFonts w:hint="default" w:ascii="Times New Roman" w:hAnsi="Times New Roman" w:eastAsia="仿宋_GB2312" w:cs="Times New Roman"/>
          <w:sz w:val="32"/>
          <w:szCs w:val="32"/>
          <w:highlight w:val="none"/>
          <w:lang w:val="en-US" w:eastAsia="zh-CN"/>
        </w:rPr>
        <w:t>，让“花钱必问效，无效必问责”的理念深入工作每个环节</w:t>
      </w:r>
      <w:r>
        <w:rPr>
          <w:rFonts w:hint="eastAsia" w:ascii="Times New Roman" w:hAnsi="Times New Roman" w:eastAsia="仿宋_GB2312" w:cs="Times New Roman"/>
          <w:sz w:val="32"/>
          <w:szCs w:val="32"/>
          <w:highlight w:val="none"/>
          <w:lang w:val="en-US" w:eastAsia="zh-CN"/>
        </w:rPr>
        <w:t>。</w:t>
      </w:r>
    </w:p>
    <w:p>
      <w:pPr>
        <w:spacing w:line="560" w:lineRule="exact"/>
        <w:ind w:firstLine="627" w:firstLineChars="200"/>
        <w:rPr>
          <w:rFonts w:hint="eastAsia" w:ascii="Times New Roman" w:hAnsi="Times New Roman" w:eastAsia="楷体" w:cs="Times New Roman"/>
          <w:b/>
          <w:spacing w:val="-4"/>
          <w:sz w:val="32"/>
          <w:szCs w:val="32"/>
          <w:lang w:val="en-US" w:eastAsia="zh-CN"/>
        </w:rPr>
      </w:pPr>
      <w:r>
        <w:rPr>
          <w:rFonts w:hint="eastAsia" w:ascii="Times New Roman" w:hAnsi="Times New Roman" w:eastAsia="楷体" w:cs="Times New Roman"/>
          <w:b/>
          <w:spacing w:val="-4"/>
          <w:sz w:val="32"/>
          <w:szCs w:val="32"/>
          <w:lang w:val="en-US" w:eastAsia="zh-CN"/>
        </w:rPr>
        <w:t>（二）加强绩效管理培训</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积极</w:t>
      </w:r>
      <w:r>
        <w:rPr>
          <w:rFonts w:hint="eastAsia" w:eastAsia="仿宋_GB2312" w:cs="Times New Roman"/>
          <w:sz w:val="32"/>
          <w:szCs w:val="32"/>
          <w:highlight w:val="none"/>
          <w:lang w:val="en-US" w:eastAsia="zh-CN"/>
        </w:rPr>
        <w:t>参加上级部门及</w:t>
      </w:r>
      <w:r>
        <w:rPr>
          <w:rFonts w:hint="default" w:ascii="Times New Roman" w:hAnsi="Times New Roman" w:eastAsia="仿宋_GB2312" w:cs="Times New Roman"/>
          <w:sz w:val="32"/>
          <w:szCs w:val="32"/>
          <w:highlight w:val="none"/>
          <w:lang w:val="en-US" w:eastAsia="zh-CN"/>
        </w:rPr>
        <w:t>第三方开展绩效管理工作培训，进一步夯实业务基础，提高我单位绩效人员水平。</w:t>
      </w:r>
    </w:p>
    <w:p>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pPr>
        <w:pStyle w:val="14"/>
        <w:spacing w:after="0" w:line="560" w:lineRule="exact"/>
        <w:ind w:left="0" w:leftChars="0" w:firstLine="640"/>
        <w:rPr>
          <w:rFonts w:hint="default" w:ascii="Times New Roman" w:hAnsi="Times New Roman" w:eastAsia="仿宋_GB2312" w:cs="Times New Roman"/>
          <w:sz w:val="32"/>
          <w:szCs w:val="32"/>
          <w:lang w:eastAsia="zh-Hans"/>
        </w:rPr>
      </w:pPr>
      <w:r>
        <w:rPr>
          <w:rFonts w:hint="default" w:ascii="Times New Roman" w:hAnsi="Times New Roman" w:eastAsia="仿宋_GB2312" w:cs="Times New Roman"/>
          <w:sz w:val="32"/>
          <w:szCs w:val="32"/>
          <w:lang w:eastAsia="zh-Hans"/>
        </w:rPr>
        <w:t>本项目无其他需说明的问题。</w:t>
      </w:r>
    </w:p>
    <w:p>
      <w:pPr>
        <w:pStyle w:val="14"/>
        <w:spacing w:after="0" w:line="560" w:lineRule="exact"/>
        <w:ind w:left="0" w:leftChars="0" w:firstLine="640"/>
        <w:rPr>
          <w:rFonts w:hint="eastAsia" w:ascii="Times New Roman" w:hAnsi="Times New Roman" w:eastAsia="仿宋_GB2312" w:cs="Times New Roman"/>
          <w:sz w:val="32"/>
          <w:szCs w:val="32"/>
          <w:lang w:eastAsia="zh-CN"/>
        </w:rPr>
      </w:pPr>
    </w:p>
    <w:p>
      <w:pPr>
        <w:pStyle w:val="14"/>
        <w:spacing w:after="0" w:line="560" w:lineRule="exact"/>
        <w:ind w:left="0" w:leftChars="0" w:firstLine="640"/>
        <w:rPr>
          <w:rFonts w:hint="eastAsia" w:ascii="Times New Roman" w:hAnsi="Times New Roman" w:eastAsia="仿宋_GB2312" w:cs="Times New Roman"/>
          <w:sz w:val="32"/>
          <w:szCs w:val="32"/>
          <w:lang w:eastAsia="zh-CN"/>
        </w:rPr>
      </w:pPr>
    </w:p>
    <w:p>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1440" w:right="1558" w:bottom="1440" w:left="1800" w:header="851" w:footer="992" w:gutter="0"/>
          <w:pgNumType w:start="1"/>
          <w:cols w:space="425" w:num="1"/>
          <w:docGrid w:type="lines" w:linePitch="312" w:charSpace="0"/>
        </w:sectPr>
      </w:pPr>
    </w:p>
    <w:p>
      <w:pPr>
        <w:spacing w:line="600" w:lineRule="exact"/>
        <w:rPr>
          <w:rFonts w:hint="default"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附件1</w:t>
      </w:r>
    </w:p>
    <w:p>
      <w:pPr>
        <w:pStyle w:val="20"/>
        <w:ind w:firstLine="562"/>
        <w:jc w:val="center"/>
        <w:rPr>
          <w:rFonts w:hint="eastAsia" w:ascii="仿宋_GB2312" w:hAnsi="仿宋_GB2312" w:eastAsia="仿宋_GB2312" w:cs="仿宋_GB2312"/>
          <w:sz w:val="28"/>
          <w:szCs w:val="40"/>
        </w:rPr>
      </w:pPr>
      <w:bookmarkStart w:id="1" w:name="_Toc26499_WPSOffice_Level2"/>
      <w:bookmarkStart w:id="2" w:name="_Toc30064_WPSOffice_Level1"/>
      <w:r>
        <w:rPr>
          <w:rFonts w:hint="eastAsia" w:ascii="仿宋_GB2312" w:hAnsi="仿宋_GB2312" w:eastAsia="仿宋_GB2312" w:cs="仿宋_GB2312"/>
          <w:b/>
          <w:bCs/>
          <w:sz w:val="28"/>
          <w:szCs w:val="40"/>
          <w:highlight w:val="none"/>
          <w:lang w:val="en-US" w:eastAsia="zh-CN"/>
        </w:rPr>
        <w:t>生态环境监察项目</w:t>
      </w:r>
      <w:r>
        <w:rPr>
          <w:rFonts w:hint="eastAsia" w:ascii="仿宋_GB2312" w:hAnsi="仿宋_GB2312" w:eastAsia="仿宋_GB2312" w:cs="仿宋_GB2312"/>
          <w:b/>
          <w:bCs/>
          <w:sz w:val="28"/>
          <w:szCs w:val="40"/>
        </w:rPr>
        <w:t>绩效评价指标体系及综合评分表</w:t>
      </w:r>
      <w:bookmarkEnd w:id="1"/>
      <w:bookmarkEnd w:id="2"/>
    </w:p>
    <w:tbl>
      <w:tblPr>
        <w:tblStyle w:val="15"/>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4"/>
        <w:gridCol w:w="1000"/>
        <w:gridCol w:w="1071"/>
        <w:gridCol w:w="1726"/>
        <w:gridCol w:w="5216"/>
        <w:gridCol w:w="1300"/>
        <w:gridCol w:w="13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1004"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172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521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521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②项目立项是否符合行业发展规划和政策要求；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⑤项目是否与相关部门同类项目或部门内部相关项目重复。</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521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5216" w:type="dxa"/>
            <w:shd w:val="clear" w:color="000000"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004" w:type="dxa"/>
            <w:vMerge w:val="restar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3.39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18"/>
                <w:szCs w:val="18"/>
                <w:lang w:val="en-US" w:eastAsia="zh-CN"/>
              </w:rPr>
            </w:pPr>
            <w:r>
              <w:rPr>
                <w:rFonts w:hint="eastAsia" w:cs="Times New Roman"/>
                <w:b/>
                <w:bCs/>
                <w:color w:val="000000"/>
                <w:kern w:val="0"/>
                <w:sz w:val="18"/>
                <w:szCs w:val="18"/>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172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满意度</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w:t>
            </w:r>
          </w:p>
        </w:tc>
      </w:tr>
    </w:tbl>
    <w:p>
      <w:pPr>
        <w:spacing w:line="600" w:lineRule="exact"/>
        <w:rPr>
          <w:rFonts w:hint="eastAsia" w:ascii="Times New Roman" w:hAnsi="Times New Roman" w:eastAsia="黑体" w:cs="Times New Roman"/>
          <w:sz w:val="32"/>
          <w:szCs w:val="32"/>
          <w:lang w:val="en-US" w:eastAsia="zh-CN"/>
        </w:rPr>
        <w:sectPr>
          <w:pgSz w:w="16838" w:h="11906" w:orient="landscape"/>
          <w:pgMar w:top="1800" w:right="1440" w:bottom="1558" w:left="1440" w:header="851" w:footer="992" w:gutter="0"/>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仿宋_GB2312" w:eastAsia="仿宋_GB2312" w:cs="仿宋_GB2312"/>
          <w:b/>
          <w:bCs/>
          <w:i w:val="0"/>
          <w:iCs w:val="0"/>
          <w:color w:val="000000"/>
          <w:kern w:val="0"/>
          <w:sz w:val="28"/>
          <w:szCs w:val="28"/>
          <w:u w:val="none"/>
          <w:lang w:val="en-US" w:eastAsia="zh-CN" w:bidi="ar"/>
        </w:rPr>
        <w:t>项目支出绩效自评表</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u w:val="none"/>
          <w:lang w:val="en-US" w:eastAsia="zh-CN" w:bidi="ar"/>
        </w:rPr>
      </w:pPr>
      <w:r>
        <w:rPr>
          <w:rFonts w:hint="default" w:ascii="Times New Roman" w:hAnsi="Times New Roman" w:eastAsia="仿宋_GB2312" w:cs="Times New Roman"/>
          <w:b/>
          <w:bCs/>
          <w:i w:val="0"/>
          <w:iCs w:val="0"/>
          <w:color w:val="000000"/>
          <w:kern w:val="0"/>
          <w:sz w:val="22"/>
          <w:szCs w:val="22"/>
          <w:u w:val="none"/>
          <w:lang w:val="en-US" w:eastAsia="zh-CN" w:bidi="ar"/>
        </w:rPr>
        <w:t>（2024年度）</w:t>
      </w:r>
    </w:p>
    <w:tbl>
      <w:tblPr>
        <w:tblStyle w:val="15"/>
        <w:tblW w:w="14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35"/>
        <w:gridCol w:w="940"/>
        <w:gridCol w:w="990"/>
        <w:gridCol w:w="2310"/>
        <w:gridCol w:w="830"/>
        <w:gridCol w:w="960"/>
        <w:gridCol w:w="770"/>
        <w:gridCol w:w="820"/>
        <w:gridCol w:w="960"/>
        <w:gridCol w:w="1062"/>
        <w:gridCol w:w="1032"/>
        <w:gridCol w:w="830"/>
        <w:gridCol w:w="748"/>
        <w:gridCol w:w="12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项目名称</w:t>
            </w:r>
          </w:p>
        </w:tc>
        <w:tc>
          <w:tcPr>
            <w:tcW w:w="12599"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生态环境监察项目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主管部门</w:t>
            </w:r>
          </w:p>
        </w:tc>
        <w:tc>
          <w:tcPr>
            <w:tcW w:w="58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新疆维吾尔自治区生态环境厅</w:t>
            </w:r>
          </w:p>
        </w:tc>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实施单位</w:t>
            </w:r>
          </w:p>
        </w:tc>
        <w:tc>
          <w:tcPr>
            <w:tcW w:w="495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新疆维吾尔自治区生态环境厅第四生态环境监察专员办公室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57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项目资金</w:t>
            </w:r>
            <w:r>
              <w:rPr>
                <w:rFonts w:hint="eastAsia" w:ascii="仿宋_GB2312" w:hAnsi="仿宋_GB2312" w:eastAsia="仿宋_GB2312" w:cs="仿宋_GB2312"/>
                <w:i w:val="0"/>
                <w:iCs w:val="0"/>
                <w:color w:val="000000"/>
                <w:kern w:val="0"/>
                <w:sz w:val="18"/>
                <w:szCs w:val="18"/>
                <w:u w:val="none"/>
                <w:lang w:val="en-US" w:eastAsia="zh-CN" w:bidi="ar"/>
              </w:rPr>
              <w:br w:type="textWrapping"/>
            </w:r>
            <w:r>
              <w:rPr>
                <w:rFonts w:hint="eastAsia" w:ascii="仿宋_GB2312" w:hAnsi="仿宋_GB2312" w:eastAsia="仿宋_GB2312" w:cs="仿宋_GB2312"/>
                <w:i w:val="0"/>
                <w:iCs w:val="0"/>
                <w:color w:val="000000"/>
                <w:kern w:val="0"/>
                <w:sz w:val="18"/>
                <w:szCs w:val="18"/>
                <w:u w:val="none"/>
                <w:lang w:val="en-US" w:eastAsia="zh-CN" w:bidi="ar"/>
              </w:rPr>
              <w:t>（万元）</w:t>
            </w:r>
          </w:p>
        </w:tc>
        <w:tc>
          <w:tcPr>
            <w:tcW w:w="33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资金来源</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年初预算数</w:t>
            </w:r>
          </w:p>
        </w:tc>
        <w:tc>
          <w:tcPr>
            <w:tcW w:w="17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全年预算数</w:t>
            </w:r>
          </w:p>
        </w:tc>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全年执行数</w:t>
            </w: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分值权重</w:t>
            </w: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执行率</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57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3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年度资金总额</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90.00</w:t>
            </w:r>
          </w:p>
        </w:tc>
        <w:tc>
          <w:tcPr>
            <w:tcW w:w="17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90.00</w:t>
            </w:r>
          </w:p>
        </w:tc>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76.24</w:t>
            </w: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84.71%</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57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3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其中：当年财政拨款</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90.00</w:t>
            </w:r>
          </w:p>
        </w:tc>
        <w:tc>
          <w:tcPr>
            <w:tcW w:w="17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90.00</w:t>
            </w:r>
          </w:p>
        </w:tc>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76.24</w:t>
            </w: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57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300"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其他资金</w:t>
            </w:r>
          </w:p>
        </w:tc>
        <w:tc>
          <w:tcPr>
            <w:tcW w:w="83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0.00</w:t>
            </w:r>
          </w:p>
        </w:tc>
        <w:tc>
          <w:tcPr>
            <w:tcW w:w="1730" w:type="dxa"/>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0.00</w:t>
            </w:r>
          </w:p>
        </w:tc>
        <w:tc>
          <w:tcPr>
            <w:tcW w:w="1780" w:type="dxa"/>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0.00</w:t>
            </w: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年度总体目标</w:t>
            </w:r>
          </w:p>
        </w:tc>
        <w:tc>
          <w:tcPr>
            <w:tcW w:w="858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w:t>
            </w:r>
          </w:p>
        </w:tc>
        <w:tc>
          <w:tcPr>
            <w:tcW w:w="495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0"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580" w:type="dxa"/>
            <w:gridSpan w:val="8"/>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根据自治区第四生态环境监察专员办公室职责，2024年第四生态环境监察专员办公室对哈密市、吐鲁番市开展生态环境保护监察工作，重点对第二轮中央生态环境督察和自治区生态环境保护督察反馈意见整改开展督导检查，持续做好日常派驻监察工作，不断促进辖区生态环境质量持续改善。2024年第四专员办计划覆盖生态环境监察区域2个，形成督察监察专项报告及整改情况报告4个，监察频率每地州各4次，报告质量通过率和区域覆盖率100%。通过项目的实施有效督促当地生态环境保护工作持续开展，以高水平环境保护推动经济高质量。</w:t>
            </w:r>
          </w:p>
        </w:tc>
        <w:tc>
          <w:tcPr>
            <w:tcW w:w="495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根据自治区第四生态环境监察专员办公室职责，2024年第四生态环境监察专员办公室对哈密市、吐鲁番市中央生态环境保护督察整改工作开展四轮督导帮扶，以2024年度销号的自治区生态环保督察整改任务为重点，对哈密市、吐鲁番市开展四轮督导，积极选派9人次业务骨干参加和田地区、阿勒泰地区、博州、克州自治区生态环保督察前期摸排、督察进驻全过程，配合督导二组持续做好日常派驻监察工作，不断促进辖区生态环境质量持续改善。形成督察监察专项报告及整改情况报告各4个，监察频率哈密市、吐鲁番市各4次，报告质量通过率和区域覆盖率100%。通过项目的实施有效督促当地生态环境保护工作持续开展，以高水平环境保护推动经济高质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6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绩效指标</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一级指标</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二级指标</w:t>
            </w:r>
          </w:p>
        </w:tc>
        <w:tc>
          <w:tcPr>
            <w:tcW w:w="2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三级指标</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指标值设置依据</w:t>
            </w: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上年完成值</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指标分值权重</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指标赋分规则</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佐证资料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指标实际完成值</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完成率</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指标得分</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94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产出指标</w:t>
            </w:r>
          </w:p>
        </w:tc>
        <w:tc>
          <w:tcPr>
            <w:tcW w:w="990"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2310" w:type="dxa"/>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覆盖生态环境监察区域</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&gt;=2个</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计划标准</w:t>
            </w: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2个</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按照完成比例赋分</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2个</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940"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990"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2310" w:type="dxa"/>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监督（监察）频次</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&gt;=8次</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计划标准</w:t>
            </w: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宋体" w:cs="仿宋_GB2312"/>
                <w:i w:val="0"/>
                <w:iCs w:val="0"/>
                <w:color w:val="000000"/>
                <w:sz w:val="18"/>
                <w:szCs w:val="18"/>
                <w:u w:val="none"/>
                <w:lang w:val="en-US" w:eastAsia="zh-CN"/>
              </w:rPr>
            </w:pPr>
            <w:r>
              <w:rPr>
                <w:rFonts w:hint="eastAsia" w:ascii="宋体" w:hAnsi="宋体" w:cs="宋体"/>
                <w:i w:val="0"/>
                <w:color w:val="000000"/>
                <w:kern w:val="0"/>
                <w:sz w:val="18"/>
                <w:szCs w:val="18"/>
                <w:u w:val="none"/>
                <w:lang w:val="en-US" w:eastAsia="zh-CN" w:bidi="ar"/>
              </w:rPr>
              <w:t>8次</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按照完成比例赋分</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8次</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940"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990"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2310" w:type="dxa"/>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形成督查监察专项报告</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&gt;=4个</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计划标准</w:t>
            </w: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4个</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按照完成比例赋分</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4个</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940"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990" w:type="dxa"/>
            <w:vMerge w:val="continue"/>
            <w:tcBorders>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2310" w:type="dxa"/>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形成环保督查整改情况报告</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&gt;=4个</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计划标准</w:t>
            </w: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4个</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按照完成比例赋分</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4个</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94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990"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质量指标</w:t>
            </w:r>
          </w:p>
        </w:tc>
        <w:tc>
          <w:tcPr>
            <w:tcW w:w="2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报告质量通过率</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计划标准</w:t>
            </w: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按照完成比例赋分</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94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990"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23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区域覆盖率</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计划标准</w:t>
            </w: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按照完成比例赋分</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94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990"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时效指标</w:t>
            </w:r>
          </w:p>
        </w:tc>
        <w:tc>
          <w:tcPr>
            <w:tcW w:w="23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年度督查任务按时完成率</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计划标准</w:t>
            </w: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按照完成比例赋分</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9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990"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社会效益指标</w:t>
            </w:r>
          </w:p>
        </w:tc>
        <w:tc>
          <w:tcPr>
            <w:tcW w:w="23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监察结果反馈率</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计划标准</w:t>
            </w: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按照完成比例赋分</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9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990"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p>
        </w:tc>
        <w:tc>
          <w:tcPr>
            <w:tcW w:w="23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跟踪督办率</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计划标准</w:t>
            </w: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按照完成比例赋分</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23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检查人员被投诉次数</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&lt;=2次</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计划标准</w:t>
            </w: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0次</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满意度赋分</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0次</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4875"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总分</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960" w:type="dxa"/>
            <w:tcBorders>
              <w:top w:val="single" w:color="000000" w:sz="4" w:space="0"/>
              <w:left w:val="nil"/>
              <w:bottom w:val="single" w:color="000000" w:sz="4" w:space="0"/>
              <w:right w:val="single" w:color="000000" w:sz="4" w:space="0"/>
            </w:tcBorders>
            <w:shd w:val="clear" w:color="auto" w:fill="auto"/>
            <w:vAlign w:val="center"/>
          </w:tcPr>
          <w:p>
            <w:pPr>
              <w:rPr>
                <w:rFonts w:hint="eastAsia" w:ascii="仿宋_GB2312" w:hAnsi="仿宋_GB2312" w:eastAsia="仿宋_GB2312" w:cs="仿宋_GB2312"/>
                <w:b/>
                <w:bCs/>
                <w:i w:val="0"/>
                <w:iCs w:val="0"/>
                <w:color w:val="000000"/>
                <w:sz w:val="18"/>
                <w:szCs w:val="18"/>
                <w:u w:val="none"/>
              </w:rPr>
            </w:pP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98.47</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r>
    </w:tbl>
    <w:p>
      <w:pPr>
        <w:spacing w:line="600" w:lineRule="exact"/>
        <w:rPr>
          <w:rFonts w:hint="eastAsia" w:ascii="Times New Roman" w:hAnsi="Times New Roman" w:eastAsia="黑体" w:cs="Times New Roman"/>
          <w:sz w:val="32"/>
          <w:szCs w:val="32"/>
          <w:lang w:val="en-US" w:eastAsia="zh-CN"/>
        </w:rPr>
      </w:pPr>
    </w:p>
    <w:p>
      <w:pPr>
        <w:spacing w:line="600" w:lineRule="exact"/>
        <w:rPr>
          <w:rFonts w:hint="eastAsia" w:ascii="Times New Roman" w:hAnsi="Times New Roman" w:eastAsia="黑体" w:cs="Times New Roman"/>
          <w:sz w:val="32"/>
          <w:szCs w:val="32"/>
          <w:lang w:val="en-US" w:eastAsia="zh-CN"/>
        </w:rPr>
      </w:pPr>
    </w:p>
    <w:p>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8"/>
          <w:jc w:val="center"/>
        </w:pPr>
        <w:r>
          <w:fldChar w:fldCharType="begin"/>
        </w:r>
        <w:r>
          <w:instrText xml:space="preserve">PAGE   \* MERGEFORMAT</w:instrText>
        </w:r>
        <w:r>
          <w:fldChar w:fldCharType="separate"/>
        </w:r>
        <w:r>
          <w:rPr>
            <w:lang w:val="zh-CN"/>
          </w:rPr>
          <w:t>13</w:t>
        </w:r>
        <w:r>
          <w:fldChar w:fldCharType="end"/>
        </w:r>
      </w:p>
    </w:sdtContent>
  </w:sdt>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4CD2B0F"/>
    <w:multiLevelType w:val="singleLevel"/>
    <w:tmpl w:val="F4CD2B0F"/>
    <w:lvl w:ilvl="0" w:tentative="0">
      <w:start w:val="1"/>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FF6C4049"/>
    <w:rsid w:val="006F7242"/>
    <w:rsid w:val="007B168A"/>
    <w:rsid w:val="008B2CFE"/>
    <w:rsid w:val="00F26FF6"/>
    <w:rsid w:val="01610122"/>
    <w:rsid w:val="02510197"/>
    <w:rsid w:val="03EC461B"/>
    <w:rsid w:val="07397B77"/>
    <w:rsid w:val="0AD007F3"/>
    <w:rsid w:val="0E3C619F"/>
    <w:rsid w:val="11170296"/>
    <w:rsid w:val="13471461"/>
    <w:rsid w:val="13B90F01"/>
    <w:rsid w:val="155E4C4D"/>
    <w:rsid w:val="17462648"/>
    <w:rsid w:val="181066D2"/>
    <w:rsid w:val="1C671E73"/>
    <w:rsid w:val="1D1125A5"/>
    <w:rsid w:val="1D322C47"/>
    <w:rsid w:val="23616034"/>
    <w:rsid w:val="24480FA2"/>
    <w:rsid w:val="25227A45"/>
    <w:rsid w:val="26AC3A6A"/>
    <w:rsid w:val="281178FD"/>
    <w:rsid w:val="2B9D7E25"/>
    <w:rsid w:val="2C7C7A3B"/>
    <w:rsid w:val="2EFC0D68"/>
    <w:rsid w:val="2F364819"/>
    <w:rsid w:val="2FD63906"/>
    <w:rsid w:val="36784574"/>
    <w:rsid w:val="37215DAE"/>
    <w:rsid w:val="38CA40DD"/>
    <w:rsid w:val="395F2B56"/>
    <w:rsid w:val="3BBA0580"/>
    <w:rsid w:val="3BECE841"/>
    <w:rsid w:val="3CDE204C"/>
    <w:rsid w:val="3D363C36"/>
    <w:rsid w:val="3E9C3F6D"/>
    <w:rsid w:val="3F696BF0"/>
    <w:rsid w:val="3FF7797D"/>
    <w:rsid w:val="41891B4C"/>
    <w:rsid w:val="4262475C"/>
    <w:rsid w:val="46690BD8"/>
    <w:rsid w:val="49F70BF1"/>
    <w:rsid w:val="4B4340EE"/>
    <w:rsid w:val="4BF06537"/>
    <w:rsid w:val="4D353D93"/>
    <w:rsid w:val="503D507A"/>
    <w:rsid w:val="50E01A4F"/>
    <w:rsid w:val="51C93E05"/>
    <w:rsid w:val="51FA74D0"/>
    <w:rsid w:val="52AA4A52"/>
    <w:rsid w:val="59943D66"/>
    <w:rsid w:val="59E051FD"/>
    <w:rsid w:val="59E6355E"/>
    <w:rsid w:val="5B821531"/>
    <w:rsid w:val="5BFF6039"/>
    <w:rsid w:val="5D76A616"/>
    <w:rsid w:val="5D7F20B9"/>
    <w:rsid w:val="5DAC7D0E"/>
    <w:rsid w:val="5F98B5AF"/>
    <w:rsid w:val="5FFE8511"/>
    <w:rsid w:val="5FFEACE2"/>
    <w:rsid w:val="609D5BF6"/>
    <w:rsid w:val="61073070"/>
    <w:rsid w:val="61B9080E"/>
    <w:rsid w:val="61DF3FED"/>
    <w:rsid w:val="640D20A2"/>
    <w:rsid w:val="642B176B"/>
    <w:rsid w:val="643EE26D"/>
    <w:rsid w:val="656019A0"/>
    <w:rsid w:val="65F242EE"/>
    <w:rsid w:val="666D7E19"/>
    <w:rsid w:val="68376930"/>
    <w:rsid w:val="68F91E38"/>
    <w:rsid w:val="69767E03"/>
    <w:rsid w:val="6B3158B9"/>
    <w:rsid w:val="6BA02A3F"/>
    <w:rsid w:val="6C1E5A53"/>
    <w:rsid w:val="6DD20F3C"/>
    <w:rsid w:val="6F5C41AC"/>
    <w:rsid w:val="6FAF6C78"/>
    <w:rsid w:val="716167CC"/>
    <w:rsid w:val="718A7AD1"/>
    <w:rsid w:val="72A44BC2"/>
    <w:rsid w:val="7317C656"/>
    <w:rsid w:val="734ED73F"/>
    <w:rsid w:val="73C82B32"/>
    <w:rsid w:val="73F94DAE"/>
    <w:rsid w:val="74220495"/>
    <w:rsid w:val="747D1B6F"/>
    <w:rsid w:val="749E5641"/>
    <w:rsid w:val="74CD5E5E"/>
    <w:rsid w:val="76271066"/>
    <w:rsid w:val="77FD8BE9"/>
    <w:rsid w:val="78000AED"/>
    <w:rsid w:val="79A9BD3F"/>
    <w:rsid w:val="7B776F12"/>
    <w:rsid w:val="7BFFFDD0"/>
    <w:rsid w:val="7C336E5F"/>
    <w:rsid w:val="7C8D4919"/>
    <w:rsid w:val="7D7A5F86"/>
    <w:rsid w:val="7E4B683A"/>
    <w:rsid w:val="7E5E656D"/>
    <w:rsid w:val="7E8F2BCB"/>
    <w:rsid w:val="7F37BB4E"/>
    <w:rsid w:val="7F5808A9"/>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3">
    <w:name w:val="Normal Indent"/>
    <w:basedOn w:val="1"/>
    <w:unhideWhenUsed/>
    <w:qFormat/>
    <w:uiPriority w:val="99"/>
    <w:pPr>
      <w:ind w:firstLine="420" w:firstLineChars="200"/>
    </w:pPr>
    <w:rPr>
      <w:rFonts w:hint="default"/>
      <w:sz w:val="21"/>
      <w:szCs w:val="24"/>
    </w:rPr>
  </w:style>
  <w:style w:type="paragraph" w:styleId="4">
    <w:name w:val="annotation text"/>
    <w:basedOn w:val="1"/>
    <w:link w:val="23"/>
    <w:qFormat/>
    <w:uiPriority w:val="0"/>
    <w:pPr>
      <w:jc w:val="left"/>
    </w:pPr>
  </w:style>
  <w:style w:type="paragraph" w:styleId="5">
    <w:name w:val="Body Text"/>
    <w:basedOn w:val="1"/>
    <w:qFormat/>
    <w:uiPriority w:val="0"/>
    <w:pPr>
      <w:spacing w:after="120"/>
    </w:pPr>
  </w:style>
  <w:style w:type="paragraph" w:styleId="6">
    <w:name w:val="Body Text Indent"/>
    <w:basedOn w:val="1"/>
    <w:qFormat/>
    <w:uiPriority w:val="0"/>
    <w:pPr>
      <w:spacing w:after="120"/>
      <w:ind w:left="420" w:leftChars="200"/>
    </w:pPr>
    <w:rPr>
      <w:rFonts w:ascii="Calibri" w:hAnsi="Calibri"/>
    </w:rPr>
  </w:style>
  <w:style w:type="paragraph" w:styleId="7">
    <w:name w:val="Balloon Text"/>
    <w:basedOn w:val="1"/>
    <w:link w:val="21"/>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annotation subject"/>
    <w:basedOn w:val="4"/>
    <w:next w:val="4"/>
    <w:link w:val="24"/>
    <w:qFormat/>
    <w:uiPriority w:val="0"/>
    <w:rPr>
      <w:b/>
      <w:bCs/>
    </w:rPr>
  </w:style>
  <w:style w:type="paragraph" w:styleId="13">
    <w:name w:val="Body Text First Indent"/>
    <w:basedOn w:val="5"/>
    <w:qFormat/>
    <w:uiPriority w:val="0"/>
    <w:pPr>
      <w:spacing w:after="0"/>
      <w:ind w:firstLine="200" w:firstLineChars="200"/>
    </w:pPr>
  </w:style>
  <w:style w:type="paragraph" w:styleId="14">
    <w:name w:val="Body Text First Indent 2"/>
    <w:basedOn w:val="6"/>
    <w:qFormat/>
    <w:uiPriority w:val="0"/>
    <w:pPr>
      <w:ind w:firstLine="420" w:firstLineChars="200"/>
    </w:pPr>
  </w:style>
  <w:style w:type="character" w:styleId="17">
    <w:name w:val="Strong"/>
    <w:basedOn w:val="16"/>
    <w:qFormat/>
    <w:uiPriority w:val="0"/>
    <w:rPr>
      <w:b/>
      <w:bCs/>
    </w:rPr>
  </w:style>
  <w:style w:type="character" w:styleId="18">
    <w:name w:val="annotation reference"/>
    <w:basedOn w:val="16"/>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6"/>
    <w:link w:val="7"/>
    <w:qFormat/>
    <w:uiPriority w:val="0"/>
    <w:rPr>
      <w:rFonts w:ascii="Times New Roman" w:hAnsi="Times New Roman" w:eastAsia="宋体" w:cs="Times New Roman"/>
      <w:kern w:val="2"/>
      <w:sz w:val="18"/>
      <w:szCs w:val="18"/>
    </w:rPr>
  </w:style>
  <w:style w:type="character" w:customStyle="1" w:styleId="22">
    <w:name w:val="页眉 字符"/>
    <w:basedOn w:val="16"/>
    <w:link w:val="9"/>
    <w:qFormat/>
    <w:uiPriority w:val="0"/>
    <w:rPr>
      <w:rFonts w:ascii="Times New Roman" w:hAnsi="Times New Roman" w:eastAsia="宋体" w:cs="Times New Roman"/>
      <w:kern w:val="2"/>
      <w:sz w:val="18"/>
      <w:szCs w:val="18"/>
    </w:rPr>
  </w:style>
  <w:style w:type="character" w:customStyle="1" w:styleId="23">
    <w:name w:val="批注文字 字符"/>
    <w:basedOn w:val="16"/>
    <w:link w:val="4"/>
    <w:qFormat/>
    <w:uiPriority w:val="0"/>
    <w:rPr>
      <w:rFonts w:ascii="Times New Roman" w:hAnsi="Times New Roman" w:eastAsia="宋体" w:cs="Times New Roman"/>
      <w:kern w:val="2"/>
      <w:sz w:val="21"/>
      <w:szCs w:val="24"/>
    </w:rPr>
  </w:style>
  <w:style w:type="character" w:customStyle="1" w:styleId="24">
    <w:name w:val="批注主题 字符"/>
    <w:basedOn w:val="23"/>
    <w:link w:val="12"/>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30</Pages>
  <Words>13168</Words>
  <Characters>13638</Characters>
  <Lines>58</Lines>
  <Paragraphs>16</Paragraphs>
  <TotalTime>40</TotalTime>
  <ScaleCrop>false</ScaleCrop>
  <LinksUpToDate>false</LinksUpToDate>
  <CharactersWithSpaces>13651</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2025-08-21T04:09:31Z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y fmtid="{D5CDD505-2E9C-101B-9397-08002B2CF9AE}" pid="3" name="ICV">
    <vt:lpwstr>EC99773F21B349659AE205148812517A_13</vt:lpwstr>
  </property>
  <property fmtid="{D5CDD505-2E9C-101B-9397-08002B2CF9AE}" pid="4" name="KSOTemplateDocerSaveRecord">
    <vt:lpwstr>eyJoZGlkIjoiYWIwNzEzNmQwYTRmNWQ5NTdhZjI0M2Q0NjE3M2ZiNDciLCJ1c2VySWQiOiI2NTk2MDc1NDYifQ==</vt:lpwstr>
  </property>
</Properties>
</file>