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default" w:ascii="Times New Roman" w:hAnsi="Times New Roman" w:eastAsia="华文中宋" w:cs="Times New Roman"/>
          <w:b/>
          <w:kern w:val="0"/>
          <w:sz w:val="52"/>
          <w:szCs w:val="52"/>
        </w:rPr>
      </w:pPr>
      <w:bookmarkStart w:id="3" w:name="_GoBack"/>
      <w:bookmarkEnd w:id="3"/>
    </w:p>
    <w:p>
      <w:pPr>
        <w:spacing w:line="540" w:lineRule="exact"/>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eastAsia="方正小标宋_GBK"/>
          <w:kern w:val="0"/>
          <w:sz w:val="48"/>
          <w:szCs w:val="48"/>
        </w:rPr>
      </w:pPr>
      <w:r>
        <w:rPr>
          <w:rFonts w:hint="eastAsia" w:eastAsia="方正小标宋_GBK"/>
          <w:kern w:val="0"/>
          <w:sz w:val="48"/>
          <w:szCs w:val="48"/>
          <w:lang w:val="en-US" w:eastAsia="zh-CN"/>
        </w:rPr>
        <w:t>生态环境监察</w:t>
      </w:r>
      <w:r>
        <w:rPr>
          <w:rFonts w:eastAsia="方正小标宋_GBK"/>
          <w:kern w:val="0"/>
          <w:sz w:val="48"/>
          <w:szCs w:val="48"/>
        </w:rPr>
        <w:t>项目支出绩效评价报告</w:t>
      </w:r>
    </w:p>
    <w:p>
      <w:pPr>
        <w:spacing w:line="540" w:lineRule="exact"/>
        <w:jc w:val="center"/>
        <w:rPr>
          <w:rFonts w:eastAsia="华文中宋"/>
          <w:b/>
          <w:kern w:val="0"/>
          <w:sz w:val="52"/>
          <w:szCs w:val="52"/>
        </w:rPr>
      </w:pPr>
    </w:p>
    <w:p>
      <w:pPr>
        <w:spacing w:line="540" w:lineRule="exact"/>
        <w:jc w:val="center"/>
        <w:rPr>
          <w:rFonts w:eastAsia="仿宋_GB2312"/>
          <w:kern w:val="0"/>
          <w:sz w:val="36"/>
          <w:szCs w:val="36"/>
        </w:rPr>
      </w:pPr>
      <w:r>
        <w:rPr>
          <w:rFonts w:eastAsia="仿宋_GB2312"/>
          <w:kern w:val="0"/>
          <w:sz w:val="36"/>
          <w:szCs w:val="36"/>
        </w:rPr>
        <w:t>（202</w:t>
      </w:r>
      <w:r>
        <w:rPr>
          <w:rFonts w:hint="eastAsia" w:eastAsia="仿宋_GB2312"/>
          <w:kern w:val="0"/>
          <w:sz w:val="36"/>
          <w:szCs w:val="36"/>
          <w:lang w:val="en-US" w:eastAsia="zh-CN"/>
        </w:rPr>
        <w:t>4</w:t>
      </w:r>
      <w:r>
        <w:rPr>
          <w:rFonts w:eastAsia="仿宋_GB2312"/>
          <w:kern w:val="0"/>
          <w:sz w:val="36"/>
          <w:szCs w:val="36"/>
        </w:rPr>
        <w:t>年度）</w:t>
      </w:r>
    </w:p>
    <w:p>
      <w:pPr>
        <w:spacing w:line="540" w:lineRule="exact"/>
        <w:jc w:val="center"/>
        <w:rPr>
          <w:rFonts w:hint="default" w:ascii="Times New Roman" w:hAnsi="Times New Roman" w:eastAsia="仿宋_GB2312" w:cs="Times New Roman"/>
          <w:kern w:val="0"/>
          <w:sz w:val="30"/>
          <w:szCs w:val="30"/>
        </w:rPr>
      </w:pPr>
    </w:p>
    <w:p>
      <w:pPr>
        <w:spacing w:line="540" w:lineRule="exact"/>
        <w:jc w:val="center"/>
        <w:rPr>
          <w:rFonts w:hint="default" w:ascii="Times New Roman" w:hAnsi="Times New Roman" w:eastAsia="仿宋_GB2312" w:cs="Times New Roman"/>
          <w:kern w:val="0"/>
          <w:sz w:val="30"/>
          <w:szCs w:val="30"/>
        </w:rPr>
      </w:pPr>
    </w:p>
    <w:p>
      <w:pPr>
        <w:spacing w:line="540" w:lineRule="exact"/>
        <w:jc w:val="center"/>
        <w:rPr>
          <w:rFonts w:hint="default" w:ascii="Times New Roman" w:hAnsi="Times New Roman" w:eastAsia="仿宋_GB2312" w:cs="Times New Roman"/>
          <w:kern w:val="0"/>
          <w:sz w:val="30"/>
          <w:szCs w:val="30"/>
        </w:rPr>
      </w:pPr>
    </w:p>
    <w:p>
      <w:pPr>
        <w:pStyle w:val="11"/>
        <w:rPr>
          <w:rFonts w:hint="default" w:ascii="Times New Roman" w:hAnsi="Times New Roman" w:cs="Times New Roman"/>
        </w:rPr>
      </w:pPr>
    </w:p>
    <w:p>
      <w:pPr>
        <w:spacing w:line="540" w:lineRule="exact"/>
        <w:jc w:val="center"/>
        <w:rPr>
          <w:rFonts w:hint="default" w:ascii="Times New Roman" w:hAnsi="Times New Roman" w:eastAsia="仿宋_GB2312" w:cs="Times New Roman"/>
          <w:kern w:val="0"/>
          <w:sz w:val="30"/>
          <w:szCs w:val="30"/>
        </w:rPr>
      </w:pPr>
    </w:p>
    <w:p>
      <w:pPr>
        <w:spacing w:line="540" w:lineRule="exact"/>
        <w:rPr>
          <w:rFonts w:hint="default" w:ascii="Times New Roman" w:hAnsi="Times New Roman" w:eastAsia="仿宋_GB2312" w:cs="Times New Roman"/>
          <w:kern w:val="0"/>
          <w:sz w:val="30"/>
          <w:szCs w:val="30"/>
        </w:rPr>
      </w:pPr>
    </w:p>
    <w:p>
      <w:pPr>
        <w:spacing w:line="700" w:lineRule="exact"/>
        <w:ind w:firstLine="1440" w:firstLineChars="400"/>
        <w:jc w:val="left"/>
        <w:rPr>
          <w:rFonts w:hint="eastAsia"/>
          <w:lang w:val="en-US" w:eastAsia="zh-CN"/>
        </w:rPr>
      </w:pPr>
      <w:r>
        <w:rPr>
          <w:rFonts w:eastAsia="仿宋_GB2312"/>
          <w:kern w:val="0"/>
          <w:sz w:val="36"/>
          <w:szCs w:val="36"/>
        </w:rPr>
        <w:t>项目名称：</w:t>
      </w:r>
      <w:r>
        <w:rPr>
          <w:rFonts w:hint="eastAsia" w:eastAsia="仿宋_GB2312"/>
          <w:kern w:val="0"/>
          <w:sz w:val="36"/>
          <w:szCs w:val="36"/>
          <w:lang w:val="en-US" w:eastAsia="zh-CN"/>
        </w:rPr>
        <w:t>生态环境监察项目</w:t>
      </w:r>
    </w:p>
    <w:p>
      <w:pPr>
        <w:spacing w:line="700" w:lineRule="exact"/>
        <w:ind w:firstLine="1440" w:firstLineChars="400"/>
        <w:jc w:val="left"/>
        <w:rPr>
          <w:rFonts w:hint="eastAsia" w:eastAsia="仿宋_GB2312"/>
          <w:kern w:val="0"/>
          <w:sz w:val="36"/>
          <w:szCs w:val="36"/>
          <w:lang w:val="en-US" w:eastAsia="zh-CN"/>
        </w:rPr>
      </w:pPr>
      <w:r>
        <w:rPr>
          <w:rFonts w:eastAsia="仿宋_GB2312"/>
          <w:kern w:val="0"/>
          <w:sz w:val="36"/>
          <w:szCs w:val="36"/>
        </w:rPr>
        <w:t>实施单位（公章）：</w:t>
      </w:r>
      <w:r>
        <w:rPr>
          <w:rFonts w:hint="eastAsia" w:eastAsia="仿宋_GB2312"/>
          <w:kern w:val="0"/>
          <w:sz w:val="36"/>
          <w:szCs w:val="36"/>
          <w:lang w:val="en-US" w:eastAsia="zh-CN"/>
        </w:rPr>
        <w:t>新</w:t>
      </w:r>
      <w:r>
        <w:rPr>
          <w:rFonts w:hint="eastAsia" w:eastAsia="仿宋_GB2312"/>
          <w:kern w:val="0"/>
          <w:sz w:val="36"/>
          <w:szCs w:val="36"/>
          <w:lang w:eastAsia="zh-CN"/>
        </w:rPr>
        <w:t>疆维吾尔自治区生态环境厅第二生态环境监察专员办公室</w:t>
      </w:r>
    </w:p>
    <w:p>
      <w:pPr>
        <w:spacing w:line="700" w:lineRule="exact"/>
        <w:ind w:firstLine="1440" w:firstLineChars="400"/>
        <w:jc w:val="left"/>
        <w:rPr>
          <w:rFonts w:eastAsia="仿宋_GB2312"/>
          <w:kern w:val="0"/>
          <w:sz w:val="36"/>
          <w:szCs w:val="36"/>
        </w:rPr>
      </w:pPr>
      <w:r>
        <w:rPr>
          <w:rFonts w:eastAsia="仿宋_GB2312"/>
          <w:kern w:val="0"/>
          <w:sz w:val="36"/>
          <w:szCs w:val="36"/>
        </w:rPr>
        <w:t>主管部门（公章）：</w:t>
      </w:r>
      <w:r>
        <w:rPr>
          <w:rFonts w:hint="eastAsia" w:eastAsia="仿宋_GB2312"/>
          <w:kern w:val="0"/>
          <w:sz w:val="36"/>
          <w:szCs w:val="36"/>
        </w:rPr>
        <w:t>新疆维吾尔自治区生态环境厅</w:t>
      </w:r>
    </w:p>
    <w:p>
      <w:pPr>
        <w:spacing w:line="700" w:lineRule="exact"/>
        <w:ind w:firstLine="1440" w:firstLineChars="400"/>
        <w:jc w:val="left"/>
        <w:rPr>
          <w:rFonts w:hint="eastAsia" w:eastAsia="仿宋_GB2312"/>
          <w:kern w:val="0"/>
          <w:sz w:val="36"/>
          <w:szCs w:val="36"/>
          <w:lang w:eastAsia="zh-CN"/>
        </w:rPr>
      </w:pPr>
      <w:r>
        <w:rPr>
          <w:rFonts w:eastAsia="仿宋_GB2312"/>
          <w:kern w:val="0"/>
          <w:sz w:val="36"/>
          <w:szCs w:val="36"/>
        </w:rPr>
        <w:t>项目负责人（签章）：</w:t>
      </w:r>
      <w:r>
        <w:rPr>
          <w:rFonts w:hint="eastAsia" w:eastAsia="仿宋_GB2312"/>
          <w:kern w:val="0"/>
          <w:sz w:val="36"/>
          <w:szCs w:val="36"/>
          <w:lang w:eastAsia="zh-CN"/>
        </w:rPr>
        <w:t>吕大江</w:t>
      </w:r>
    </w:p>
    <w:p>
      <w:pPr>
        <w:spacing w:line="700" w:lineRule="exact"/>
        <w:ind w:firstLine="1440" w:firstLineChars="400"/>
        <w:jc w:val="left"/>
        <w:rPr>
          <w:rFonts w:eastAsia="仿宋_GB2312"/>
          <w:kern w:val="0"/>
          <w:sz w:val="36"/>
          <w:szCs w:val="36"/>
        </w:rPr>
      </w:pPr>
      <w:r>
        <w:rPr>
          <w:rFonts w:eastAsia="仿宋_GB2312"/>
          <w:kern w:val="0"/>
          <w:sz w:val="36"/>
          <w:szCs w:val="36"/>
        </w:rPr>
        <w:t>填报时间：</w:t>
      </w:r>
      <w:r>
        <w:rPr>
          <w:rFonts w:hint="eastAsia" w:eastAsia="仿宋_GB2312"/>
          <w:kern w:val="0"/>
          <w:sz w:val="36"/>
          <w:szCs w:val="36"/>
          <w:lang w:val="en-US" w:eastAsia="zh-CN"/>
        </w:rPr>
        <w:t>2025</w:t>
      </w:r>
      <w:r>
        <w:rPr>
          <w:rFonts w:eastAsia="仿宋_GB2312"/>
          <w:kern w:val="0"/>
          <w:sz w:val="36"/>
          <w:szCs w:val="36"/>
        </w:rPr>
        <w:t>年</w:t>
      </w:r>
      <w:r>
        <w:rPr>
          <w:rFonts w:hint="eastAsia" w:eastAsia="仿宋_GB2312"/>
          <w:kern w:val="0"/>
          <w:sz w:val="36"/>
          <w:szCs w:val="36"/>
          <w:lang w:val="en-US" w:eastAsia="zh-CN"/>
        </w:rPr>
        <w:t>2</w:t>
      </w:r>
      <w:r>
        <w:rPr>
          <w:rFonts w:eastAsia="仿宋_GB2312"/>
          <w:kern w:val="0"/>
          <w:sz w:val="36"/>
          <w:szCs w:val="36"/>
        </w:rPr>
        <w:t>月</w:t>
      </w:r>
      <w:r>
        <w:rPr>
          <w:rFonts w:hint="eastAsia" w:eastAsia="仿宋_GB2312"/>
          <w:kern w:val="0"/>
          <w:sz w:val="36"/>
          <w:szCs w:val="36"/>
          <w:lang w:val="en-US" w:eastAsia="zh-CN"/>
        </w:rPr>
        <w:t>25</w:t>
      </w:r>
      <w:r>
        <w:rPr>
          <w:rFonts w:eastAsia="仿宋_GB2312"/>
          <w:kern w:val="0"/>
          <w:sz w:val="36"/>
          <w:szCs w:val="36"/>
        </w:rPr>
        <w:t>日</w:t>
      </w:r>
    </w:p>
    <w:p>
      <w:pPr>
        <w:spacing w:line="540" w:lineRule="exact"/>
        <w:jc w:val="center"/>
        <w:rPr>
          <w:rFonts w:hint="default" w:ascii="Times New Roman" w:hAnsi="Times New Roman" w:eastAsia="仿宋_GB2312" w:cs="Times New Roman"/>
          <w:kern w:val="0"/>
          <w:sz w:val="30"/>
          <w:szCs w:val="30"/>
        </w:rPr>
      </w:pPr>
    </w:p>
    <w:p>
      <w:pPr>
        <w:spacing w:line="540" w:lineRule="exact"/>
        <w:rPr>
          <w:rStyle w:val="17"/>
          <w:rFonts w:hint="default" w:ascii="Times New Roman" w:hAnsi="Times New Roman" w:eastAsia="黑体" w:cs="Times New Roman"/>
          <w:b w:val="0"/>
          <w:spacing w:val="-4"/>
          <w:sz w:val="32"/>
          <w:szCs w:val="32"/>
        </w:rPr>
      </w:pPr>
    </w:p>
    <w:p>
      <w:pPr>
        <w:spacing w:line="540" w:lineRule="exact"/>
        <w:ind w:firstLine="640"/>
        <w:rPr>
          <w:rStyle w:val="17"/>
          <w:rFonts w:hint="default" w:ascii="Times New Roman" w:hAnsi="Times New Roman" w:eastAsia="黑体" w:cs="Times New Roman"/>
          <w:b w:val="0"/>
          <w:spacing w:val="-4"/>
          <w:sz w:val="32"/>
          <w:szCs w:val="32"/>
        </w:rPr>
      </w:pPr>
    </w:p>
    <w:p>
      <w:pPr>
        <w:spacing w:line="540" w:lineRule="exact"/>
        <w:rPr>
          <w:rStyle w:val="17"/>
          <w:rFonts w:hint="default" w:ascii="Times New Roman" w:hAnsi="Times New Roman" w:eastAsia="黑体" w:cs="Times New Roman"/>
          <w:b w:val="0"/>
          <w:spacing w:val="-4"/>
          <w:sz w:val="32"/>
          <w:szCs w:val="32"/>
        </w:rPr>
      </w:pPr>
    </w:p>
    <w:p>
      <w:pPr>
        <w:spacing w:line="560" w:lineRule="exact"/>
        <w:ind w:firstLine="640" w:firstLineChars="200"/>
        <w:rPr>
          <w:rFonts w:hint="default" w:ascii="Times New Roman" w:hAnsi="Times New Roman" w:eastAsia="黑体" w:cs="Times New Roman"/>
          <w:bCs/>
          <w:sz w:val="32"/>
          <w:szCs w:val="32"/>
        </w:rPr>
        <w:sectPr>
          <w:pgSz w:w="11906" w:h="16838"/>
          <w:pgMar w:top="1440" w:right="1558" w:bottom="1440" w:left="1800" w:header="851" w:footer="992" w:gutter="0"/>
          <w:cols w:space="425" w:num="1"/>
          <w:docGrid w:type="lines" w:linePitch="312" w:charSpace="0"/>
        </w:sectPr>
      </w:pPr>
    </w:p>
    <w:p>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根据《自治区党委办公厅 自治区人民政府办公厅印发&lt;自治区生态环境机构监测监察执法垂直管理制度改革实施方案&gt;的通知》（新党厅字〔2019〕60号），建立生态环境保护监察专员制度，在自治区生态环境厅设生态环境保护监察专员。跨区域设立生态环境保护监察专员办公室，驻地（州、市）开展生态环境保护监察和督察工作，人员和工作经费由自治区本级承担。</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根据《自治区党委办公厅、自治区人民政府办公厅关于印发〈新疆维吾尔自治区生态环境厅职能配置内设机构和人员编制规定〉的通知》（新党厅字〔2018〕154号），2019年我区应建立健全生态环境保护督察制度，跨区域设立6个生态环境监察专员办公室，作为自治区生态环境厅派出机构，承担所辖区域的生态环境保护监察和督察工作。第</w:t>
      </w:r>
      <w:r>
        <w:rPr>
          <w:rFonts w:hint="eastAsia" w:ascii="仿宋_GB2312" w:hAnsi="仿宋_GB2312" w:eastAsia="仿宋_GB2312" w:cs="仿宋_GB2312"/>
          <w:color w:val="auto"/>
          <w:kern w:val="0"/>
          <w:sz w:val="32"/>
          <w:szCs w:val="32"/>
          <w:highlight w:val="none"/>
          <w:lang w:val="en-US" w:eastAsia="zh-CN"/>
        </w:rPr>
        <w:t>二</w:t>
      </w:r>
      <w:r>
        <w:rPr>
          <w:rFonts w:hint="eastAsia" w:ascii="仿宋_GB2312" w:hAnsi="仿宋_GB2312" w:eastAsia="仿宋_GB2312" w:cs="仿宋_GB2312"/>
          <w:color w:val="auto"/>
          <w:kern w:val="0"/>
          <w:sz w:val="32"/>
          <w:szCs w:val="32"/>
          <w:highlight w:val="none"/>
        </w:rPr>
        <w:t>生态环境监察专员办公室负责</w:t>
      </w:r>
      <w:r>
        <w:rPr>
          <w:rFonts w:hint="eastAsia" w:ascii="仿宋_GB2312" w:hAnsi="仿宋_GB2312" w:eastAsia="仿宋_GB2312" w:cs="仿宋_GB2312"/>
          <w:color w:val="auto"/>
          <w:kern w:val="0"/>
          <w:sz w:val="32"/>
          <w:szCs w:val="32"/>
          <w:highlight w:val="none"/>
          <w:lang w:val="en-US" w:eastAsia="zh-CN"/>
        </w:rPr>
        <w:t>昌吉州、阿勒泰</w:t>
      </w:r>
      <w:r>
        <w:rPr>
          <w:rFonts w:hint="eastAsia" w:ascii="仿宋_GB2312" w:hAnsi="仿宋_GB2312" w:eastAsia="仿宋_GB2312" w:cs="仿宋_GB2312"/>
          <w:color w:val="auto"/>
          <w:kern w:val="0"/>
          <w:sz w:val="32"/>
          <w:szCs w:val="32"/>
          <w:highlight w:val="none"/>
        </w:rPr>
        <w:t>地区区域生态环境监察工作，办公地点设在</w:t>
      </w:r>
      <w:r>
        <w:rPr>
          <w:rFonts w:hint="eastAsia" w:ascii="仿宋_GB2312" w:hAnsi="仿宋_GB2312" w:eastAsia="仿宋_GB2312" w:cs="仿宋_GB2312"/>
          <w:color w:val="auto"/>
          <w:kern w:val="0"/>
          <w:sz w:val="32"/>
          <w:szCs w:val="32"/>
          <w:highlight w:val="none"/>
          <w:lang w:val="en-US" w:eastAsia="zh-CN"/>
        </w:rPr>
        <w:t>昌吉</w:t>
      </w:r>
      <w:r>
        <w:rPr>
          <w:rFonts w:hint="eastAsia" w:ascii="仿宋_GB2312" w:hAnsi="仿宋_GB2312" w:eastAsia="仿宋_GB2312" w:cs="仿宋_GB2312"/>
          <w:color w:val="auto"/>
          <w:kern w:val="0"/>
          <w:sz w:val="32"/>
          <w:szCs w:val="32"/>
          <w:highlight w:val="none"/>
        </w:rPr>
        <w:t>市。</w:t>
      </w:r>
    </w:p>
    <w:p>
      <w:pPr>
        <w:pStyle w:val="11"/>
        <w:numPr>
          <w:ilvl w:val="0"/>
          <w:numId w:val="0"/>
        </w:numPr>
        <w:spacing w:before="0" w:after="0" w:line="560" w:lineRule="exact"/>
        <w:ind w:firstLine="643" w:firstLineChars="200"/>
        <w:jc w:val="both"/>
        <w:rPr>
          <w:rFonts w:hint="default" w:ascii="Times New Roman" w:hAnsi="Times New Roman" w:eastAsia="仿宋_GB2312" w:cs="Times New Roman"/>
          <w:kern w:val="2"/>
          <w:lang w:val="en-US" w:eastAsia="zh-CN"/>
        </w:rPr>
      </w:pPr>
      <w:r>
        <w:rPr>
          <w:rFonts w:hint="default" w:ascii="Times New Roman" w:hAnsi="Times New Roman" w:eastAsia="仿宋_GB2312" w:cs="Times New Roman"/>
          <w:kern w:val="2"/>
          <w:lang w:val="en-US" w:eastAsia="zh-CN"/>
        </w:rPr>
        <w:t>2.</w:t>
      </w:r>
      <w:r>
        <w:rPr>
          <w:rFonts w:hint="default" w:ascii="Times New Roman" w:hAnsi="Times New Roman" w:eastAsia="仿宋_GB2312" w:cs="Times New Roman"/>
          <w:kern w:val="2"/>
        </w:rPr>
        <w:t>项目主要内容</w:t>
      </w:r>
      <w:r>
        <w:rPr>
          <w:rFonts w:hint="eastAsia" w:ascii="Times New Roman" w:hAnsi="Times New Roman" w:eastAsia="仿宋_GB2312" w:cs="Times New Roman"/>
          <w:kern w:val="2"/>
          <w:lang w:val="en-US" w:eastAsia="zh-CN"/>
        </w:rPr>
        <w:t>及实施情况</w:t>
      </w:r>
    </w:p>
    <w:p>
      <w:pPr>
        <w:keepNext w:val="0"/>
        <w:keepLines w:val="0"/>
        <w:pageBreakBefore w:val="0"/>
        <w:kinsoku/>
        <w:wordWrap/>
        <w:overflowPunct/>
        <w:topLinePunct w:val="0"/>
        <w:autoSpaceDE/>
        <w:autoSpaceDN/>
        <w:bidi w:val="0"/>
        <w:adjustRightInd/>
        <w:snapToGrid/>
        <w:spacing w:line="600" w:lineRule="exact"/>
        <w:ind w:firstLine="602" w:firstLineChars="200"/>
        <w:textAlignment w:val="auto"/>
        <w:rPr>
          <w:rFonts w:ascii="仿宋_GB2312" w:hAnsi="Times New Roman" w:eastAsia="仿宋_GB2312" w:cs="Times New Roman"/>
          <w:sz w:val="30"/>
          <w:szCs w:val="24"/>
        </w:rPr>
      </w:pPr>
      <w:r>
        <w:rPr>
          <w:rFonts w:hint="default" w:ascii="Times New Roman" w:hAnsi="Times New Roman" w:eastAsia="仿宋_GB2312" w:cs="Times New Roman"/>
          <w:b/>
          <w:bCs/>
          <w:sz w:val="30"/>
          <w:szCs w:val="30"/>
          <w:highlight w:val="none"/>
          <w:lang w:val="en-US" w:eastAsia="zh-CN"/>
        </w:rPr>
        <w:t>项目主要内容：</w:t>
      </w:r>
      <w:r>
        <w:rPr>
          <w:rFonts w:hint="eastAsia" w:ascii="仿宋_GB2312" w:hAnsi="仿宋_GB2312" w:eastAsia="仿宋_GB2312" w:cs="仿宋_GB2312"/>
          <w:color w:val="auto"/>
          <w:kern w:val="0"/>
          <w:sz w:val="32"/>
          <w:szCs w:val="32"/>
          <w:highlight w:val="none"/>
        </w:rPr>
        <w:t>202</w:t>
      </w:r>
      <w:r>
        <w:rPr>
          <w:rFonts w:hint="eastAsia" w:ascii="仿宋_GB2312" w:hAnsi="仿宋_GB2312" w:eastAsia="仿宋_GB2312" w:cs="仿宋_GB2312"/>
          <w:color w:val="auto"/>
          <w:kern w:val="0"/>
          <w:sz w:val="32"/>
          <w:szCs w:val="32"/>
          <w:highlight w:val="none"/>
          <w:lang w:val="en-US" w:eastAsia="zh-CN"/>
        </w:rPr>
        <w:t>4</w:t>
      </w:r>
      <w:r>
        <w:rPr>
          <w:rFonts w:hint="eastAsia" w:ascii="仿宋_GB2312" w:hAnsi="仿宋_GB2312" w:eastAsia="仿宋_GB2312" w:cs="仿宋_GB2312"/>
          <w:color w:val="auto"/>
          <w:kern w:val="0"/>
          <w:sz w:val="32"/>
          <w:szCs w:val="32"/>
          <w:highlight w:val="none"/>
        </w:rPr>
        <w:t>年第</w:t>
      </w:r>
      <w:r>
        <w:rPr>
          <w:rFonts w:hint="eastAsia" w:ascii="仿宋_GB2312" w:hAnsi="仿宋_GB2312" w:eastAsia="仿宋_GB2312" w:cs="仿宋_GB2312"/>
          <w:color w:val="auto"/>
          <w:kern w:val="0"/>
          <w:sz w:val="32"/>
          <w:szCs w:val="32"/>
          <w:highlight w:val="none"/>
          <w:lang w:val="en-US" w:eastAsia="zh-CN"/>
        </w:rPr>
        <w:t>二</w:t>
      </w:r>
      <w:r>
        <w:rPr>
          <w:rFonts w:hint="eastAsia" w:ascii="仿宋_GB2312" w:hAnsi="仿宋_GB2312" w:eastAsia="仿宋_GB2312" w:cs="仿宋_GB2312"/>
          <w:color w:val="auto"/>
          <w:kern w:val="0"/>
          <w:sz w:val="32"/>
          <w:szCs w:val="32"/>
          <w:highlight w:val="none"/>
        </w:rPr>
        <w:t>生态环境监察专员办公室将根据中央生态环境保护督察涉及到的整改任务，按照自治区党委、人民政府及生态环境厅的统一部署，开展对</w:t>
      </w:r>
      <w:r>
        <w:rPr>
          <w:rFonts w:hint="eastAsia" w:ascii="仿宋_GB2312" w:hAnsi="仿宋_GB2312" w:eastAsia="仿宋_GB2312" w:cs="仿宋_GB2312"/>
          <w:color w:val="auto"/>
          <w:kern w:val="0"/>
          <w:sz w:val="32"/>
          <w:szCs w:val="32"/>
          <w:highlight w:val="none"/>
          <w:lang w:val="en-US" w:eastAsia="zh-CN"/>
        </w:rPr>
        <w:t>昌吉州、阿勒泰</w:t>
      </w:r>
      <w:r>
        <w:rPr>
          <w:rFonts w:hint="eastAsia" w:ascii="仿宋_GB2312" w:hAnsi="仿宋_GB2312" w:eastAsia="仿宋_GB2312" w:cs="仿宋_GB2312"/>
          <w:color w:val="auto"/>
          <w:kern w:val="0"/>
          <w:sz w:val="32"/>
          <w:szCs w:val="32"/>
          <w:highlight w:val="none"/>
        </w:rPr>
        <w:t>地区两个地州生态环境监察工作，通过</w:t>
      </w:r>
      <w:r>
        <w:rPr>
          <w:rFonts w:hint="eastAsia" w:ascii="仿宋_GB2312" w:hAnsi="仿宋_GB2312" w:eastAsia="仿宋_GB2312" w:cs="仿宋_GB2312"/>
          <w:color w:val="auto"/>
          <w:kern w:val="0"/>
          <w:sz w:val="32"/>
          <w:szCs w:val="32"/>
          <w:highlight w:val="none"/>
          <w:lang w:val="en-US" w:eastAsia="zh-CN"/>
        </w:rPr>
        <w:t>派驻</w:t>
      </w:r>
      <w:r>
        <w:rPr>
          <w:rFonts w:hint="eastAsia" w:ascii="仿宋_GB2312" w:hAnsi="仿宋_GB2312" w:eastAsia="仿宋_GB2312" w:cs="仿宋_GB2312"/>
          <w:color w:val="auto"/>
          <w:kern w:val="0"/>
          <w:sz w:val="32"/>
          <w:szCs w:val="32"/>
          <w:highlight w:val="none"/>
        </w:rPr>
        <w:t>监察、</w:t>
      </w:r>
      <w:r>
        <w:rPr>
          <w:rFonts w:hint="eastAsia" w:ascii="仿宋_GB2312" w:hAnsi="仿宋_GB2312" w:eastAsia="仿宋_GB2312" w:cs="仿宋_GB2312"/>
          <w:color w:val="auto"/>
          <w:kern w:val="0"/>
          <w:sz w:val="32"/>
          <w:szCs w:val="32"/>
          <w:highlight w:val="none"/>
          <w:lang w:val="en-US" w:eastAsia="zh-CN"/>
        </w:rPr>
        <w:t>专项监察、</w:t>
      </w:r>
      <w:r>
        <w:rPr>
          <w:rFonts w:hint="eastAsia" w:ascii="仿宋_GB2312" w:hAnsi="仿宋_GB2312" w:eastAsia="仿宋_GB2312" w:cs="仿宋_GB2312"/>
          <w:color w:val="auto"/>
          <w:kern w:val="0"/>
          <w:sz w:val="32"/>
          <w:szCs w:val="32"/>
          <w:highlight w:val="none"/>
        </w:rPr>
        <w:t>现场</w:t>
      </w:r>
      <w:r>
        <w:rPr>
          <w:rFonts w:hint="eastAsia" w:ascii="仿宋_GB2312" w:hAnsi="仿宋_GB2312" w:eastAsia="仿宋_GB2312" w:cs="仿宋_GB2312"/>
          <w:color w:val="auto"/>
          <w:kern w:val="0"/>
          <w:sz w:val="32"/>
          <w:szCs w:val="32"/>
          <w:highlight w:val="none"/>
          <w:lang w:val="en-US" w:eastAsia="zh-CN"/>
        </w:rPr>
        <w:t>监察</w:t>
      </w:r>
      <w:r>
        <w:rPr>
          <w:rFonts w:hint="eastAsia" w:ascii="仿宋_GB2312" w:hAnsi="仿宋_GB2312" w:eastAsia="仿宋_GB2312" w:cs="仿宋_GB2312"/>
          <w:color w:val="auto"/>
          <w:kern w:val="0"/>
          <w:sz w:val="32"/>
          <w:szCs w:val="32"/>
          <w:highlight w:val="none"/>
        </w:rPr>
        <w:t>等方式，督促当地生态环境保护工作持续改善。</w:t>
      </w:r>
    </w:p>
    <w:p>
      <w:pPr>
        <w:spacing w:line="560" w:lineRule="exact"/>
        <w:ind w:firstLine="602" w:firstLineChars="200"/>
        <w:rPr>
          <w:rFonts w:hint="default" w:ascii="Times New Roman" w:hAnsi="Times New Roman" w:cs="Times New Roman"/>
        </w:rPr>
      </w:pPr>
      <w:r>
        <w:rPr>
          <w:rFonts w:hint="default" w:ascii="Times New Roman" w:hAnsi="Times New Roman" w:eastAsia="仿宋_GB2312" w:cs="Times New Roman"/>
          <w:b/>
          <w:bCs/>
          <w:sz w:val="30"/>
          <w:szCs w:val="30"/>
          <w:highlight w:val="none"/>
          <w:lang w:val="en-US" w:eastAsia="zh-CN"/>
        </w:rPr>
        <w:t>项目实施情况</w:t>
      </w:r>
      <w:r>
        <w:rPr>
          <w:rFonts w:hint="default" w:ascii="Times New Roman" w:hAnsi="Times New Roman" w:eastAsia="仿宋_GB2312" w:cs="Times New Roman"/>
          <w:b/>
          <w:bCs/>
          <w:sz w:val="32"/>
          <w:szCs w:val="32"/>
        </w:rPr>
        <w:t>：</w:t>
      </w:r>
      <w:r>
        <w:rPr>
          <w:rFonts w:eastAsia="仿宋_GB2312"/>
          <w:sz w:val="32"/>
          <w:szCs w:val="32"/>
        </w:rPr>
        <w:t>项目目前已经完成实际设立的目标，项目在实施过程中严格按照目标设立的各阶段任务进行开展工作，在前期立项过程中严格把质量关，建立安全防护机制，保证项目实施各阶段安全顺利进行。</w:t>
      </w:r>
    </w:p>
    <w:p>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资金投入和使用情况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90</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90</w:t>
      </w:r>
      <w:r>
        <w:rPr>
          <w:rFonts w:hint="default" w:ascii="Times New Roman" w:hAnsi="Times New Roman" w:eastAsia="仿宋_GB2312" w:cs="Times New Roman"/>
          <w:sz w:val="32"/>
          <w:szCs w:val="32"/>
          <w:highlight w:val="none"/>
          <w:lang w:val="en-US" w:eastAsia="zh-CN"/>
        </w:rPr>
        <w:t>万元，该项目资金已全部落实到位，资金来源为</w:t>
      </w:r>
      <w:r>
        <w:rPr>
          <w:rFonts w:hint="eastAsia" w:ascii="仿宋_GB2312" w:hAnsi="仿宋_GB2312" w:eastAsia="仿宋_GB2312" w:cs="仿宋_GB2312"/>
          <w:sz w:val="32"/>
          <w:szCs w:val="32"/>
          <w:highlight w:val="none"/>
          <w:lang w:val="en-US" w:eastAsia="zh-CN"/>
        </w:rPr>
        <w:t>财政拨款</w:t>
      </w:r>
      <w:r>
        <w:rPr>
          <w:rFonts w:hint="default" w:ascii="Times New Roman" w:hAnsi="Times New Roman" w:eastAsia="仿宋_GB2312" w:cs="Times New Roman"/>
          <w:sz w:val="32"/>
          <w:szCs w:val="32"/>
          <w:highlight w:val="none"/>
          <w:lang w:val="en-US"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（2）资金使用情况</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90</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90</w:t>
      </w:r>
      <w:r>
        <w:rPr>
          <w:rFonts w:hint="default" w:ascii="Times New Roman" w:hAnsi="Times New Roman" w:eastAsia="仿宋_GB2312" w:cs="Times New Roman"/>
          <w:sz w:val="32"/>
          <w:szCs w:val="32"/>
          <w:highlight w:val="none"/>
          <w:lang w:val="en-US" w:eastAsia="zh-CN"/>
        </w:rPr>
        <w:t>万元</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全年执行数</w:t>
      </w:r>
      <w:r>
        <w:rPr>
          <w:rFonts w:hint="eastAsia" w:eastAsia="仿宋_GB2312" w:cs="Times New Roman"/>
          <w:sz w:val="32"/>
          <w:szCs w:val="32"/>
          <w:highlight w:val="none"/>
          <w:lang w:val="en-US" w:eastAsia="zh-CN"/>
        </w:rPr>
        <w:t>75.89</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84.32</w:t>
      </w:r>
      <w:r>
        <w:rPr>
          <w:rFonts w:hint="default" w:ascii="Times New Roman" w:hAnsi="Times New Roman" w:eastAsia="仿宋_GB2312" w:cs="Times New Roman"/>
          <w:sz w:val="32"/>
          <w:szCs w:val="32"/>
          <w:highlight w:val="none"/>
          <w:lang w:val="en-US" w:eastAsia="zh-CN"/>
        </w:rPr>
        <w:t>%，主要用于：</w:t>
      </w:r>
      <w:r>
        <w:rPr>
          <w:rFonts w:hint="eastAsia" w:ascii="仿宋_GB2312" w:hAnsi="仿宋_GB2312" w:eastAsia="仿宋_GB2312" w:cs="仿宋_GB2312"/>
          <w:sz w:val="32"/>
          <w:szCs w:val="32"/>
          <w:highlight w:val="none"/>
          <w:lang w:val="en-US" w:eastAsia="zh-CN"/>
        </w:rPr>
        <w:t>支付项目实施进程中的各项费用。</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总体目标</w:t>
      </w:r>
    </w:p>
    <w:p>
      <w:pPr>
        <w:shd w:val="clear"/>
        <w:spacing w:line="600" w:lineRule="exact"/>
        <w:ind w:firstLine="640" w:firstLineChars="200"/>
        <w:outlineLvl w:val="0"/>
        <w:rPr>
          <w:rFonts w:hint="default" w:ascii="仿宋_GB2312" w:hAnsi="仿宋_GB2312" w:eastAsia="仿宋_GB2312" w:cs="仿宋_GB2312"/>
          <w:sz w:val="32"/>
          <w:szCs w:val="32"/>
          <w:highlight w:val="none"/>
          <w:lang w:val="en-US" w:eastAsia="zh-CN"/>
        </w:rPr>
      </w:pPr>
      <w:r>
        <w:rPr>
          <w:rFonts w:hint="default" w:ascii="仿宋_GB2312" w:hAnsi="仿宋_GB2312" w:eastAsia="仿宋_GB2312" w:cs="仿宋_GB2312"/>
          <w:sz w:val="32"/>
          <w:szCs w:val="32"/>
          <w:highlight w:val="none"/>
          <w:lang w:val="en-US" w:eastAsia="zh-CN"/>
        </w:rPr>
        <w:t>根据生态环境监察专员办公室职责，2024年第二专员办将紧紧围绕生态环境保护年度监察目标任务，配合做好中央、自治区生态环境保护督察反馈问题整改落实工作以及新一轮自治区生态环境保护督察工作；同时，围绕昌吉、阿勒泰两地州重点生态环境领域突出问题做好日常派驻监察，在此基础上推进昌吉州大气污染防治等专项调研检查，不断促进辖区生态环境保护质量持续改善。覆盖生态环境监察区域2个，形成督察检查专项报告4次，监察频次4次，报告质量通过率和区域覆盖率达到100%。持续开展生态环境保护监察、督察工作，不断构建新型生态环境保护监察体系。</w:t>
      </w:r>
    </w:p>
    <w:p>
      <w:pPr>
        <w:spacing w:line="560" w:lineRule="exact"/>
        <w:ind w:firstLine="640" w:firstLineChars="200"/>
        <w:rPr>
          <w:rFonts w:hint="default" w:ascii="Times New Roman" w:hAnsi="Times New Roman" w:eastAsia="仿宋_GB2312" w:cs="Times New Roman"/>
          <w:color w:val="FF0000"/>
          <w:sz w:val="30"/>
          <w:szCs w:val="30"/>
          <w:highlight w:val="none"/>
          <w:lang w:val="en-US" w:eastAsia="zh-CN"/>
        </w:rPr>
      </w:pPr>
      <w:r>
        <w:rPr>
          <w:rFonts w:hint="default" w:ascii="Times New Roman" w:hAnsi="Times New Roman" w:eastAsia="仿宋_GB2312" w:cs="Times New Roman"/>
          <w:sz w:val="32"/>
          <w:szCs w:val="32"/>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阶段性目标</w:t>
      </w:r>
    </w:p>
    <w:p>
      <w:pPr>
        <w:pStyle w:val="11"/>
        <w:keepNext w:val="0"/>
        <w:keepLines w:val="0"/>
        <w:pageBreakBefore w:val="0"/>
        <w:kinsoku/>
        <w:wordWrap/>
        <w:overflowPunct/>
        <w:topLinePunct w:val="0"/>
        <w:autoSpaceDE/>
        <w:autoSpaceDN/>
        <w:bidi w:val="0"/>
        <w:adjustRightInd/>
        <w:snapToGrid/>
        <w:spacing w:before="0" w:after="0" w:line="600" w:lineRule="exact"/>
        <w:ind w:firstLine="640" w:firstLineChars="200"/>
        <w:jc w:val="both"/>
        <w:textAlignment w:val="auto"/>
        <w:rPr>
          <w:rFonts w:hint="eastAsia" w:ascii="Times New Roman" w:hAnsi="Times New Roman" w:eastAsia="仿宋_GB2312"/>
          <w:b w:val="0"/>
          <w:bCs w:val="0"/>
          <w:kern w:val="2"/>
          <w:lang w:eastAsia="zh-CN"/>
        </w:rPr>
      </w:pPr>
      <w:r>
        <w:rPr>
          <w:rFonts w:hint="eastAsia" w:ascii="Times New Roman" w:hAnsi="Times New Roman" w:eastAsia="仿宋_GB2312"/>
          <w:b w:val="0"/>
          <w:bCs w:val="0"/>
          <w:kern w:val="2"/>
          <w:lang w:val="en-US" w:eastAsia="zh-CN"/>
        </w:rPr>
        <w:t>每季度对昌吉州、阿勒泰地区进行一轮次中央环保督察反馈问题整改督导，配合参加自治区生态环境督察</w:t>
      </w:r>
      <w:r>
        <w:rPr>
          <w:rFonts w:hint="eastAsia" w:ascii="Times New Roman" w:hAnsi="Times New Roman" w:eastAsia="仿宋_GB2312"/>
          <w:b w:val="0"/>
          <w:bCs w:val="0"/>
          <w:kern w:val="2"/>
          <w:lang w:eastAsia="zh-CN"/>
        </w:rPr>
        <w:t>。</w:t>
      </w:r>
    </w:p>
    <w:p>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lang w:val="en-US" w:eastAsia="zh-CN"/>
        </w:rPr>
        <w:t>1.绩效评价完整性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评价指标体系的构建上，充分考虑了项目的性质、目标以及预期成果，选取了具有代表性和可衡量性的关键指标，涵盖了社会效益等多个维度，力求全方位反映项目的绩效状况。同时，对于每个指标的评价标准和数据来源均进行了明确说明，确保评价结果的客观性和可追溯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绩效评价的目的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（1）评估项目实施效果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通过对项目预算执行情况及各项绩效目标达成程度的系统性分析，全面、客观地评估项目在预定周期内的实施效果，包括社会效益及可持续性等多维度指标，为项目后续的改进与优化提供科学依据。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（2）提升资源利用效率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（3）强化项目管理责任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（4）为决策提供支持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（5）促进项目持续改进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Times New Roman" w:hAnsi="Times New Roman" w:eastAsia="仿宋_GB2312" w:cs="Times New Roman"/>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绩效评价的对象</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本项目预算绩效评价报告的评价对象是</w:t>
      </w:r>
      <w:r>
        <w:rPr>
          <w:rFonts w:hint="eastAsia" w:ascii="Times New Roman" w:hAnsi="Times New Roman" w:eastAsia="仿宋_GB2312" w:cs="Times New Roman"/>
          <w:b w:val="0"/>
          <w:bCs w:val="0"/>
          <w:highlight w:val="none"/>
          <w:lang w:val="en-US" w:eastAsia="zh-CN"/>
        </w:rPr>
        <w:t>生态环境监察项目</w:t>
      </w:r>
      <w:r>
        <w:rPr>
          <w:rFonts w:hint="default" w:ascii="Times New Roman" w:hAnsi="Times New Roman" w:eastAsia="仿宋_GB2312" w:cs="Times New Roman"/>
          <w:b w:val="0"/>
          <w:bCs w:val="0"/>
          <w:highlight w:val="none"/>
        </w:rPr>
        <w:t>及其预算执行情况。该项目由新疆维吾尔自治区生态环境厅第二生态环境监察专员办公室负责实施，旨在</w:t>
      </w:r>
      <w:r>
        <w:rPr>
          <w:rFonts w:hint="eastAsia" w:ascii="Times New Roman" w:hAnsi="Times New Roman" w:eastAsia="仿宋_GB2312" w:cs="Times New Roman"/>
          <w:b w:val="0"/>
          <w:bCs w:val="0"/>
          <w:highlight w:val="none"/>
          <w:lang w:val="en-US" w:eastAsia="zh-CN"/>
        </w:rPr>
        <w:t>通过</w:t>
      </w:r>
      <w:r>
        <w:rPr>
          <w:rFonts w:hint="default" w:ascii="Times New Roman" w:hAnsi="Times New Roman" w:eastAsia="仿宋_GB2312" w:cs="Times New Roman"/>
          <w:b w:val="0"/>
          <w:bCs w:val="0"/>
          <w:highlight w:val="none"/>
        </w:rPr>
        <w:t>配合做好中央、自治区生态环境保护督察反馈问题整改落实工作以及新一轮自治区生态环境保护督察工作</w:t>
      </w:r>
      <w:r>
        <w:rPr>
          <w:rFonts w:hint="eastAsia" w:ascii="Times New Roman" w:hAnsi="Times New Roman" w:eastAsia="仿宋_GB2312" w:cs="Times New Roman"/>
          <w:b w:val="0"/>
          <w:bCs w:val="0"/>
          <w:highlight w:val="none"/>
          <w:lang w:eastAsia="zh-CN"/>
        </w:rPr>
        <w:t>，</w:t>
      </w:r>
      <w:r>
        <w:rPr>
          <w:rFonts w:hint="eastAsia" w:ascii="Times New Roman" w:hAnsi="Times New Roman" w:eastAsia="仿宋_GB2312" w:cs="Times New Roman"/>
          <w:b w:val="0"/>
          <w:bCs w:val="0"/>
          <w:highlight w:val="none"/>
          <w:lang w:val="en-US" w:eastAsia="zh-CN"/>
        </w:rPr>
        <w:t>开展</w:t>
      </w:r>
      <w:r>
        <w:rPr>
          <w:rFonts w:hint="default" w:ascii="Times New Roman" w:hAnsi="Times New Roman" w:eastAsia="仿宋_GB2312" w:cs="Times New Roman"/>
          <w:b w:val="0"/>
          <w:bCs w:val="0"/>
          <w:highlight w:val="none"/>
        </w:rPr>
        <w:t>昌吉、阿勒泰两地州重点生态环境领域突出问题做好日常派驻监察</w:t>
      </w:r>
      <w:r>
        <w:rPr>
          <w:rFonts w:hint="eastAsia" w:ascii="Times New Roman" w:hAnsi="Times New Roman" w:eastAsia="仿宋_GB2312" w:cs="Times New Roman"/>
          <w:b w:val="0"/>
          <w:bCs w:val="0"/>
          <w:highlight w:val="none"/>
          <w:lang w:val="en-US" w:eastAsia="zh-CN"/>
        </w:rPr>
        <w:t>及</w:t>
      </w:r>
      <w:r>
        <w:rPr>
          <w:rFonts w:hint="default" w:ascii="Times New Roman" w:hAnsi="Times New Roman" w:eastAsia="仿宋_GB2312" w:cs="Times New Roman"/>
          <w:b w:val="0"/>
          <w:bCs w:val="0"/>
          <w:highlight w:val="none"/>
        </w:rPr>
        <w:t>推进昌吉州大气污染防治等专项调研检查，不断促进辖区生态环境保护质量持续改善。项目预算涵盖从</w:t>
      </w:r>
      <w:r>
        <w:rPr>
          <w:rFonts w:hint="eastAsia" w:ascii="Times New Roman" w:hAnsi="Times New Roman" w:eastAsia="仿宋_GB2312" w:cs="Times New Roman"/>
          <w:b w:val="0"/>
          <w:bCs w:val="0"/>
          <w:highlight w:val="none"/>
          <w:lang w:val="en-US" w:eastAsia="zh-CN"/>
        </w:rPr>
        <w:t>2024年1月1日</w:t>
      </w:r>
      <w:r>
        <w:rPr>
          <w:rFonts w:hint="default" w:ascii="Times New Roman" w:hAnsi="Times New Roman" w:eastAsia="仿宋_GB2312" w:cs="Times New Roman"/>
          <w:b w:val="0"/>
          <w:bCs w:val="0"/>
          <w:highlight w:val="none"/>
        </w:rPr>
        <w:t>至</w:t>
      </w:r>
      <w:r>
        <w:rPr>
          <w:rFonts w:hint="eastAsia" w:ascii="Times New Roman" w:hAnsi="Times New Roman" w:eastAsia="仿宋_GB2312" w:cs="Times New Roman"/>
          <w:b w:val="0"/>
          <w:bCs w:val="0"/>
          <w:highlight w:val="none"/>
          <w:lang w:val="en-US" w:eastAsia="zh-CN"/>
        </w:rPr>
        <w:t>2024年12月31日</w:t>
      </w:r>
      <w:r>
        <w:rPr>
          <w:rFonts w:hint="default" w:ascii="Times New Roman" w:hAnsi="Times New Roman" w:eastAsia="仿宋_GB2312" w:cs="Times New Roman"/>
          <w:b w:val="0"/>
          <w:bCs w:val="0"/>
          <w:highlight w:val="none"/>
        </w:rPr>
        <w:t>的全部资金投入与支出，涉及资金总额为</w:t>
      </w:r>
      <w:r>
        <w:rPr>
          <w:rFonts w:hint="eastAsia" w:ascii="Times New Roman" w:hAnsi="Times New Roman" w:eastAsia="仿宋_GB2312" w:cs="Times New Roman"/>
          <w:b w:val="0"/>
          <w:bCs w:val="0"/>
          <w:highlight w:val="none"/>
          <w:lang w:val="en-US" w:eastAsia="zh-CN"/>
        </w:rPr>
        <w:t>90</w:t>
      </w:r>
      <w:r>
        <w:rPr>
          <w:rFonts w:hint="default" w:ascii="Times New Roman" w:hAnsi="Times New Roman" w:eastAsia="仿宋_GB2312" w:cs="Times New Roman"/>
          <w:b w:val="0"/>
          <w:bCs w:val="0"/>
          <w:highlight w:val="none"/>
          <w:lang w:val="en-US" w:eastAsia="zh-CN"/>
        </w:rPr>
        <w:t>万</w:t>
      </w:r>
      <w:r>
        <w:rPr>
          <w:rFonts w:hint="default" w:ascii="Times New Roman" w:hAnsi="Times New Roman" w:eastAsia="仿宋_GB2312" w:cs="Times New Roman"/>
          <w:b w:val="0"/>
          <w:bCs w:val="0"/>
          <w:highlight w:val="none"/>
        </w:rPr>
        <w:t>元。</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4.</w:t>
      </w:r>
      <w:r>
        <w:rPr>
          <w:rFonts w:hint="default" w:ascii="Times New Roman" w:hAnsi="Times New Roman" w:eastAsia="仿宋_GB2312" w:cs="Times New Roman"/>
          <w:b w:val="0"/>
          <w:bCs w:val="0"/>
        </w:rPr>
        <w:t>绩效评价的范围</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本项目预算绩效评价报告的评价范围广泛而全面，涵盖了从项目立项至评价时点期间的所有关键预算活动和财务流程。具体而言，评价范围包括但不限于以下几个方面：</w:t>
      </w:r>
    </w:p>
    <w:p>
      <w:pPr>
        <w:pStyle w:val="11"/>
        <w:widowControl w:val="0"/>
        <w:numPr>
          <w:ilvl w:val="0"/>
          <w:numId w:val="0"/>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kern w:val="28"/>
          <w:sz w:val="32"/>
          <w:szCs w:val="32"/>
          <w:lang w:val="en-US" w:eastAsia="zh-CN" w:bidi="ar-SA"/>
        </w:rPr>
        <w:t>（1）</w:t>
      </w:r>
      <w:r>
        <w:rPr>
          <w:rFonts w:hint="default" w:ascii="Times New Roman" w:hAnsi="Times New Roman" w:eastAsia="仿宋_GB2312" w:cs="Times New Roman"/>
          <w:b w:val="0"/>
          <w:bCs w:val="0"/>
          <w:highlight w:val="none"/>
        </w:rPr>
        <w:t>项目预算编制与执行：全面审视项目预算的编制依据、合理性、科学性以及实际执行情况，包括预算调整的原因和效果。</w:t>
      </w:r>
    </w:p>
    <w:p>
      <w:pPr>
        <w:pStyle w:val="11"/>
        <w:widowControl w:val="0"/>
        <w:numPr>
          <w:ilvl w:val="0"/>
          <w:numId w:val="0"/>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kern w:val="28"/>
          <w:sz w:val="32"/>
          <w:szCs w:val="32"/>
          <w:lang w:val="en-US" w:eastAsia="zh-CN" w:bidi="ar-SA"/>
        </w:rPr>
        <w:t>（2）</w:t>
      </w:r>
      <w:r>
        <w:rPr>
          <w:rFonts w:hint="default" w:ascii="Times New Roman" w:hAnsi="Times New Roman" w:eastAsia="仿宋_GB2312" w:cs="Times New Roman"/>
          <w:b w:val="0"/>
          <w:bCs w:val="0"/>
          <w:highlight w:val="none"/>
        </w:rPr>
        <w:t>资金管理：深入分析项目资金的分配、使用和监管情况，确保资金使用的合规性、高效性和透明度。</w:t>
      </w:r>
    </w:p>
    <w:p>
      <w:pPr>
        <w:pStyle w:val="11"/>
        <w:widowControl w:val="0"/>
        <w:numPr>
          <w:ilvl w:val="0"/>
          <w:numId w:val="0"/>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kern w:val="28"/>
          <w:sz w:val="32"/>
          <w:szCs w:val="32"/>
          <w:lang w:val="en-US" w:eastAsia="zh-CN" w:bidi="ar-SA"/>
        </w:rPr>
        <w:t>（3）</w:t>
      </w:r>
      <w:r>
        <w:rPr>
          <w:rFonts w:hint="default" w:ascii="Times New Roman" w:hAnsi="Times New Roman" w:eastAsia="仿宋_GB2312" w:cs="Times New Roman"/>
          <w:b w:val="0"/>
          <w:bCs w:val="0"/>
          <w:highlight w:val="none"/>
        </w:rPr>
        <w:t>项目实施进度与产出：评估项目是否按照既定计划顺利推进，各项任务是否按时完成，以及项目产出的数量、质量和时效性是否符合预期。</w:t>
      </w:r>
    </w:p>
    <w:p>
      <w:pPr>
        <w:pStyle w:val="11"/>
        <w:widowControl w:val="0"/>
        <w:numPr>
          <w:ilvl w:val="0"/>
          <w:numId w:val="0"/>
        </w:numPr>
        <w:spacing w:before="0" w:after="0" w:line="560" w:lineRule="exact"/>
        <w:ind w:left="0" w:leftChars="0" w:firstLine="640" w:firstLineChars="200"/>
        <w:jc w:val="both"/>
        <w:outlineLvl w:val="9"/>
        <w:rPr>
          <w:rFonts w:hint="default" w:ascii="Times New Roman" w:hAnsi="Times New Roman" w:eastAsia="仿宋_GB2312" w:cs="Times New Roman"/>
          <w:b w:val="0"/>
          <w:bCs w:val="0"/>
          <w:sz w:val="32"/>
          <w:szCs w:val="32"/>
          <w:highlight w:val="red"/>
          <w:lang w:val="en-US" w:eastAsia="zh-CN"/>
        </w:rPr>
      </w:pPr>
      <w:r>
        <w:rPr>
          <w:rFonts w:hint="default" w:ascii="Times New Roman" w:hAnsi="Times New Roman" w:eastAsia="仿宋_GB2312" w:cs="Times New Roman"/>
          <w:b w:val="0"/>
          <w:bCs w:val="0"/>
          <w:kern w:val="28"/>
          <w:sz w:val="32"/>
          <w:szCs w:val="32"/>
          <w:lang w:val="en-US" w:eastAsia="zh-CN" w:bidi="ar-SA"/>
        </w:rPr>
        <w:t>（4）</w:t>
      </w:r>
      <w:r>
        <w:rPr>
          <w:rFonts w:hint="default" w:ascii="Times New Roman" w:hAnsi="Times New Roman" w:eastAsia="仿宋_GB2312" w:cs="Times New Roman"/>
          <w:b w:val="0"/>
          <w:bCs w:val="0"/>
          <w:highlight w:val="none"/>
        </w:rPr>
        <w:t>社会</w:t>
      </w:r>
      <w:r>
        <w:rPr>
          <w:rFonts w:hint="default" w:ascii="Times New Roman" w:hAnsi="Times New Roman" w:eastAsia="仿宋_GB2312" w:cs="Times New Roman"/>
          <w:b w:val="0"/>
          <w:bCs w:val="0"/>
          <w:highlight w:val="none"/>
          <w:lang w:eastAsia="zh-CN"/>
        </w:rPr>
        <w:t>、</w:t>
      </w:r>
      <w:r>
        <w:rPr>
          <w:rFonts w:hint="eastAsia" w:ascii="Times New Roman" w:hAnsi="Times New Roman" w:eastAsia="仿宋_GB2312" w:cs="Times New Roman"/>
          <w:b w:val="0"/>
          <w:bCs w:val="0"/>
          <w:highlight w:val="none"/>
          <w:lang w:val="en-US" w:eastAsia="zh-CN"/>
        </w:rPr>
        <w:t>生态</w:t>
      </w:r>
      <w:r>
        <w:rPr>
          <w:rFonts w:hint="default" w:ascii="Times New Roman" w:hAnsi="Times New Roman" w:eastAsia="仿宋_GB2312" w:cs="Times New Roman"/>
          <w:b w:val="0"/>
          <w:bCs w:val="0"/>
          <w:highlight w:val="none"/>
          <w:lang w:val="en-US" w:eastAsia="zh-CN"/>
        </w:rPr>
        <w:t>等</w:t>
      </w:r>
      <w:r>
        <w:rPr>
          <w:rFonts w:hint="default" w:ascii="Times New Roman" w:hAnsi="Times New Roman" w:eastAsia="仿宋_GB2312" w:cs="Times New Roman"/>
          <w:b w:val="0"/>
          <w:bCs w:val="0"/>
          <w:highlight w:val="none"/>
        </w:rPr>
        <w:t>影响：考察项目对社会、</w:t>
      </w:r>
      <w:r>
        <w:rPr>
          <w:rFonts w:hint="eastAsia" w:ascii="Times New Roman" w:hAnsi="Times New Roman" w:eastAsia="仿宋_GB2312" w:cs="Times New Roman"/>
          <w:b w:val="0"/>
          <w:bCs w:val="0"/>
          <w:highlight w:val="none"/>
          <w:lang w:val="en-US" w:eastAsia="zh-CN"/>
        </w:rPr>
        <w:t>生态</w:t>
      </w:r>
      <w:r>
        <w:rPr>
          <w:rFonts w:hint="default" w:ascii="Times New Roman" w:hAnsi="Times New Roman" w:eastAsia="仿宋_GB2312" w:cs="Times New Roman"/>
          <w:b w:val="0"/>
          <w:bCs w:val="0"/>
          <w:highlight w:val="none"/>
        </w:rPr>
        <w:t>等方面的综合影响。</w:t>
      </w:r>
    </w:p>
    <w:p>
      <w:pPr>
        <w:spacing w:line="560" w:lineRule="exact"/>
        <w:ind w:firstLine="643" w:firstLineChars="200"/>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绩效评价原则</w:t>
      </w:r>
    </w:p>
    <w:p>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本次项目绩效评价遵循以下基本原则：</w:t>
      </w:r>
    </w:p>
    <w:p>
      <w:pPr>
        <w:pStyle w:val="11"/>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（1）科学公正。绩效评价应当运用科学合理的方法，按照规范的程序，对项目绩效进行客观、公正的反映。</w:t>
      </w:r>
    </w:p>
    <w:p>
      <w:pPr>
        <w:pStyle w:val="11"/>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（2）统筹兼顾。单位自评、部门评价和财政评价应职责明确，各有侧重，相互衔接。单位自评应由项目单位自主实施，即“谁支出、谁自评”。部门评价和财政评价应在单位自评的基础上开展。</w:t>
      </w:r>
    </w:p>
    <w:p>
      <w:pPr>
        <w:pStyle w:val="11"/>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（3）激励约束。绩效评价结果应与预算安排、政策调整、改进管理实质性挂钩，体现奖优罚劣和激励相容导向，有效要安排、低效要压减、无效要问责。</w:t>
      </w:r>
    </w:p>
    <w:p>
      <w:pPr>
        <w:pStyle w:val="11"/>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（4）公开透明。绩效评价结果应依法依规公开，并自觉接受社会监督。</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评价指标体系</w:t>
      </w:r>
    </w:p>
    <w:p>
      <w:pPr>
        <w:spacing w:line="560" w:lineRule="exact"/>
        <w:ind w:firstLine="708" w:firstLineChars="200"/>
        <w:rPr>
          <w:rFonts w:hint="default" w:ascii="Times New Roman" w:hAnsi="Times New Roman"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绩效评价框架是开展绩效评价的核心。绩效评价框架包括评价准则、关键评价问题、评价指标、数据来源、数据收集方法等。指标体系建立过程如下：</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（1）确定评价指标</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（2）确定权重</w:t>
      </w:r>
    </w:p>
    <w:p>
      <w:pPr>
        <w:spacing w:line="560" w:lineRule="exact"/>
        <w:ind w:firstLine="708" w:firstLineChars="200"/>
        <w:rPr>
          <w:rFonts w:hint="default" w:ascii="Times New Roman" w:hAnsi="Times New Roman" w:eastAsia="仿宋_GB2312" w:cs="Times New Roman"/>
          <w:color w:val="000000"/>
          <w:spacing w:val="17"/>
          <w:sz w:val="32"/>
          <w:szCs w:val="32"/>
          <w:lang w:eastAsia="zh-CN"/>
        </w:rPr>
      </w:pPr>
      <w:r>
        <w:rPr>
          <w:rFonts w:hint="default" w:ascii="Times New Roman" w:hAnsi="Times New Roman" w:eastAsia="仿宋_GB2312" w:cs="Times New Roman"/>
          <w:color w:val="000000"/>
          <w:spacing w:val="17"/>
          <w:sz w:val="32"/>
          <w:szCs w:val="32"/>
        </w:rPr>
        <w:t>确定各个指标相对于项目总体绩效的权重分值。在绩效评价指标体系中，项目决策权重为20分，项目过程权重为20分，项目产出权重为40分，项目效益权重为20分。</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（3）确定指标标准值</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指标标准值是绩效评价指标的尺度，既要反映同类项目的先进水平，又要符合项目的实际绩效水平。具体采用计划标准等确定此次绩效评价指标标准值。</w:t>
      </w:r>
    </w:p>
    <w:p>
      <w:pPr>
        <w:pStyle w:val="11"/>
        <w:spacing w:before="0" w:after="0" w:line="560" w:lineRule="exact"/>
        <w:ind w:firstLine="708" w:firstLineChars="200"/>
        <w:jc w:val="both"/>
        <w:rPr>
          <w:rFonts w:hint="default" w:ascii="Times New Roman" w:hAnsi="Times New Roman" w:eastAsia="仿宋_GB2312" w:cs="Times New Roman"/>
          <w:b w:val="0"/>
          <w:bCs w:val="0"/>
          <w:color w:val="000000"/>
          <w:spacing w:val="17"/>
          <w:kern w:val="2"/>
        </w:rPr>
      </w:pPr>
      <w:r>
        <w:rPr>
          <w:rFonts w:hint="default" w:ascii="Times New Roman" w:hAnsi="Times New Roman" w:eastAsia="仿宋_GB2312" w:cs="Times New Roman"/>
          <w:b w:val="0"/>
          <w:bCs w:val="0"/>
          <w:color w:val="000000"/>
          <w:spacing w:val="17"/>
          <w:kern w:val="2"/>
        </w:rPr>
        <w:t>绩效评价总分值100分，根据综合评分结果，90（含）-100分为优、80（含）-90分为良、60（含）-80分为中、60分以下为差。</w:t>
      </w:r>
    </w:p>
    <w:p>
      <w:pPr>
        <w:pStyle w:val="11"/>
        <w:widowControl w:val="0"/>
        <w:spacing w:before="0" w:after="0" w:line="560" w:lineRule="exact"/>
        <w:ind w:firstLine="708" w:firstLineChars="200"/>
        <w:jc w:val="both"/>
        <w:outlineLvl w:val="9"/>
        <w:rPr>
          <w:rFonts w:hint="default" w:ascii="Times New Roman" w:hAnsi="Times New Roman" w:eastAsia="仿宋_GB2312" w:cs="Times New Roman"/>
          <w:b w:val="0"/>
          <w:bCs w:val="0"/>
          <w:color w:val="000000"/>
          <w:spacing w:val="17"/>
        </w:rPr>
      </w:pPr>
      <w:r>
        <w:rPr>
          <w:rFonts w:hint="default" w:ascii="Times New Roman" w:hAnsi="Times New Roman" w:eastAsia="仿宋_GB2312" w:cs="Times New Roman"/>
          <w:b w:val="0"/>
          <w:bCs w:val="0"/>
          <w:color w:val="000000"/>
          <w:spacing w:val="17"/>
        </w:rPr>
        <w:t>具体评价指标体系详情见附件1</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w:t>
      </w:r>
      <w:r>
        <w:rPr>
          <w:rFonts w:hint="default" w:ascii="Times New Roman" w:hAnsi="Times New Roman" w:eastAsia="仿宋_GB2312" w:cs="Times New Roman"/>
          <w:b w:val="0"/>
          <w:bCs w:val="0"/>
          <w:lang w:val="en-US" w:eastAsia="zh-CN"/>
        </w:rPr>
        <w:t>.</w:t>
      </w:r>
      <w:r>
        <w:rPr>
          <w:rFonts w:hint="default" w:ascii="Times New Roman" w:hAnsi="Times New Roman" w:eastAsia="仿宋_GB2312" w:cs="Times New Roman"/>
          <w:b w:val="0"/>
          <w:bCs w:val="0"/>
        </w:rPr>
        <w:t>绩效评价方法</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绩效评价从项目决策、项目过程、项目产出、项目效益四个维度进行评价。评价对象为项目目标实施情况，  评价核心为资金的支出完成情况和项目的产出效益。</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pPr>
        <w:spacing w:line="560" w:lineRule="exact"/>
        <w:ind w:firstLine="708" w:firstLineChars="200"/>
        <w:rPr>
          <w:rFonts w:eastAsia="仿宋_GB2312"/>
          <w:color w:val="000000"/>
          <w:spacing w:val="17"/>
          <w:sz w:val="32"/>
          <w:szCs w:val="32"/>
        </w:rPr>
      </w:pPr>
      <w:r>
        <w:rPr>
          <w:rFonts w:hint="default" w:ascii="Times New Roman" w:hAnsi="Times New Roman" w:eastAsia="仿宋_GB2312" w:cs="Times New Roman"/>
          <w:color w:val="000000"/>
          <w:spacing w:val="17"/>
          <w:sz w:val="32"/>
          <w:szCs w:val="32"/>
          <w:highlight w:val="none"/>
        </w:rPr>
        <w:t>（一）比较法。是指将实施情况与绩效目标、历史情况、不同部门和地区同类支出情况进行比较的方法。</w:t>
      </w:r>
      <w:r>
        <w:rPr>
          <w:rFonts w:eastAsia="仿宋_GB2312"/>
          <w:color w:val="000000"/>
          <w:spacing w:val="17"/>
          <w:sz w:val="32"/>
          <w:szCs w:val="32"/>
        </w:rPr>
        <w:t>对</w:t>
      </w:r>
      <w:r>
        <w:rPr>
          <w:rFonts w:eastAsia="仿宋_GB2312"/>
          <w:sz w:val="32"/>
          <w:szCs w:val="32"/>
        </w:rPr>
        <w:t>项目</w:t>
      </w:r>
      <w:r>
        <w:rPr>
          <w:rFonts w:eastAsia="仿宋_GB2312"/>
          <w:color w:val="000000"/>
          <w:spacing w:val="17"/>
          <w:sz w:val="32"/>
          <w:szCs w:val="32"/>
        </w:rPr>
        <w:t>最终验收情况与年度绩效目标对比、预算资金执行情况等相关因素进行比较。</w:t>
      </w:r>
    </w:p>
    <w:p>
      <w:pPr>
        <w:spacing w:line="560" w:lineRule="exact"/>
        <w:ind w:firstLine="708" w:firstLineChars="200"/>
        <w:rPr>
          <w:rFonts w:eastAsia="仿宋_GB2312"/>
          <w:color w:val="000000"/>
          <w:spacing w:val="17"/>
          <w:sz w:val="32"/>
          <w:szCs w:val="32"/>
        </w:rPr>
      </w:pPr>
      <w:r>
        <w:rPr>
          <w:rFonts w:hint="default" w:ascii="Times New Roman" w:hAnsi="Times New Roman" w:eastAsia="仿宋_GB2312" w:cs="Times New Roman"/>
          <w:color w:val="000000"/>
          <w:spacing w:val="17"/>
          <w:sz w:val="32"/>
          <w:szCs w:val="32"/>
          <w:highlight w:val="none"/>
        </w:rPr>
        <w:t>（</w:t>
      </w:r>
      <w:r>
        <w:rPr>
          <w:rFonts w:hint="eastAsia" w:eastAsia="仿宋_GB2312" w:cs="Times New Roman"/>
          <w:color w:val="000000"/>
          <w:spacing w:val="17"/>
          <w:sz w:val="32"/>
          <w:szCs w:val="32"/>
          <w:highlight w:val="none"/>
          <w:lang w:val="en-US" w:eastAsia="zh-CN"/>
        </w:rPr>
        <w:t>二</w:t>
      </w:r>
      <w:r>
        <w:rPr>
          <w:rFonts w:hint="default" w:ascii="Times New Roman" w:hAnsi="Times New Roman" w:eastAsia="仿宋_GB2312" w:cs="Times New Roman"/>
          <w:color w:val="000000"/>
          <w:spacing w:val="17"/>
          <w:sz w:val="32"/>
          <w:szCs w:val="32"/>
          <w:highlight w:val="none"/>
        </w:rPr>
        <w:t>）因素分析法。是指综合分析影响绩效目标实现、实施效果的内外部因素的方法。</w:t>
      </w:r>
      <w:r>
        <w:rPr>
          <w:rFonts w:eastAsia="仿宋_GB2312"/>
          <w:color w:val="000000"/>
          <w:spacing w:val="17"/>
          <w:sz w:val="32"/>
          <w:szCs w:val="32"/>
        </w:rPr>
        <w:t>通过对</w:t>
      </w:r>
      <w:r>
        <w:rPr>
          <w:rFonts w:eastAsia="仿宋_GB2312"/>
          <w:sz w:val="32"/>
          <w:szCs w:val="32"/>
        </w:rPr>
        <w:t>项目</w:t>
      </w:r>
      <w:r>
        <w:rPr>
          <w:rFonts w:eastAsia="仿宋_GB2312"/>
          <w:color w:val="000000"/>
          <w:spacing w:val="17"/>
          <w:sz w:val="32"/>
          <w:szCs w:val="32"/>
        </w:rPr>
        <w:t>的开展情况、项目产出数量、成本控制、资金拨付文件及自评报告等相关资料的收集和审核，综合分析各因素对绩效目标实现的影响。</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4</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val="0"/>
          <w:bCs w:val="0"/>
          <w:highlight w:val="none"/>
        </w:rPr>
        <w:t>评价标准</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绩效评价标准通常包括计划标准、行业标准、历史标准等，用于对绩效指标完成情况进行比较、分析、评价。本次评价主要采用了</w:t>
      </w:r>
      <w:r>
        <w:rPr>
          <w:rFonts w:hint="eastAsia" w:ascii="Times New Roman" w:hAnsi="Times New Roman" w:eastAsia="仿宋_GB2312" w:cs="Times New Roman"/>
          <w:b w:val="0"/>
          <w:bCs w:val="0"/>
          <w:lang w:val="en-US" w:eastAsia="zh-CN"/>
        </w:rPr>
        <w:t>计划</w:t>
      </w:r>
      <w:r>
        <w:rPr>
          <w:rFonts w:hint="default" w:ascii="Times New Roman" w:hAnsi="Times New Roman" w:eastAsia="仿宋_GB2312" w:cs="Times New Roman"/>
          <w:b w:val="0"/>
          <w:bCs w:val="0"/>
        </w:rPr>
        <w:t>标准。</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lang w:val="en-US" w:eastAsia="zh-CN"/>
        </w:rPr>
        <w:t>1</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计划标准。指以预先制定的目标、计划、预算、定额等作为评价标准。</w:t>
      </w:r>
    </w:p>
    <w:p>
      <w:pPr>
        <w:pStyle w:val="11"/>
        <w:numPr>
          <w:ilvl w:val="0"/>
          <w:numId w:val="1"/>
        </w:numPr>
        <w:spacing w:before="0" w:after="0" w:line="560" w:lineRule="exact"/>
        <w:ind w:firstLine="711" w:firstLineChars="200"/>
        <w:jc w:val="both"/>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前期准备与规划</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sz w:val="32"/>
          <w:szCs w:val="32"/>
        </w:rPr>
      </w:pPr>
      <w:r>
        <w:rPr>
          <w:rFonts w:hint="eastAsia" w:eastAsia="仿宋_GB2312"/>
          <w:bCs/>
          <w:sz w:val="32"/>
          <w:szCs w:val="32"/>
        </w:rPr>
        <w:t>首先成立评价工作组，开展前期调研；其次明确项目绩效目标，设计绩效评价指标体系并确定绩效评价方法；接着确定现场和非现场评价范围，设计资料清单；最后制定评价实施方案并进行论证。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eastAsia="仿宋_GB2312"/>
          <w:bCs/>
          <w:sz w:val="32"/>
          <w:szCs w:val="32"/>
          <w:lang w:eastAsia="zh-CN"/>
        </w:rPr>
      </w:pPr>
      <w:r>
        <w:rPr>
          <w:rFonts w:hint="eastAsia" w:eastAsia="仿宋_GB2312"/>
          <w:bCs/>
          <w:sz w:val="32"/>
          <w:szCs w:val="32"/>
          <w:lang w:val="en-US" w:eastAsia="zh-CN"/>
        </w:rPr>
        <w:t>2.</w:t>
      </w:r>
      <w:r>
        <w:rPr>
          <w:rFonts w:hint="default" w:eastAsia="仿宋_GB2312"/>
          <w:bCs/>
          <w:sz w:val="32"/>
          <w:szCs w:val="32"/>
          <w:lang w:eastAsia="zh-CN"/>
        </w:rPr>
        <w:t>指标体系构建</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eastAsia="仿宋_GB2312"/>
          <w:bCs/>
          <w:sz w:val="32"/>
          <w:szCs w:val="32"/>
          <w:lang w:eastAsia="zh-CN"/>
        </w:rPr>
      </w:pPr>
      <w:r>
        <w:rPr>
          <w:rFonts w:hint="default" w:eastAsia="仿宋_GB2312"/>
          <w:bCs/>
          <w:sz w:val="32"/>
          <w:szCs w:val="32"/>
          <w:lang w:eastAsia="zh-CN"/>
        </w:rPr>
        <w:t>依据项目的性质、目标以及预期成果，构建了科学合理的绩效评价指标体系。该指标体系涵盖了</w:t>
      </w:r>
      <w:r>
        <w:rPr>
          <w:rFonts w:hint="default" w:eastAsia="仿宋_GB2312"/>
          <w:bCs/>
          <w:sz w:val="32"/>
          <w:szCs w:val="32"/>
        </w:rPr>
        <w:t>项目决策、项目过程、项目产出、项目效益四个维度</w:t>
      </w:r>
      <w:r>
        <w:rPr>
          <w:rFonts w:hint="default" w:eastAsia="仿宋_GB2312"/>
          <w:bCs/>
          <w:sz w:val="32"/>
          <w:szCs w:val="32"/>
          <w:lang w:eastAsia="zh-CN"/>
        </w:rPr>
        <w:t>，选取了具有代表性和可衡量性的关键指标，并为每个指标设定了明确的评价标准与权重，确保评价结果能够全面、准确地反映项目的绩效状况。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eastAsia="仿宋_GB2312"/>
          <w:bCs/>
          <w:sz w:val="32"/>
          <w:szCs w:val="32"/>
          <w:lang w:eastAsia="zh-CN"/>
        </w:rPr>
      </w:pPr>
      <w:r>
        <w:rPr>
          <w:rFonts w:hint="eastAsia" w:eastAsia="仿宋_GB2312"/>
          <w:bCs/>
          <w:sz w:val="32"/>
          <w:szCs w:val="32"/>
          <w:lang w:val="en-US" w:eastAsia="zh-CN"/>
        </w:rPr>
        <w:t>3.</w:t>
      </w:r>
      <w:r>
        <w:rPr>
          <w:rFonts w:hint="default" w:eastAsia="仿宋_GB2312"/>
          <w:bCs/>
          <w:sz w:val="32"/>
          <w:szCs w:val="32"/>
          <w:lang w:eastAsia="zh-CN"/>
        </w:rPr>
        <w:t>数据收集与整理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eastAsia"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数据分析与评估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eastAsia"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eastAsia="zh-CN"/>
        </w:rPr>
        <w:t>报告撰写与反馈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eastAsia"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eastAsia="zh-CN"/>
        </w:rPr>
        <w:t>后续跟踪与改进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pPr>
        <w:numPr>
          <w:ilvl w:val="0"/>
          <w:numId w:val="2"/>
        </w:num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pPr>
        <w:pStyle w:val="11"/>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一</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评价情况</w:t>
      </w:r>
    </w:p>
    <w:p>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本项目的综合评价基于对项目各方面绩效的深入分析与评估。从项目目标的达成情况来看，生态环境监察项目在配合做好中央、自治区生态环境保护督察反馈问题整改落实工作</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新一轮自治区生态环境保护督察工作</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昌吉、阿勒泰两地州重点生态环境领域突出问题做好日常派驻监察</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rPr>
        <w:t>推进昌吉州大气污染防治</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等方面表现出色，达到了预期的标准与要求。</w:t>
      </w:r>
    </w:p>
    <w:p>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在项目管理方面，新疆维吾尔自治区生态环境厅第二生态环境监察专员办公室通过有效的规划、组织与协调，项目得以顺利实施，并在预算与时间上保持了良好的控制。</w:t>
      </w:r>
    </w:p>
    <w:p>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从项目效益的角度来看，本项目</w:t>
      </w:r>
      <w:r>
        <w:rPr>
          <w:rFonts w:hint="eastAsia" w:eastAsia="仿宋_GB2312" w:cs="Times New Roman"/>
          <w:sz w:val="32"/>
          <w:szCs w:val="32"/>
          <w:highlight w:val="none"/>
          <w:lang w:val="en-US" w:eastAsia="zh-CN"/>
        </w:rPr>
        <w:t>在</w:t>
      </w:r>
      <w:r>
        <w:rPr>
          <w:rFonts w:hint="default" w:ascii="Times New Roman" w:hAnsi="Times New Roman" w:eastAsia="仿宋_GB2312" w:cs="Times New Roman"/>
          <w:sz w:val="32"/>
          <w:szCs w:val="32"/>
          <w:highlight w:val="none"/>
        </w:rPr>
        <w:t>社会效益等方面产生了积极的影响。具体而言，持续开展生态环境保护监察、督察工作，不断构建新型生态环境保护监察体系等方面的提升，为项目的利益相关者带来了实实在在的利益。</w:t>
      </w:r>
    </w:p>
    <w:p>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cs="Times New Roman"/>
          <w:highlight w:val="none"/>
        </w:rPr>
      </w:pPr>
      <w:r>
        <w:rPr>
          <w:rFonts w:hint="default" w:ascii="Times New Roman" w:hAnsi="Times New Roman" w:eastAsia="仿宋_GB2312" w:cs="Times New Roman"/>
          <w:sz w:val="32"/>
          <w:szCs w:val="32"/>
          <w:highlight w:val="none"/>
        </w:rPr>
        <w:t>综上所述，生态环境监察项目在绩效评价中表现出色，达到了项目的预期目标，并在多个方面取得了显著的成效。</w:t>
      </w:r>
    </w:p>
    <w:p>
      <w:pPr>
        <w:pStyle w:val="11"/>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二</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评价结论</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default" w:ascii="Times New Roman" w:hAnsi="Times New Roman" w:eastAsia="仿宋_GB2312" w:cs="Times New Roman"/>
          <w:b w:val="0"/>
          <w:bCs w:val="0"/>
          <w:highlight w:val="none"/>
        </w:rPr>
        <w:t>：总得分为</w:t>
      </w:r>
      <w:r>
        <w:rPr>
          <w:rFonts w:hint="eastAsia" w:ascii="Times New Roman" w:hAnsi="Times New Roman" w:eastAsia="仿宋_GB2312" w:cs="Times New Roman"/>
          <w:b w:val="0"/>
          <w:bCs w:val="0"/>
          <w:highlight w:val="none"/>
          <w:lang w:val="en-US" w:eastAsia="zh-CN"/>
        </w:rPr>
        <w:t>99.37</w:t>
      </w:r>
      <w:r>
        <w:rPr>
          <w:rFonts w:hint="default" w:ascii="Times New Roman" w:hAnsi="Times New Roman" w:eastAsia="仿宋_GB2312" w:cs="Times New Roman"/>
          <w:b w:val="0"/>
          <w:bCs w:val="0"/>
          <w:highlight w:val="none"/>
        </w:rPr>
        <w:t>分，属于“优”。其中，项目决策类指标权重为20分，得分为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%。项目过程类指标权重为20分，得分为</w:t>
      </w:r>
      <w:r>
        <w:rPr>
          <w:rFonts w:hint="eastAsia" w:ascii="Times New Roman" w:hAnsi="Times New Roman" w:eastAsia="仿宋_GB2312" w:cs="Times New Roman"/>
          <w:b w:val="0"/>
          <w:bCs w:val="0"/>
          <w:highlight w:val="none"/>
          <w:lang w:val="en-US" w:eastAsia="zh-CN"/>
        </w:rPr>
        <w:t>19.37</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96.85</w:t>
      </w:r>
      <w:r>
        <w:rPr>
          <w:rFonts w:hint="default" w:ascii="Times New Roman" w:hAnsi="Times New Roman" w:eastAsia="仿宋_GB2312" w:cs="Times New Roman"/>
          <w:b w:val="0"/>
          <w:bCs w:val="0"/>
          <w:highlight w:val="none"/>
        </w:rPr>
        <w:t>%。项目产出类指标权重为40分，得分为</w:t>
      </w:r>
      <w:r>
        <w:rPr>
          <w:rFonts w:hint="eastAsia" w:ascii="Times New Roman" w:hAnsi="Times New Roman" w:eastAsia="仿宋_GB2312" w:cs="Times New Roman"/>
          <w:b w:val="0"/>
          <w:bCs w:val="0"/>
          <w:highlight w:val="none"/>
          <w:lang w:val="en-US" w:eastAsia="zh-CN"/>
        </w:rPr>
        <w:t>40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%。项目效益类指标权重为20分，得分为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w:t>
      </w:r>
      <w:r>
        <w:rPr>
          <w:rFonts w:hint="default" w:ascii="Times New Roman" w:hAnsi="Times New Roman" w:eastAsia="仿宋_GB2312" w:cs="Times New Roman"/>
          <w:b w:val="0"/>
          <w:bCs w:val="0"/>
        </w:rPr>
        <w:t>具体打分情况详见：附件1综合评分表</w:t>
      </w:r>
      <w:r>
        <w:rPr>
          <w:rFonts w:hint="default" w:ascii="Times New Roman" w:hAnsi="Times New Roman" w:eastAsia="仿宋_GB2312" w:cs="Times New Roman"/>
          <w:b w:val="0"/>
          <w:bCs w:val="0"/>
          <w:lang w:eastAsia="zh-CN"/>
        </w:rPr>
        <w:t>。</w:t>
      </w:r>
    </w:p>
    <w:p>
      <w:pPr>
        <w:pStyle w:val="11"/>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表1综合评分表</w:t>
      </w:r>
    </w:p>
    <w:tbl>
      <w:tblPr>
        <w:tblStyle w:val="15"/>
        <w:tblW w:w="7583" w:type="dxa"/>
        <w:jc w:val="center"/>
        <w:tblInd w:w="0" w:type="dxa"/>
        <w:tblLayout w:type="fixed"/>
        <w:tblCellMar>
          <w:top w:w="0" w:type="dxa"/>
          <w:left w:w="108" w:type="dxa"/>
          <w:bottom w:w="0" w:type="dxa"/>
          <w:right w:w="108" w:type="dxa"/>
        </w:tblCellMar>
      </w:tblPr>
      <w:tblGrid>
        <w:gridCol w:w="3137"/>
        <w:gridCol w:w="2168"/>
        <w:gridCol w:w="2278"/>
      </w:tblGrid>
      <w:tr>
        <w:tblPrEx>
          <w:tblLayout w:type="fixed"/>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得分</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19.37</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40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lang w:val="en-US" w:eastAsia="zh-CN"/>
              </w:rPr>
            </w:pPr>
            <w:r>
              <w:rPr>
                <w:rFonts w:hint="default" w:ascii="Times New Roman" w:hAnsi="Times New Roman" w:eastAsia="仿宋_GB2312" w:cs="Times New Roman"/>
                <w:b/>
                <w:bCs/>
                <w:color w:val="000000"/>
                <w:sz w:val="21"/>
                <w:szCs w:val="21"/>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lang w:val="en-US" w:eastAsia="zh-CN"/>
              </w:rPr>
            </w:pPr>
            <w:r>
              <w:rPr>
                <w:rFonts w:hint="eastAsia" w:eastAsia="仿宋_GB2312" w:cs="Times New Roman"/>
                <w:b/>
                <w:bCs/>
                <w:color w:val="000000"/>
                <w:sz w:val="21"/>
                <w:szCs w:val="21"/>
                <w:lang w:val="en-US" w:eastAsia="zh-CN"/>
              </w:rPr>
              <w:t>99.37</w:t>
            </w:r>
          </w:p>
        </w:tc>
      </w:tr>
    </w:tbl>
    <w:p>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pPr>
        <w:pStyle w:val="11"/>
        <w:spacing w:before="0" w:after="0" w:line="560" w:lineRule="exact"/>
        <w:ind w:firstLine="643" w:firstLineChars="200"/>
        <w:jc w:val="both"/>
        <w:rPr>
          <w:rFonts w:hint="default" w:ascii="Times New Roman" w:hAnsi="Times New Roman" w:eastAsia="楷体_GB2312" w:cs="Times New Roman"/>
        </w:rPr>
      </w:pPr>
      <w:r>
        <w:rPr>
          <w:rFonts w:hint="default" w:ascii="Times New Roman" w:hAnsi="Times New Roman" w:eastAsia="楷体_GB2312" w:cs="Times New Roman"/>
        </w:rPr>
        <w:t>（一）项目决策情况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w:t>
      </w:r>
      <w:r>
        <w:rPr>
          <w:rFonts w:hint="default" w:ascii="Times New Roman" w:hAnsi="Times New Roman" w:eastAsia="仿宋_GB2312" w:cs="Times New Roman"/>
          <w:sz w:val="32"/>
          <w:szCs w:val="32"/>
          <w:lang w:eastAsia="zh-Hans"/>
        </w:rPr>
        <w:t>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Han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eastAsia="zh-Han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在预算编制过程中，</w:t>
      </w:r>
      <w:r>
        <w:rPr>
          <w:rFonts w:hint="default" w:ascii="Times New Roman" w:hAnsi="Times New Roman" w:eastAsia="仿宋_GB2312" w:cs="Times New Roman"/>
          <w:sz w:val="32"/>
          <w:szCs w:val="32"/>
          <w:highlight w:val="none"/>
          <w:lang w:val="en-US" w:eastAsia="zh-CN"/>
        </w:rPr>
        <w:t>还</w:t>
      </w:r>
      <w:r>
        <w:rPr>
          <w:rFonts w:hint="default" w:ascii="Times New Roman" w:hAnsi="Times New Roman" w:eastAsia="仿宋_GB2312" w:cs="Times New Roman"/>
          <w:sz w:val="32"/>
          <w:szCs w:val="32"/>
          <w:highlight w:val="none"/>
          <w:lang w:eastAsia="zh-CN"/>
        </w:rPr>
        <w:t>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pPr>
        <w:pStyle w:val="11"/>
        <w:numPr>
          <w:ilvl w:val="0"/>
          <w:numId w:val="3"/>
        </w:numPr>
        <w:spacing w:before="0" w:after="0" w:line="560" w:lineRule="exact"/>
        <w:ind w:firstLine="643" w:firstLineChars="200"/>
        <w:jc w:val="both"/>
        <w:rPr>
          <w:rFonts w:hint="default" w:ascii="Times New Roman" w:hAnsi="Times New Roman" w:eastAsia="楷体" w:cs="Times New Roman"/>
          <w:highlight w:val="none"/>
        </w:rPr>
      </w:pPr>
      <w:r>
        <w:rPr>
          <w:rFonts w:hint="default" w:ascii="Times New Roman" w:hAnsi="Times New Roman" w:eastAsia="楷体" w:cs="Times New Roman"/>
          <w:highlight w:val="none"/>
        </w:rPr>
        <w:t>项目过程情况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项目过程类指标包括资金管理和组织实施两方面的内容，由5个三级指标构成，权重分值为20分，实际得分</w:t>
      </w:r>
      <w:r>
        <w:rPr>
          <w:rFonts w:hint="eastAsia" w:eastAsia="仿宋_GB2312" w:cs="Times New Roman"/>
          <w:sz w:val="32"/>
          <w:szCs w:val="32"/>
          <w:highlight w:val="none"/>
          <w:lang w:val="en-US" w:eastAsia="zh-CN"/>
        </w:rPr>
        <w:t>19.37</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96.85</w:t>
      </w:r>
      <w:r>
        <w:rPr>
          <w:rFonts w:hint="default" w:ascii="Times New Roman" w:hAnsi="Times New Roman" w:eastAsia="仿宋_GB2312" w:cs="Times New Roman"/>
          <w:sz w:val="32"/>
          <w:szCs w:val="32"/>
          <w:highlight w:val="none"/>
          <w:lang w:val="en-US" w:eastAsia="zh-CN"/>
        </w:rPr>
        <w:t>%。</w:t>
      </w:r>
    </w:p>
    <w:p>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1.资金管理</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（1）资金到位率</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highlight w:val="none"/>
          <w:lang w:val="en-US" w:eastAsia="zh-CN"/>
        </w:rPr>
        <w:t>本项目总投资</w:t>
      </w:r>
      <w:r>
        <w:rPr>
          <w:rFonts w:hint="eastAsia" w:eastAsia="仿宋_GB2312" w:cs="Times New Roman"/>
          <w:sz w:val="32"/>
          <w:szCs w:val="32"/>
          <w:highlight w:val="none"/>
          <w:lang w:val="en-US" w:eastAsia="zh-CN"/>
        </w:rPr>
        <w:t>90</w:t>
      </w:r>
      <w:r>
        <w:rPr>
          <w:rFonts w:hint="default" w:ascii="Times New Roman" w:hAnsi="Times New Roman" w:eastAsia="仿宋_GB2312" w:cs="Times New Roman"/>
          <w:sz w:val="32"/>
          <w:szCs w:val="32"/>
          <w:highlight w:val="none"/>
          <w:lang w:val="en-US" w:eastAsia="zh-CN"/>
        </w:rPr>
        <w:t>万元，财政资金及时足额到位，到位率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%，预算资金按</w:t>
      </w:r>
      <w:r>
        <w:rPr>
          <w:rFonts w:hint="default" w:ascii="Times New Roman" w:hAnsi="Times New Roman" w:eastAsia="仿宋_GB2312" w:cs="Times New Roman"/>
          <w:sz w:val="32"/>
          <w:szCs w:val="32"/>
          <w:lang w:val="en-US" w:eastAsia="zh-CN"/>
        </w:rPr>
        <w:t>计划进度执行。</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（2）预算执行率</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预算编制较为详细，项目资金支出总体能够按照预算执行，</w:t>
      </w:r>
      <w:r>
        <w:rPr>
          <w:rFonts w:hint="default" w:ascii="Times New Roman" w:hAnsi="Times New Roman" w:eastAsia="仿宋_GB2312" w:cs="Times New Roman"/>
          <w:sz w:val="32"/>
          <w:szCs w:val="32"/>
          <w:highlight w:val="none"/>
          <w:lang w:val="en-US" w:eastAsia="zh-CN"/>
        </w:rPr>
        <w:t>预算资金支出</w:t>
      </w:r>
      <w:r>
        <w:rPr>
          <w:rFonts w:hint="eastAsia" w:eastAsia="仿宋_GB2312" w:cs="Times New Roman"/>
          <w:sz w:val="32"/>
          <w:szCs w:val="32"/>
          <w:highlight w:val="none"/>
          <w:lang w:val="en-US" w:eastAsia="zh-CN"/>
        </w:rPr>
        <w:t>75.89</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84.32</w:t>
      </w:r>
      <w:r>
        <w:rPr>
          <w:rFonts w:hint="default" w:ascii="Times New Roman" w:hAnsi="Times New Roman" w:eastAsia="仿宋_GB2312" w:cs="Times New Roman"/>
          <w:sz w:val="32"/>
          <w:szCs w:val="32"/>
          <w:highlight w:val="none"/>
          <w:lang w:val="en-US"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本项目的资金使用严格遵循了国家相关法律法规与财务制度，确保了资金的合规性与安全性。在资金使用过程中，我们建立了完善的财务管理体系，对资金的流动进行了全程监控与记录。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2.组织实施</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（1）管理制度健全性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在制度设计上，我们注重了制度的科学性与可操作性，确保制度能够切实指导项目的执行与管理。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综上所述，本项目的管理制度是健全的、有效的，既符合项目的实际情况，又满足了项目管理的需要。管理制度的健全性为项目的成功实施提供了有力的保障，也为项目的绩效评价奠定了坚实的基础。</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lang w:val="en-US" w:eastAsia="zh-CN"/>
        </w:rPr>
        <w:t>单位</w:t>
      </w:r>
      <w:r>
        <w:rPr>
          <w:rFonts w:hint="default" w:ascii="Times New Roman" w:hAnsi="Times New Roman" w:eastAsia="仿宋_GB2312" w:cs="Times New Roman"/>
          <w:sz w:val="32"/>
          <w:szCs w:val="32"/>
          <w:lang w:eastAsia="zh-CN"/>
        </w:rPr>
        <w:t>重视制度执行的重要性，通过明确责任分工、制定详细执行计划、加强监督考核等措施，确保了各项管理制度能够得到有效执行。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综上所述，本项目的管理制度在执行过程中表现出了高度的有效性，既确保了项目的顺利进行，又实现了项目目标的有效达成。</w:t>
      </w:r>
    </w:p>
    <w:p>
      <w:pPr>
        <w:pStyle w:val="13"/>
        <w:numPr>
          <w:ilvl w:val="0"/>
          <w:numId w:val="3"/>
        </w:numPr>
        <w:spacing w:line="560" w:lineRule="exact"/>
        <w:ind w:firstLine="643"/>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项目产出</w:t>
      </w:r>
      <w:r>
        <w:rPr>
          <w:rFonts w:hint="default" w:ascii="Times New Roman" w:hAnsi="Times New Roman" w:eastAsia="楷体_GB2312" w:cs="Times New Roman"/>
          <w:b/>
          <w:bCs/>
          <w:sz w:val="32"/>
          <w:szCs w:val="32"/>
          <w:lang w:val="en-US" w:eastAsia="zh-CN"/>
        </w:rPr>
        <w:t>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项目产出类指标包</w:t>
      </w:r>
      <w:r>
        <w:rPr>
          <w:rFonts w:hint="default" w:ascii="Times New Roman" w:hAnsi="Times New Roman" w:eastAsia="仿宋_GB2312" w:cs="Times New Roman"/>
          <w:sz w:val="32"/>
          <w:szCs w:val="32"/>
          <w:highlight w:val="none"/>
          <w:lang w:val="en-US" w:eastAsia="zh-CN"/>
        </w:rPr>
        <w:t>括产出数量、产出质量、产出时效、产出成本四方面的内容，由</w:t>
      </w:r>
      <w:r>
        <w:rPr>
          <w:rFonts w:hint="eastAsia"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val="en-US" w:eastAsia="zh-CN"/>
        </w:rPr>
        <w:t>个三级指标构成，权重分为40分，实际得分</w:t>
      </w:r>
      <w:r>
        <w:rPr>
          <w:rFonts w:hint="eastAsia" w:eastAsia="仿宋_GB2312" w:cs="Times New Roman"/>
          <w:sz w:val="32"/>
          <w:szCs w:val="32"/>
          <w:highlight w:val="none"/>
          <w:lang w:val="en-US" w:eastAsia="zh-CN"/>
        </w:rPr>
        <w:t>40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%。具体产出指标完成情况如下：</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指标1：覆盖生态环境监察区域，指标值：</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2个，实际完成值：2个，指标完成率</w:t>
      </w:r>
      <w:r>
        <w:rPr>
          <w:rFonts w:hint="eastAsia" w:ascii="仿宋_GB2312" w:hAnsi="仿宋_GB2312" w:eastAsia="仿宋_GB2312" w:cs="仿宋_GB2312"/>
          <w:sz w:val="32"/>
          <w:szCs w:val="32"/>
          <w:highlight w:val="none"/>
          <w:lang w:val="en-US" w:eastAsia="zh-CN"/>
        </w:rPr>
        <w:t>100%。</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指标2：形成监察报告（份数），指标值：</w:t>
      </w:r>
      <w:r>
        <w:rPr>
          <w:rFonts w:hint="eastAsia" w:ascii="仿宋_GB2312" w:hAnsi="仿宋_GB2312" w:eastAsia="仿宋_GB2312" w:cs="仿宋_GB2312"/>
          <w:sz w:val="32"/>
          <w:szCs w:val="32"/>
          <w:highlight w:val="none"/>
          <w:lang w:val="en-US" w:eastAsia="zh-CN"/>
        </w:rPr>
        <w:t>&gt;=4份</w:t>
      </w:r>
      <w:r>
        <w:rPr>
          <w:rFonts w:hint="eastAsia" w:ascii="仿宋_GB2312" w:hAnsi="仿宋_GB2312" w:eastAsia="仿宋_GB2312" w:cs="仿宋_GB2312"/>
          <w:sz w:val="32"/>
          <w:szCs w:val="32"/>
          <w:highlight w:val="none"/>
        </w:rPr>
        <w:t>，实际完成值：</w:t>
      </w:r>
      <w:r>
        <w:rPr>
          <w:rFonts w:hint="eastAsia" w:ascii="仿宋_GB2312" w:hAnsi="仿宋_GB2312" w:eastAsia="仿宋_GB2312" w:cs="仿宋_GB2312"/>
          <w:sz w:val="32"/>
          <w:szCs w:val="32"/>
          <w:highlight w:val="none"/>
          <w:lang w:val="en-US" w:eastAsia="zh-CN"/>
        </w:rPr>
        <w:t>4份</w:t>
      </w:r>
      <w:r>
        <w:rPr>
          <w:rFonts w:hint="eastAsia" w:ascii="仿宋_GB2312" w:hAnsi="仿宋_GB2312" w:eastAsia="仿宋_GB2312" w:cs="仿宋_GB2312"/>
          <w:sz w:val="32"/>
          <w:szCs w:val="32"/>
          <w:highlight w:val="none"/>
        </w:rPr>
        <w:t>，指标完成率</w:t>
      </w:r>
      <w:r>
        <w:rPr>
          <w:rFonts w:hint="eastAsia" w:ascii="仿宋_GB2312" w:hAnsi="仿宋_GB2312" w:eastAsia="仿宋_GB2312" w:cs="仿宋_GB2312"/>
          <w:sz w:val="32"/>
          <w:szCs w:val="32"/>
          <w:highlight w:val="none"/>
          <w:lang w:val="en-US" w:eastAsia="zh-CN"/>
        </w:rPr>
        <w:t>100%。</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指标</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：督察(监察)频次，指标值：</w:t>
      </w:r>
      <w:r>
        <w:rPr>
          <w:rFonts w:hint="eastAsia" w:ascii="仿宋_GB2312" w:hAnsi="仿宋_GB2312" w:eastAsia="仿宋_GB2312" w:cs="仿宋_GB2312"/>
          <w:sz w:val="32"/>
          <w:szCs w:val="32"/>
          <w:highlight w:val="none"/>
          <w:lang w:val="en-US" w:eastAsia="zh-CN"/>
        </w:rPr>
        <w:t>&gt;=4次</w:t>
      </w:r>
      <w:r>
        <w:rPr>
          <w:rFonts w:hint="eastAsia" w:ascii="仿宋_GB2312" w:hAnsi="仿宋_GB2312" w:eastAsia="仿宋_GB2312" w:cs="仿宋_GB2312"/>
          <w:sz w:val="32"/>
          <w:szCs w:val="32"/>
          <w:highlight w:val="none"/>
        </w:rPr>
        <w:t>，实际完成值：</w:t>
      </w:r>
      <w:r>
        <w:rPr>
          <w:rFonts w:hint="eastAsia" w:ascii="仿宋_GB2312" w:hAnsi="仿宋_GB2312" w:eastAsia="仿宋_GB2312" w:cs="仿宋_GB2312"/>
          <w:sz w:val="32"/>
          <w:szCs w:val="32"/>
          <w:highlight w:val="none"/>
          <w:lang w:val="en-US" w:eastAsia="zh-CN"/>
        </w:rPr>
        <w:t>4次</w:t>
      </w:r>
      <w:r>
        <w:rPr>
          <w:rFonts w:hint="eastAsia" w:ascii="仿宋_GB2312" w:hAnsi="仿宋_GB2312" w:eastAsia="仿宋_GB2312" w:cs="仿宋_GB2312"/>
          <w:sz w:val="32"/>
          <w:szCs w:val="32"/>
          <w:highlight w:val="none"/>
        </w:rPr>
        <w:t>，指标完成率</w:t>
      </w:r>
      <w:r>
        <w:rPr>
          <w:rFonts w:hint="eastAsia" w:ascii="仿宋_GB2312" w:hAnsi="仿宋_GB2312" w:eastAsia="仿宋_GB2312" w:cs="仿宋_GB2312"/>
          <w:sz w:val="32"/>
          <w:szCs w:val="32"/>
          <w:highlight w:val="none"/>
          <w:lang w:val="en-US" w:eastAsia="zh-CN"/>
        </w:rPr>
        <w:t>100%。</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pPr>
        <w:shd w:val="clear"/>
        <w:spacing w:line="600" w:lineRule="exact"/>
        <w:ind w:firstLine="640" w:firstLineChars="200"/>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指标1：报告质量通过率，指标值：</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，实际完成值：</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，指标完成率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lang w:eastAsia="zh-CN"/>
        </w:rPr>
        <w:t>。</w:t>
      </w:r>
    </w:p>
    <w:p>
      <w:pPr>
        <w:shd w:val="clear"/>
        <w:spacing w:line="600" w:lineRule="exact"/>
        <w:ind w:firstLine="640" w:firstLineChars="200"/>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指标2：</w:t>
      </w:r>
      <w:r>
        <w:rPr>
          <w:rFonts w:hint="eastAsia" w:ascii="仿宋_GB2312" w:hAnsi="仿宋_GB2312" w:eastAsia="仿宋_GB2312" w:cs="仿宋_GB2312"/>
          <w:sz w:val="32"/>
          <w:szCs w:val="32"/>
          <w:highlight w:val="none"/>
        </w:rPr>
        <w:t>派驻监察辖区地州覆盖率，指标值：</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，实际完成值：</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，指标完成率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pPr>
        <w:shd w:val="clear"/>
        <w:spacing w:line="600" w:lineRule="exact"/>
        <w:ind w:firstLine="640" w:firstLineChars="200"/>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指标1：年度督察任务按时完成率，指标值：</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，实际完成值：</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，指标完成率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lang w:eastAsia="zh-CN"/>
        </w:rPr>
        <w:t>。</w:t>
      </w:r>
    </w:p>
    <w:p>
      <w:pPr>
        <w:pStyle w:val="13"/>
        <w:numPr>
          <w:ilvl w:val="0"/>
          <w:numId w:val="3"/>
        </w:numPr>
        <w:spacing w:line="560" w:lineRule="exact"/>
        <w:ind w:firstLine="643"/>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项目效益情况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项目效益类指标包括项目实施效益和满意度两方面的内</w:t>
      </w:r>
      <w:r>
        <w:rPr>
          <w:rFonts w:hint="default" w:ascii="Times New Roman" w:hAnsi="Times New Roman" w:eastAsia="仿宋_GB2312" w:cs="Times New Roman"/>
          <w:sz w:val="32"/>
          <w:szCs w:val="32"/>
          <w:highlight w:val="none"/>
          <w:lang w:val="en-US" w:eastAsia="zh-CN"/>
        </w:rPr>
        <w:t>容，由</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val="en-US" w:eastAsia="zh-CN"/>
        </w:rPr>
        <w:t>个三级指标构成，权重分为20分，实际得分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%。具体效益指标及满意度指标完成情况如下：</w:t>
      </w:r>
    </w:p>
    <w:p>
      <w:pPr>
        <w:numPr>
          <w:ilvl w:val="0"/>
          <w:numId w:val="0"/>
        </w:num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kern w:val="2"/>
          <w:sz w:val="32"/>
          <w:szCs w:val="32"/>
          <w:lang w:val="en-US" w:eastAsia="zh-CN" w:bidi="ar-SA"/>
        </w:rPr>
        <w:t>1.</w:t>
      </w:r>
      <w:r>
        <w:rPr>
          <w:rFonts w:hint="default" w:ascii="Times New Roman" w:hAnsi="Times New Roman" w:eastAsia="仿宋_GB2312" w:cs="Times New Roman"/>
          <w:sz w:val="32"/>
          <w:szCs w:val="32"/>
          <w:highlight w:val="none"/>
          <w:lang w:val="en-US" w:eastAsia="zh-CN"/>
        </w:rPr>
        <w:t>实施效益</w:t>
      </w:r>
    </w:p>
    <w:p>
      <w:pPr>
        <w:numPr>
          <w:ilvl w:val="0"/>
          <w:numId w:val="0"/>
        </w:num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①</w:t>
      </w:r>
      <w:r>
        <w:rPr>
          <w:rFonts w:hint="default" w:ascii="Times New Roman" w:hAnsi="Times New Roman" w:eastAsia="仿宋_GB2312" w:cs="Times New Roman"/>
          <w:sz w:val="32"/>
          <w:szCs w:val="32"/>
          <w:highlight w:val="none"/>
        </w:rPr>
        <w:t>社会效益指标：</w:t>
      </w:r>
    </w:p>
    <w:p>
      <w:pPr>
        <w:shd w:val="clear"/>
        <w:spacing w:line="600" w:lineRule="exact"/>
        <w:ind w:firstLine="640" w:firstLineChars="200"/>
        <w:outlineLvl w:val="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指标1：监察结果反馈率，指标值：</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，实际完成值：</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，指标完成率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lang w:eastAsia="zh-CN"/>
        </w:rPr>
        <w:t>。</w:t>
      </w:r>
    </w:p>
    <w:p>
      <w:pPr>
        <w:shd w:val="clear"/>
        <w:spacing w:line="600" w:lineRule="exact"/>
        <w:ind w:firstLine="640" w:firstLineChars="200"/>
        <w:outlineLvl w:val="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指标</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：跟踪督办率</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指标值：</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，实际完成值：</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，指标完成率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2.满意度</w:t>
      </w:r>
    </w:p>
    <w:p>
      <w:pPr>
        <w:shd w:val="clear"/>
        <w:spacing w:line="600" w:lineRule="exact"/>
        <w:ind w:firstLine="640" w:firstLineChars="200"/>
        <w:outlineLvl w:val="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指标1：</w:t>
      </w:r>
      <w:r>
        <w:rPr>
          <w:rFonts w:hint="eastAsia" w:ascii="仿宋_GB2312" w:hAnsi="仿宋_GB2312" w:eastAsia="仿宋_GB2312" w:cs="仿宋_GB2312"/>
          <w:sz w:val="32"/>
          <w:szCs w:val="32"/>
          <w:highlight w:val="none"/>
          <w:lang w:val="en-US" w:eastAsia="zh-CN"/>
        </w:rPr>
        <w:t>检查人员被投诉次数</w:t>
      </w:r>
      <w:r>
        <w:rPr>
          <w:rFonts w:hint="eastAsia" w:ascii="仿宋_GB2312" w:hAnsi="仿宋_GB2312" w:eastAsia="仿宋_GB2312" w:cs="仿宋_GB2312"/>
          <w:sz w:val="32"/>
          <w:szCs w:val="32"/>
          <w:highlight w:val="none"/>
        </w:rPr>
        <w:t>，指标值：</w:t>
      </w:r>
      <w:r>
        <w:rPr>
          <w:rFonts w:hint="eastAsia" w:ascii="仿宋_GB2312" w:hAnsi="仿宋_GB2312" w:eastAsia="仿宋_GB2312" w:cs="仿宋_GB2312"/>
          <w:sz w:val="32"/>
          <w:szCs w:val="32"/>
          <w:highlight w:val="none"/>
          <w:lang w:val="en-US" w:eastAsia="zh-CN"/>
        </w:rPr>
        <w:t>&lt;=2次</w:t>
      </w:r>
      <w:r>
        <w:rPr>
          <w:rFonts w:hint="eastAsia" w:ascii="仿宋_GB2312" w:hAnsi="仿宋_GB2312" w:eastAsia="仿宋_GB2312" w:cs="仿宋_GB2312"/>
          <w:sz w:val="32"/>
          <w:szCs w:val="32"/>
          <w:highlight w:val="none"/>
        </w:rPr>
        <w:t>，实际完成值：</w:t>
      </w:r>
      <w:r>
        <w:rPr>
          <w:rFonts w:hint="eastAsia" w:ascii="仿宋_GB2312" w:hAnsi="仿宋_GB2312" w:eastAsia="仿宋_GB2312" w:cs="仿宋_GB2312"/>
          <w:sz w:val="32"/>
          <w:szCs w:val="32"/>
          <w:highlight w:val="none"/>
          <w:lang w:val="en-US" w:eastAsia="zh-CN"/>
        </w:rPr>
        <w:t>0次</w:t>
      </w:r>
      <w:r>
        <w:rPr>
          <w:rFonts w:hint="eastAsia" w:ascii="仿宋_GB2312" w:hAnsi="仿宋_GB2312" w:eastAsia="仿宋_GB2312" w:cs="仿宋_GB2312"/>
          <w:sz w:val="32"/>
          <w:szCs w:val="32"/>
          <w:highlight w:val="none"/>
        </w:rPr>
        <w:t>，指标完成率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lang w:eastAsia="zh-CN"/>
        </w:rPr>
        <w:t>。</w:t>
      </w:r>
    </w:p>
    <w:p>
      <w:pPr>
        <w:spacing w:line="560" w:lineRule="exact"/>
        <w:ind w:firstLine="643" w:firstLineChars="200"/>
        <w:rPr>
          <w:rFonts w:hint="eastAsia" w:ascii="黑体" w:hAnsi="黑体" w:eastAsia="黑体" w:cs="黑体"/>
          <w:b w:val="0"/>
          <w:bCs w:val="0"/>
          <w:sz w:val="32"/>
          <w:szCs w:val="32"/>
          <w:lang w:val="en-US" w:eastAsia="zh-Hans"/>
        </w:rPr>
      </w:pPr>
      <w:r>
        <w:rPr>
          <w:rFonts w:hint="default" w:ascii="Times New Roman" w:hAnsi="Times New Roman" w:eastAsia="楷体_GB2312" w:cs="Times New Roman"/>
          <w:b/>
          <w:bCs/>
          <w:sz w:val="32"/>
          <w:szCs w:val="32"/>
          <w:lang w:val="en-US" w:eastAsia="zh-CN"/>
        </w:rPr>
        <w:t>（五）</w:t>
      </w:r>
      <w:r>
        <w:rPr>
          <w:rFonts w:hint="default" w:ascii="Times New Roman" w:hAnsi="Times New Roman" w:eastAsia="楷体_GB2312" w:cs="Times New Roman"/>
          <w:b/>
          <w:bCs/>
          <w:sz w:val="32"/>
          <w:szCs w:val="32"/>
          <w:lang w:val="en-US" w:eastAsia="zh-Hans"/>
        </w:rPr>
        <w:t>预算执行进度与绩效指标总体完成率偏差</w:t>
      </w:r>
    </w:p>
    <w:p>
      <w:pPr>
        <w:pStyle w:val="20"/>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黑体" w:cs="Times New Roman"/>
          <w:sz w:val="32"/>
          <w:szCs w:val="32"/>
          <w:lang w:val="en-US" w:eastAsia="zh-CN"/>
        </w:rPr>
      </w:pPr>
      <w:r>
        <w:rPr>
          <w:rFonts w:hint="eastAsia" w:ascii="仿宋_GB2312" w:hAnsi="仿宋_GB2312" w:eastAsia="仿宋_GB2312" w:cs="仿宋_GB2312"/>
          <w:b w:val="0"/>
          <w:bCs w:val="0"/>
          <w:sz w:val="32"/>
          <w:szCs w:val="32"/>
          <w:highlight w:val="none"/>
        </w:rPr>
        <w:t>生态环境监察项目年初预算</w:t>
      </w:r>
      <w:r>
        <w:rPr>
          <w:rFonts w:hint="eastAsia" w:ascii="仿宋_GB2312" w:hAnsi="仿宋_GB2312" w:eastAsia="仿宋_GB2312" w:cs="仿宋_GB2312"/>
          <w:b w:val="0"/>
          <w:bCs w:val="0"/>
          <w:sz w:val="32"/>
          <w:szCs w:val="32"/>
          <w:highlight w:val="none"/>
          <w:lang w:val="en-US" w:eastAsia="zh-CN"/>
        </w:rPr>
        <w:t>90</w:t>
      </w:r>
      <w:r>
        <w:rPr>
          <w:rFonts w:hint="eastAsia" w:ascii="仿宋_GB2312" w:hAnsi="仿宋_GB2312" w:eastAsia="仿宋_GB2312" w:cs="仿宋_GB2312"/>
          <w:b w:val="0"/>
          <w:bCs w:val="0"/>
          <w:sz w:val="32"/>
          <w:szCs w:val="32"/>
          <w:highlight w:val="none"/>
        </w:rPr>
        <w:t>万元，全年预算</w:t>
      </w:r>
      <w:r>
        <w:rPr>
          <w:rFonts w:hint="eastAsia" w:ascii="仿宋_GB2312" w:hAnsi="仿宋_GB2312" w:eastAsia="仿宋_GB2312" w:cs="仿宋_GB2312"/>
          <w:b w:val="0"/>
          <w:bCs w:val="0"/>
          <w:sz w:val="32"/>
          <w:szCs w:val="32"/>
          <w:highlight w:val="none"/>
          <w:lang w:val="en-US" w:eastAsia="zh-CN"/>
        </w:rPr>
        <w:t>90</w:t>
      </w:r>
      <w:r>
        <w:rPr>
          <w:rFonts w:hint="eastAsia" w:ascii="仿宋_GB2312" w:hAnsi="仿宋_GB2312" w:eastAsia="仿宋_GB2312" w:cs="仿宋_GB2312"/>
          <w:b w:val="0"/>
          <w:bCs w:val="0"/>
          <w:sz w:val="32"/>
          <w:szCs w:val="32"/>
          <w:highlight w:val="none"/>
        </w:rPr>
        <w:t>万元，实际支出</w:t>
      </w:r>
      <w:r>
        <w:rPr>
          <w:rFonts w:hint="eastAsia" w:ascii="仿宋_GB2312" w:hAnsi="仿宋_GB2312" w:eastAsia="仿宋_GB2312" w:cs="仿宋_GB2312"/>
          <w:b w:val="0"/>
          <w:bCs w:val="0"/>
          <w:sz w:val="32"/>
          <w:szCs w:val="32"/>
          <w:highlight w:val="none"/>
          <w:lang w:val="en-US" w:eastAsia="zh-CN"/>
        </w:rPr>
        <w:t>75.89</w:t>
      </w:r>
      <w:r>
        <w:rPr>
          <w:rFonts w:hint="eastAsia" w:ascii="仿宋_GB2312" w:hAnsi="仿宋_GB2312" w:eastAsia="仿宋_GB2312" w:cs="仿宋_GB2312"/>
          <w:b w:val="0"/>
          <w:bCs w:val="0"/>
          <w:sz w:val="32"/>
          <w:szCs w:val="32"/>
          <w:highlight w:val="none"/>
        </w:rPr>
        <w:t>万元，预算执行率为</w:t>
      </w:r>
      <w:r>
        <w:rPr>
          <w:rFonts w:hint="eastAsia" w:ascii="仿宋_GB2312" w:hAnsi="仿宋_GB2312" w:eastAsia="仿宋_GB2312" w:cs="仿宋_GB2312"/>
          <w:b w:val="0"/>
          <w:bCs w:val="0"/>
          <w:sz w:val="32"/>
          <w:szCs w:val="32"/>
          <w:highlight w:val="none"/>
          <w:lang w:val="en-US" w:eastAsia="zh-CN"/>
        </w:rPr>
        <w:t>84.32</w:t>
      </w:r>
      <w:r>
        <w:rPr>
          <w:rFonts w:hint="eastAsia" w:ascii="仿宋_GB2312" w:hAnsi="仿宋_GB2312" w:eastAsia="仿宋_GB2312" w:cs="仿宋_GB2312"/>
          <w:b w:val="0"/>
          <w:bCs w:val="0"/>
          <w:sz w:val="32"/>
          <w:szCs w:val="32"/>
          <w:highlight w:val="none"/>
        </w:rPr>
        <w:t>%，项目绩效指标总体完成率为</w:t>
      </w:r>
      <w:r>
        <w:rPr>
          <w:rFonts w:hint="eastAsia" w:ascii="仿宋_GB2312" w:hAnsi="仿宋_GB2312" w:eastAsia="仿宋_GB2312" w:cs="仿宋_GB2312"/>
          <w:b w:val="0"/>
          <w:bCs w:val="0"/>
          <w:sz w:val="32"/>
          <w:szCs w:val="32"/>
          <w:highlight w:val="none"/>
          <w:lang w:val="en-US" w:eastAsia="zh-CN"/>
        </w:rPr>
        <w:t>100</w:t>
      </w:r>
      <w:r>
        <w:rPr>
          <w:rFonts w:hint="eastAsia" w:ascii="仿宋_GB2312" w:hAnsi="仿宋_GB2312" w:eastAsia="仿宋_GB2312" w:cs="仿宋_GB2312"/>
          <w:b w:val="0"/>
          <w:bCs w:val="0"/>
          <w:sz w:val="32"/>
          <w:szCs w:val="32"/>
          <w:highlight w:val="none"/>
        </w:rPr>
        <w:t>%，</w:t>
      </w:r>
      <w:r>
        <w:rPr>
          <w:rFonts w:hint="eastAsia" w:ascii="仿宋_GB2312" w:hAnsi="仿宋_GB2312" w:eastAsia="仿宋_GB2312" w:cs="仿宋_GB2312"/>
          <w:b w:val="0"/>
          <w:bCs w:val="0"/>
          <w:sz w:val="32"/>
          <w:szCs w:val="32"/>
          <w:highlight w:val="none"/>
          <w:lang w:eastAsia="zh-Hans"/>
        </w:rPr>
        <w:t>总体</w:t>
      </w:r>
      <w:r>
        <w:rPr>
          <w:rFonts w:hint="eastAsia" w:ascii="仿宋_GB2312" w:hAnsi="仿宋_GB2312" w:eastAsia="仿宋_GB2312" w:cs="仿宋_GB2312"/>
          <w:b w:val="0"/>
          <w:bCs w:val="0"/>
          <w:sz w:val="32"/>
          <w:szCs w:val="32"/>
          <w:highlight w:val="none"/>
        </w:rPr>
        <w:t>偏差率为</w:t>
      </w:r>
      <w:r>
        <w:rPr>
          <w:rFonts w:hint="eastAsia" w:ascii="仿宋_GB2312" w:hAnsi="仿宋_GB2312" w:eastAsia="仿宋_GB2312" w:cs="仿宋_GB2312"/>
          <w:b w:val="0"/>
          <w:bCs w:val="0"/>
          <w:sz w:val="32"/>
          <w:szCs w:val="32"/>
          <w:highlight w:val="none"/>
          <w:lang w:val="en-US" w:eastAsia="zh-CN"/>
        </w:rPr>
        <w:t>15.68</w:t>
      </w:r>
      <w:r>
        <w:rPr>
          <w:rFonts w:hint="eastAsia" w:ascii="仿宋_GB2312" w:hAnsi="仿宋_GB2312" w:eastAsia="仿宋_GB2312" w:cs="仿宋_GB2312"/>
          <w:b w:val="0"/>
          <w:bCs w:val="0"/>
          <w:sz w:val="32"/>
          <w:szCs w:val="32"/>
          <w:highlight w:val="none"/>
        </w:rPr>
        <w:t>%</w:t>
      </w:r>
      <w:r>
        <w:rPr>
          <w:rFonts w:hint="eastAsia" w:ascii="仿宋_GB2312" w:hAnsi="仿宋_GB2312" w:eastAsia="仿宋_GB2312" w:cs="仿宋_GB2312"/>
          <w:b w:val="0"/>
          <w:bCs w:val="0"/>
          <w:sz w:val="32"/>
          <w:szCs w:val="32"/>
          <w:highlight w:val="none"/>
          <w:lang w:eastAsia="zh-CN"/>
        </w:rPr>
        <w:t>，</w:t>
      </w:r>
      <w:r>
        <w:rPr>
          <w:rFonts w:hint="eastAsia" w:ascii="仿宋_GB2312" w:hAnsi="仿宋_GB2312" w:eastAsia="仿宋_GB2312" w:cs="仿宋_GB2312"/>
          <w:b w:val="0"/>
          <w:bCs w:val="0"/>
          <w:sz w:val="32"/>
          <w:szCs w:val="32"/>
          <w:highlight w:val="none"/>
          <w:lang w:eastAsia="zh-Hans"/>
        </w:rPr>
        <w:t>偏差</w:t>
      </w:r>
      <w:r>
        <w:rPr>
          <w:rFonts w:hint="eastAsia" w:ascii="仿宋_GB2312" w:hAnsi="仿宋_GB2312" w:eastAsia="仿宋_GB2312" w:cs="仿宋_GB2312"/>
          <w:b w:val="0"/>
          <w:bCs w:val="0"/>
          <w:sz w:val="32"/>
          <w:szCs w:val="32"/>
          <w:highlight w:val="none"/>
        </w:rPr>
        <w:t>原因</w:t>
      </w:r>
      <w:r>
        <w:rPr>
          <w:rFonts w:hint="eastAsia" w:ascii="仿宋_GB2312" w:hAnsi="仿宋_GB2312" w:eastAsia="仿宋_GB2312" w:cs="仿宋_GB2312"/>
          <w:b w:val="0"/>
          <w:bCs w:val="0"/>
          <w:sz w:val="32"/>
          <w:szCs w:val="32"/>
          <w:highlight w:val="none"/>
          <w:lang w:val="en-US" w:eastAsia="zh-CN"/>
        </w:rPr>
        <w:t>一是2024年度在岗人数与计划项目实施人数偏差过大，2024年计划项目实施人数为8人，实际月平均在岗人数不足5人，项目预算执行率受到影响；二是因单位涉改，按程序提交的公务用车租赁申请未收到批复，公务用车租赁费用未支出。</w:t>
      </w:r>
      <w:r>
        <w:rPr>
          <w:rFonts w:hint="eastAsia" w:ascii="仿宋_GB2312" w:hAnsi="仿宋_GB2312" w:eastAsia="仿宋_GB2312" w:cs="仿宋_GB2312"/>
          <w:b w:val="0"/>
          <w:bCs w:val="0"/>
          <w:sz w:val="32"/>
          <w:szCs w:val="32"/>
          <w:highlight w:val="none"/>
          <w:lang w:eastAsia="zh-Hans"/>
        </w:rPr>
        <w:t>改进</w:t>
      </w:r>
      <w:r>
        <w:rPr>
          <w:rFonts w:hint="eastAsia" w:ascii="仿宋_GB2312" w:hAnsi="仿宋_GB2312" w:eastAsia="仿宋_GB2312" w:cs="仿宋_GB2312"/>
          <w:b w:val="0"/>
          <w:bCs w:val="0"/>
          <w:sz w:val="32"/>
          <w:szCs w:val="32"/>
          <w:highlight w:val="none"/>
        </w:rPr>
        <w:t>措施</w:t>
      </w:r>
      <w:r>
        <w:rPr>
          <w:rFonts w:hint="eastAsia" w:ascii="仿宋_GB2312" w:hAnsi="仿宋_GB2312" w:eastAsia="仿宋_GB2312" w:cs="仿宋_GB2312"/>
          <w:b w:val="0"/>
          <w:bCs w:val="0"/>
          <w:sz w:val="32"/>
          <w:szCs w:val="32"/>
          <w:highlight w:val="none"/>
          <w:lang w:val="en-US" w:eastAsia="zh-CN"/>
        </w:rPr>
        <w:t>一是更加合理安排预算资金，加强风险应对能力；二是提前谋划，合理预估不确定因素，做好应对措施</w:t>
      </w:r>
      <w:r>
        <w:rPr>
          <w:rFonts w:hint="eastAsia" w:ascii="仿宋_GB2312" w:hAnsi="仿宋_GB2312" w:eastAsia="仿宋_GB2312" w:cs="仿宋_GB2312"/>
          <w:b w:val="0"/>
          <w:bCs w:val="0"/>
          <w:sz w:val="32"/>
          <w:szCs w:val="32"/>
          <w:highlight w:val="none"/>
        </w:rPr>
        <w:t>。</w:t>
      </w:r>
    </w:p>
    <w:p>
      <w:pPr>
        <w:spacing w:line="560" w:lineRule="exact"/>
        <w:ind w:firstLine="640" w:firstLineChars="200"/>
        <w:rPr>
          <w:rStyle w:val="19"/>
          <w:rFonts w:hint="default" w:ascii="Times New Roman" w:hAnsi="Times New Roman" w:cs="Times New Roman"/>
          <w:color w:val="auto"/>
        </w:rPr>
      </w:pPr>
      <w:r>
        <w:rPr>
          <w:rFonts w:hint="eastAsia" w:eastAsia="黑体" w:cs="Times New Roman"/>
          <w:sz w:val="32"/>
          <w:szCs w:val="32"/>
          <w:lang w:val="en-US" w:eastAsia="zh-CN"/>
        </w:rPr>
        <w:t>五</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主要经验及做法、存在的问题及原因分析</w:t>
      </w:r>
    </w:p>
    <w:p>
      <w:pPr>
        <w:spacing w:line="560" w:lineRule="exact"/>
        <w:ind w:firstLine="627" w:firstLineChars="200"/>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pPr>
        <w:pStyle w:val="11"/>
        <w:pageBreakBefore w:val="0"/>
        <w:kinsoku/>
        <w:wordWrap/>
        <w:overflowPunct/>
        <w:topLinePunct w:val="0"/>
        <w:autoSpaceDE/>
        <w:autoSpaceDN/>
        <w:bidi w:val="0"/>
        <w:adjustRightInd/>
        <w:snapToGrid/>
        <w:spacing w:before="0" w:after="0" w:line="560" w:lineRule="exact"/>
        <w:ind w:firstLine="640" w:firstLineChars="200"/>
        <w:jc w:val="left"/>
        <w:textAlignment w:val="auto"/>
        <w:rPr>
          <w:rFonts w:hint="default" w:ascii="仿宋_GB2312" w:hAnsi="仿宋_GB2312" w:eastAsia="仿宋_GB2312" w:cs="仿宋_GB2312"/>
          <w:b w:val="0"/>
          <w:bCs w:val="0"/>
          <w:kern w:val="0"/>
          <w:sz w:val="32"/>
          <w:szCs w:val="32"/>
          <w:highlight w:val="none"/>
          <w:lang w:val="en-US" w:eastAsia="zh-CN" w:bidi="ar-SA"/>
        </w:rPr>
      </w:pPr>
      <w:r>
        <w:rPr>
          <w:rFonts w:hint="default" w:ascii="仿宋_GB2312" w:hAnsi="仿宋_GB2312" w:eastAsia="仿宋_GB2312" w:cs="仿宋_GB2312"/>
          <w:b w:val="0"/>
          <w:bCs w:val="0"/>
          <w:kern w:val="0"/>
          <w:sz w:val="32"/>
          <w:szCs w:val="32"/>
          <w:highlight w:val="none"/>
          <w:lang w:val="en-US" w:eastAsia="zh-CN" w:bidi="ar-SA"/>
        </w:rPr>
        <w:t>1.项目规划与实施阶段：为保障项目顺利推进，预先精心制定项目规划，并对所列计划进行反复审核。项目实施过程中，依据项目管理规范，开展定期监督检查，确保项目按要求执行。</w:t>
      </w:r>
    </w:p>
    <w:p>
      <w:pPr>
        <w:pStyle w:val="11"/>
        <w:pageBreakBefore w:val="0"/>
        <w:kinsoku/>
        <w:wordWrap/>
        <w:overflowPunct/>
        <w:topLinePunct w:val="0"/>
        <w:autoSpaceDE/>
        <w:autoSpaceDN/>
        <w:bidi w:val="0"/>
        <w:adjustRightInd/>
        <w:snapToGrid/>
        <w:spacing w:before="0" w:after="0" w:line="560" w:lineRule="exact"/>
        <w:ind w:firstLine="640" w:firstLineChars="200"/>
        <w:jc w:val="left"/>
        <w:textAlignment w:val="auto"/>
        <w:rPr>
          <w:rFonts w:hint="default" w:ascii="仿宋_GB2312" w:hAnsi="仿宋_GB2312" w:eastAsia="仿宋_GB2312" w:cs="仿宋_GB2312"/>
          <w:b w:val="0"/>
          <w:bCs w:val="0"/>
          <w:kern w:val="0"/>
          <w:sz w:val="32"/>
          <w:szCs w:val="32"/>
          <w:highlight w:val="none"/>
          <w:lang w:val="en-US" w:eastAsia="zh-CN" w:bidi="ar-SA"/>
        </w:rPr>
      </w:pPr>
      <w:r>
        <w:rPr>
          <w:rFonts w:hint="default" w:ascii="仿宋_GB2312" w:hAnsi="仿宋_GB2312" w:eastAsia="仿宋_GB2312" w:cs="仿宋_GB2312"/>
          <w:b w:val="0"/>
          <w:bCs w:val="0"/>
          <w:kern w:val="0"/>
          <w:sz w:val="32"/>
          <w:szCs w:val="32"/>
          <w:highlight w:val="none"/>
          <w:lang w:val="en-US" w:eastAsia="zh-CN" w:bidi="ar-SA"/>
        </w:rPr>
        <w:t>2.资金管理环节：在项目资金使用时，严格落实把关工作，依据项目资金使用范围做好审核，保证项目资金切实落实到相关事项，发挥资金效益。同时，严格遵循“先做事、后验收、再拨付”的原则，杜绝资金被挤占和挪用现象，并且跟踪检查到位。</w:t>
      </w:r>
    </w:p>
    <w:p>
      <w:pPr>
        <w:keepNext/>
        <w:keepLines/>
        <w:pageBreakBefore w:val="0"/>
        <w:numPr>
          <w:ilvl w:val="0"/>
          <w:numId w:val="4"/>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存在的问题及原因分析</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1.绩效管理专业知识与指标设置问题：</w:t>
      </w:r>
      <w:r>
        <w:rPr>
          <w:rFonts w:hint="eastAsia" w:eastAsia="仿宋_GB2312" w:cs="Times New Roman"/>
          <w:sz w:val="32"/>
          <w:szCs w:val="32"/>
          <w:highlight w:val="none"/>
          <w:lang w:val="en-US" w:eastAsia="zh-CN"/>
        </w:rPr>
        <w:t>一是</w:t>
      </w:r>
      <w:r>
        <w:rPr>
          <w:rFonts w:hint="default" w:ascii="Times New Roman" w:hAnsi="Times New Roman" w:eastAsia="仿宋_GB2312" w:cs="Times New Roman"/>
          <w:sz w:val="32"/>
          <w:szCs w:val="32"/>
          <w:highlight w:val="none"/>
          <w:lang w:val="en-US" w:eastAsia="zh-CN"/>
        </w:rPr>
        <w:t>专业知识不足</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相关人员对绩效管理方面专业知识的系统性学习存在欠缺。在绩效自评时，部分人员因缺乏专业知识，导致自评价工作存在自我审定的局限性，严重影响评价质量。</w:t>
      </w:r>
      <w:r>
        <w:rPr>
          <w:rFonts w:hint="eastAsia" w:eastAsia="仿宋_GB2312" w:cs="Times New Roman"/>
          <w:sz w:val="32"/>
          <w:szCs w:val="32"/>
          <w:highlight w:val="none"/>
          <w:lang w:val="en-US" w:eastAsia="zh-CN"/>
        </w:rPr>
        <w:t>二是</w:t>
      </w:r>
      <w:r>
        <w:rPr>
          <w:rFonts w:hint="default" w:ascii="Times New Roman" w:hAnsi="Times New Roman" w:eastAsia="仿宋_GB2312" w:cs="Times New Roman"/>
          <w:sz w:val="32"/>
          <w:szCs w:val="32"/>
          <w:highlight w:val="none"/>
          <w:lang w:val="en-US" w:eastAsia="zh-CN"/>
        </w:rPr>
        <w:t>指标设置待优化</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各项绩效指标的设置不够完善，尤其在细化和量化方面亟需改进，这也对绩效管理工作的准确性和有效性造成影响。</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2.人员流动导致工作衔接问题：由于单位内部存在轮岗、调动等情况，致使绩效工作人员变动频繁。新老人员工作交接不顺畅，造成工作衔接不到位，阻碍了绩效管理工作的连续性和稳定性。</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eastAsia" w:eastAsia="黑体" w:cs="Times New Roman"/>
          <w:sz w:val="32"/>
          <w:szCs w:val="32"/>
          <w:lang w:val="en-US" w:eastAsia="zh-CN"/>
        </w:rPr>
        <w:t>六</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rPr>
        <w:t>有关建议</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1.强化专业培训</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积极组织由第三方开展的绩效管理工作培训，增加培训频次，帮助单位绩效工作人员系统学习绩效管理知识，夯实业务基础，切实提高其工作水平。</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2.完善人员管理制度</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制定针对绩效工作人员的定职、定岗、定责制度措施，确保岗位稳定、职责清晰，保障绩效管理工作的连贯性，进一步提升单位绩效管理业务水平。</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3.规范项目建设流程</w:t>
      </w:r>
      <w:r>
        <w:rPr>
          <w:rFonts w:hint="eastAsia" w:eastAsia="仿宋_GB2312" w:cs="Times New Roman"/>
          <w:sz w:val="32"/>
          <w:szCs w:val="32"/>
          <w:highlight w:val="none"/>
          <w:lang w:val="en-US" w:eastAsia="zh-CN"/>
        </w:rPr>
        <w:t>。一是</w:t>
      </w:r>
      <w:r>
        <w:rPr>
          <w:rFonts w:hint="default" w:ascii="Times New Roman" w:hAnsi="Times New Roman" w:eastAsia="仿宋_GB2312" w:cs="Times New Roman"/>
          <w:sz w:val="32"/>
          <w:szCs w:val="32"/>
          <w:highlight w:val="none"/>
          <w:lang w:val="en-US" w:eastAsia="zh-CN"/>
        </w:rPr>
        <w:t>前期充分论证：项目前期认真做好可行性研究报告，深入分析项目的可行性与潜在风险。</w:t>
      </w:r>
      <w:r>
        <w:rPr>
          <w:rFonts w:hint="eastAsia" w:eastAsia="仿宋_GB2312" w:cs="Times New Roman"/>
          <w:sz w:val="32"/>
          <w:szCs w:val="32"/>
          <w:highlight w:val="none"/>
          <w:lang w:val="en-US" w:eastAsia="zh-CN"/>
        </w:rPr>
        <w:t>二是</w:t>
      </w:r>
      <w:r>
        <w:rPr>
          <w:rFonts w:hint="default" w:ascii="Times New Roman" w:hAnsi="Times New Roman" w:eastAsia="仿宋_GB2312" w:cs="Times New Roman"/>
          <w:sz w:val="32"/>
          <w:szCs w:val="32"/>
          <w:highlight w:val="none"/>
          <w:lang w:val="en-US" w:eastAsia="zh-CN"/>
        </w:rPr>
        <w:t>细化实施方案：将实施方案进一步细化，明确各阶段任务与责任主体。</w:t>
      </w:r>
      <w:r>
        <w:rPr>
          <w:rFonts w:hint="eastAsia" w:eastAsia="仿宋_GB2312" w:cs="Times New Roman"/>
          <w:sz w:val="32"/>
          <w:szCs w:val="32"/>
          <w:highlight w:val="none"/>
          <w:lang w:val="en-US" w:eastAsia="zh-CN"/>
        </w:rPr>
        <w:t>三是</w:t>
      </w:r>
      <w:r>
        <w:rPr>
          <w:rFonts w:hint="default" w:ascii="Times New Roman" w:hAnsi="Times New Roman" w:eastAsia="仿宋_GB2312" w:cs="Times New Roman"/>
          <w:sz w:val="32"/>
          <w:szCs w:val="32"/>
          <w:highlight w:val="none"/>
          <w:lang w:val="en-US" w:eastAsia="zh-CN"/>
        </w:rPr>
        <w:t>严格资金管理：严格执行资金管理办法和财政资金管理制度，保障资金使用合规、透明。</w:t>
      </w:r>
      <w:r>
        <w:rPr>
          <w:rFonts w:hint="eastAsia" w:eastAsia="仿宋_GB2312" w:cs="Times New Roman"/>
          <w:sz w:val="32"/>
          <w:szCs w:val="32"/>
          <w:highlight w:val="none"/>
          <w:lang w:val="en-US" w:eastAsia="zh-CN"/>
        </w:rPr>
        <w:t>四是</w:t>
      </w:r>
      <w:r>
        <w:rPr>
          <w:rFonts w:hint="default" w:ascii="Times New Roman" w:hAnsi="Times New Roman" w:eastAsia="仿宋_GB2312" w:cs="Times New Roman"/>
          <w:sz w:val="32"/>
          <w:szCs w:val="32"/>
          <w:highlight w:val="none"/>
          <w:lang w:val="en-US" w:eastAsia="zh-CN"/>
        </w:rPr>
        <w:t>依规推进项目：严格依照项目实施方案、招投标管理办法等有序推进工作，各部门单位根据项目特点及时总结经验教训。</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4.优化项目评价资料管理与后续跟踪</w:t>
      </w:r>
      <w:r>
        <w:rPr>
          <w:rFonts w:hint="eastAsia" w:eastAsia="仿宋_GB2312" w:cs="Times New Roman"/>
          <w:sz w:val="32"/>
          <w:szCs w:val="32"/>
          <w:highlight w:val="none"/>
          <w:lang w:val="en-US" w:eastAsia="zh-CN"/>
        </w:rPr>
        <w:t>。一是</w:t>
      </w:r>
      <w:r>
        <w:rPr>
          <w:rFonts w:hint="default" w:ascii="Times New Roman" w:hAnsi="Times New Roman" w:eastAsia="仿宋_GB2312" w:cs="Times New Roman"/>
          <w:sz w:val="32"/>
          <w:szCs w:val="32"/>
          <w:highlight w:val="none"/>
          <w:lang w:val="en-US" w:eastAsia="zh-CN"/>
        </w:rPr>
        <w:t>规范资料流程：从项目启动时就同步做好数据和资料的收集、整理、审核及分析工作，及时归纳整理档案，确保资料健全。</w:t>
      </w:r>
      <w:r>
        <w:rPr>
          <w:rFonts w:hint="eastAsia" w:eastAsia="仿宋_GB2312" w:cs="Times New Roman"/>
          <w:sz w:val="32"/>
          <w:szCs w:val="32"/>
          <w:highlight w:val="none"/>
          <w:lang w:val="en-US" w:eastAsia="zh-CN"/>
        </w:rPr>
        <w:t>二是</w:t>
      </w:r>
      <w:r>
        <w:rPr>
          <w:rFonts w:hint="default" w:ascii="Times New Roman" w:hAnsi="Times New Roman" w:eastAsia="仿宋_GB2312" w:cs="Times New Roman"/>
          <w:sz w:val="32"/>
          <w:szCs w:val="32"/>
          <w:highlight w:val="none"/>
          <w:lang w:val="en-US" w:eastAsia="zh-CN"/>
        </w:rPr>
        <w:t>加强后续管理：加大对项目后续管理的力度并持续跟踪，保障项目长期发挥效益。</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eastAsia" w:eastAsia="黑体" w:cs="Times New Roman"/>
          <w:sz w:val="32"/>
          <w:szCs w:val="32"/>
          <w:lang w:val="en-US" w:eastAsia="zh-CN"/>
        </w:rPr>
        <w:t>七</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其他需要说</w:t>
      </w:r>
      <w:bookmarkStart w:id="0" w:name="page8"/>
      <w:bookmarkEnd w:id="0"/>
      <w:r>
        <w:rPr>
          <w:rFonts w:hint="default" w:ascii="Times New Roman" w:hAnsi="Times New Roman" w:eastAsia="黑体" w:cs="Times New Roman"/>
          <w:sz w:val="32"/>
          <w:szCs w:val="32"/>
        </w:rPr>
        <w:t>明的问题</w:t>
      </w:r>
    </w:p>
    <w:p>
      <w:pPr>
        <w:pStyle w:val="14"/>
        <w:pageBreakBefore w:val="0"/>
        <w:kinsoku/>
        <w:wordWrap/>
        <w:overflowPunct/>
        <w:topLinePunct w:val="0"/>
        <w:autoSpaceDE/>
        <w:autoSpaceDN/>
        <w:bidi w:val="0"/>
        <w:adjustRightInd/>
        <w:snapToGrid/>
        <w:spacing w:after="0" w:line="560" w:lineRule="exact"/>
        <w:ind w:left="0" w:leftChars="0" w:firstLine="640"/>
        <w:textAlignment w:val="auto"/>
        <w:rPr>
          <w:rFonts w:hint="default" w:ascii="Times New Roman" w:hAnsi="Times New Roman" w:eastAsia="仿宋_GB2312" w:cs="Times New Roman"/>
          <w:sz w:val="32"/>
          <w:szCs w:val="32"/>
          <w:lang w:eastAsia="zh-Hans"/>
        </w:rPr>
      </w:pPr>
      <w:r>
        <w:rPr>
          <w:rFonts w:hint="default" w:ascii="Times New Roman" w:hAnsi="Times New Roman" w:eastAsia="仿宋_GB2312" w:cs="Times New Roman"/>
          <w:sz w:val="32"/>
          <w:szCs w:val="32"/>
          <w:lang w:eastAsia="zh-Hans"/>
        </w:rPr>
        <w:t>本项目无其他需说明的问题。</w:t>
      </w:r>
    </w:p>
    <w:p>
      <w:pPr>
        <w:pStyle w:val="14"/>
        <w:pageBreakBefore w:val="0"/>
        <w:kinsoku/>
        <w:wordWrap/>
        <w:overflowPunct/>
        <w:topLinePunct w:val="0"/>
        <w:autoSpaceDE/>
        <w:autoSpaceDN/>
        <w:bidi w:val="0"/>
        <w:adjustRightInd/>
        <w:snapToGrid/>
        <w:spacing w:after="0" w:line="560" w:lineRule="exact"/>
        <w:ind w:left="0" w:leftChars="0" w:firstLine="640"/>
        <w:textAlignment w:val="auto"/>
        <w:rPr>
          <w:rFonts w:hint="eastAsia" w:ascii="Times New Roman" w:hAnsi="Times New Roman" w:eastAsia="仿宋_GB2312" w:cs="Times New Roman"/>
          <w:sz w:val="32"/>
          <w:szCs w:val="32"/>
          <w:lang w:eastAsia="zh-CN"/>
        </w:rPr>
      </w:pPr>
    </w:p>
    <w:p>
      <w:pPr>
        <w:pStyle w:val="14"/>
        <w:spacing w:after="0" w:line="560" w:lineRule="exact"/>
        <w:ind w:left="0" w:leftChars="0" w:firstLine="640"/>
        <w:rPr>
          <w:rFonts w:hint="eastAsia" w:ascii="Times New Roman" w:hAnsi="Times New Roman" w:eastAsia="仿宋_GB2312" w:cs="Times New Roman"/>
          <w:sz w:val="32"/>
          <w:szCs w:val="32"/>
          <w:lang w:eastAsia="zh-CN"/>
        </w:rPr>
      </w:pPr>
    </w:p>
    <w:p>
      <w:pPr>
        <w:spacing w:line="600" w:lineRule="exact"/>
        <w:rPr>
          <w:rFonts w:hint="eastAsia" w:ascii="Times New Roman" w:hAnsi="Times New Roman" w:eastAsia="黑体" w:cs="Times New Roman"/>
          <w:sz w:val="32"/>
          <w:szCs w:val="32"/>
          <w:lang w:val="en-US" w:eastAsia="zh-CN"/>
        </w:rPr>
        <w:sectPr>
          <w:footerReference r:id="rId3" w:type="default"/>
          <w:pgSz w:w="11906" w:h="16838"/>
          <w:pgMar w:top="1440" w:right="1558" w:bottom="1440" w:left="1800" w:header="851" w:footer="992" w:gutter="0"/>
          <w:pgNumType w:start="1"/>
          <w:cols w:space="425" w:num="1"/>
          <w:docGrid w:type="lines" w:linePitch="312" w:charSpace="0"/>
        </w:sectPr>
      </w:pPr>
    </w:p>
    <w:p>
      <w:pPr>
        <w:spacing w:line="600" w:lineRule="exact"/>
        <w:rPr>
          <w:rFonts w:hint="default"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1</w:t>
      </w:r>
    </w:p>
    <w:p>
      <w:pPr>
        <w:pStyle w:val="20"/>
        <w:ind w:firstLine="562"/>
        <w:jc w:val="center"/>
        <w:rPr>
          <w:rFonts w:hint="eastAsia" w:ascii="仿宋_GB2312" w:hAnsi="仿宋_GB2312" w:eastAsia="仿宋_GB2312" w:cs="仿宋_GB2312"/>
          <w:sz w:val="28"/>
          <w:szCs w:val="40"/>
        </w:rPr>
      </w:pPr>
      <w:bookmarkStart w:id="1" w:name="_Toc30064_WPSOffice_Level1"/>
      <w:bookmarkStart w:id="2" w:name="_Toc26499_WPSOffice_Level2"/>
      <w:r>
        <w:rPr>
          <w:rFonts w:hint="eastAsia" w:ascii="仿宋_GB2312" w:hAnsi="仿宋_GB2312" w:eastAsia="仿宋_GB2312" w:cs="仿宋_GB2312"/>
          <w:b/>
          <w:bCs/>
          <w:sz w:val="28"/>
          <w:szCs w:val="40"/>
          <w:highlight w:val="none"/>
        </w:rPr>
        <w:t>生态环境监察项目绩效评价指标</w:t>
      </w:r>
      <w:r>
        <w:rPr>
          <w:rFonts w:hint="eastAsia" w:ascii="仿宋_GB2312" w:hAnsi="仿宋_GB2312" w:eastAsia="仿宋_GB2312" w:cs="仿宋_GB2312"/>
          <w:b/>
          <w:bCs/>
          <w:sz w:val="28"/>
          <w:szCs w:val="40"/>
        </w:rPr>
        <w:t>体系及综合评分表</w:t>
      </w:r>
      <w:bookmarkEnd w:id="1"/>
      <w:bookmarkEnd w:id="2"/>
    </w:p>
    <w:tbl>
      <w:tblPr>
        <w:tblStyle w:val="15"/>
        <w:tblW w:w="12683"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04"/>
        <w:gridCol w:w="1000"/>
        <w:gridCol w:w="1071"/>
        <w:gridCol w:w="1726"/>
        <w:gridCol w:w="5216"/>
        <w:gridCol w:w="1300"/>
        <w:gridCol w:w="1366"/>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52" w:hRule="atLeast"/>
          <w:tblHeader/>
          <w:jc w:val="center"/>
        </w:trPr>
        <w:tc>
          <w:tcPr>
            <w:tcW w:w="1004"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一级指标</w:t>
            </w: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二级指标</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三级指标</w:t>
            </w:r>
          </w:p>
        </w:tc>
        <w:tc>
          <w:tcPr>
            <w:tcW w:w="172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指标解释</w:t>
            </w:r>
          </w:p>
        </w:tc>
        <w:tc>
          <w:tcPr>
            <w:tcW w:w="521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指标说明</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权重</w:t>
            </w:r>
          </w:p>
        </w:tc>
        <w:tc>
          <w:tcPr>
            <w:tcW w:w="136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919" w:hRule="atLeast"/>
          <w:jc w:val="center"/>
        </w:trPr>
        <w:tc>
          <w:tcPr>
            <w:tcW w:w="1004"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决策　</w:t>
            </w: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立项依据</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充分性</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项目立项是否符合法律法规、相关政策、发展规划以及部门职责，用以反映和考核项目立项依据情况。</w:t>
            </w:r>
          </w:p>
        </w:tc>
        <w:tc>
          <w:tcPr>
            <w:tcW w:w="5216" w:type="dxa"/>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①项目立项是否符合国家法律法规、国民经济发展规划和相关政策；</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②项目立项是否符合行业发展规划和政策要求；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③项目立项是否与部门职责范围相符，属于部门履职所需；</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④项目是否属于公共财政支持范围，是否符合中央、地方事权支出责任划分原则；</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⑤项目是否与相关部门同类项目或部门内部相关项目重复。</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90"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立项程序</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规范性</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项目申请、设立过程是否符合相关要求，用以反映和考核项目立项的规范情况。</w:t>
            </w:r>
          </w:p>
        </w:tc>
        <w:tc>
          <w:tcPr>
            <w:tcW w:w="5216" w:type="dxa"/>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①项目是否按照规定的程序申请设立；</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②审批文件、材料是否符合相关要求；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③事前是否已经过必要的可行性研究、专家论证、风险评估、绩效评估、集体决策。</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90"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项目所设定的绩效目标是否依据充分，是否符合客观实际，用以反映和考核项目绩效目标与项目实施的相符情况。</w:t>
            </w:r>
          </w:p>
        </w:tc>
        <w:tc>
          <w:tcPr>
            <w:tcW w:w="5216" w:type="dxa"/>
            <w:shd w:val="clear" w:color="000000"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（如未设定预算绩效目标，也可考核其他工作任务目标）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①项目是否有绩效目标；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②项目绩效目标与实际工作内容是否具有相关性；</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③项目预期产出效益和效果是否符合正常的业绩水平；</w:t>
            </w:r>
          </w:p>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④是否与预算确定的项目投资额或资金量相匹配。</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64"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绩效指标</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明确性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依据绩效目标设定的绩效指标是否清晰、细化、可衡量等，用以反映和考核项目绩效目标的明细化情况。</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①是否将项目绩效目标细化分解为具体的绩效指标；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②是否通过清晰、可衡量的指标值予以体现；</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③是否与项目目标任务数或计划数相对应。</w:t>
            </w:r>
            <w:r>
              <w:rPr>
                <w:rFonts w:hint="default" w:ascii="Times New Roman" w:hAnsi="Times New Roman" w:eastAsia="仿宋_GB2312" w:cs="Times New Roman"/>
                <w:color w:val="000000"/>
                <w:kern w:val="0"/>
                <w:sz w:val="18"/>
                <w:szCs w:val="18"/>
              </w:rPr>
              <w:br w:type="textWrapping"/>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42"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资金投入</w:t>
            </w: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预算编制</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科学性</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项目预算编制是否经过科学论证、有明确标准，资金额度与年度目标是否相适应，用以反映和考核项目预算编制的科学性、合理性情况。</w:t>
            </w:r>
          </w:p>
        </w:tc>
        <w:tc>
          <w:tcPr>
            <w:tcW w:w="521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①预算编制是否经过科学论证；</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②预算内容与项目内容是否匹配；</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③预算额度测算依据是否充分，是否按照标准编制；</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④预算确定的项目投资额或资金量是否与工作任务相匹配。</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06"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资金分配</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项目预算资金分配是否有测算依据，与补助单位或地方实际是否相适应，用以反映和考核项目预算资金分配的科学性、合理性情况。</w:t>
            </w:r>
          </w:p>
        </w:tc>
        <w:tc>
          <w:tcPr>
            <w:tcW w:w="521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①预算资金分配依据是否充分；</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②资金分配额度是否合理，与项目单位或地方实际是否相适应。</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15" w:hRule="atLeast"/>
          <w:jc w:val="center"/>
        </w:trPr>
        <w:tc>
          <w:tcPr>
            <w:tcW w:w="1004" w:type="dxa"/>
            <w:vMerge w:val="restart"/>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过程</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实际到位资金与预算资金的比率，用以反映和考核资金落实情况对项目实施的总体保障程度。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资金到位率=（实际到位资金/预算资金）×100%。</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实际到位资金：一定时期（本年度或项目期）内落实到具体项目的资金。</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预算资金：一定时期（本年度或项目期）内预算安排到具体项目的资金。</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320"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项目预算资金是否按照计划执行，用以反映或考核项目预算执行情况。</w:t>
            </w:r>
          </w:p>
        </w:tc>
        <w:tc>
          <w:tcPr>
            <w:tcW w:w="521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预算执行率=（实际支出资金/实际到位资金）×100%。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实际支出资金：一定时期（本年度或项目期）内项目实际拨付的资金。</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ascii="Times New Roman" w:hAnsi="Times New Roman" w:eastAsia="仿宋_GB2312" w:cs="Times New Roman"/>
                <w:b/>
                <w:bCs/>
                <w:color w:val="000000"/>
                <w:kern w:val="0"/>
                <w:sz w:val="18"/>
                <w:szCs w:val="18"/>
                <w:lang w:val="en-US" w:eastAsia="zh-CN"/>
              </w:rPr>
              <w:t>3.37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资金使用</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合规性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项目资金使用是否符合相关的财务管理制度规定，用以反映和考核项目资金的规范运行情况。</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①是否符合国家财经法规和财务管理制度以及有关专项资金管理办法的规定；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②资金的拨付是否有完整的审批程序和手续；</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③是否符合项目预算批复或合同规定的用途；</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④是否存在截留、挤占、挪用、虚列支出等情况。</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97"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组织实施</w:t>
            </w: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管理制度</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健全性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项目实施单位的财务和业务管理制度是否健全，用以反映和考核财务和业务管理制度对项目顺利实施的保障情况。</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①是否已制定或具有相应的财务和业务管理制度；</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②财务和业务管理制度是否合法、合规、完整。</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69"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制度执行</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有效性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项目实施是否符合相关管理规定，用以反映和考核相关管理制度的有效执行情况。</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①是否遵守相关法律法规和相关管理规定；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②项目调整及支出调整手续是否完备；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③项目合同书、验收报告、技术鉴定等资料是否齐全并及时归档；</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④项目实施的人员条件、场地设备、信息支撑等是否落实到位。</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7" w:hRule="atLeast"/>
          <w:jc w:val="center"/>
        </w:trPr>
        <w:tc>
          <w:tcPr>
            <w:tcW w:w="1004"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w:t>
            </w: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产出数量</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项目实施的实际产出数与计划产出数的比率，用以反映和考核项目产出数量目标的实现程度。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实际完成率=（实际产出数/计划产出数）×100%。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实际产出数：一定时期（本年度或项目期）内项目实际产出的产品或提供的服务数量。</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计划产出数：项目绩效目标确定的在一定时期（本年度或项目期）内计划产出的产品或提供的服务数量。</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18"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产出质量</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项目完成的质量达标产出数与实际产出数的比率，用以反映和考核项目产出质量目标的实现程度。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质量达标率=（质量达标产出数/实际产出数）×100%。</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506"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产出时效</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完成及时性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项目实际完成时间与计划完成时间的比较，用以反映和考核项目产出时效目标的实现程度。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实际完成时间：项目实施单位完成该项目实际所耗用的时间。</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计划完成时间：按照项目实施计划或相关规定完成该项目所需的时间。</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产出成本</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成本节约率</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完成项目计划工作目标的实际节约成本与计划成本的比率，用以反映和考核项目的成本节约程度。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成本节约率=[（计划成本-实际成本）/计划成本]×100%。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实际成本：项目实施单位如期、保质、保量完成既定工作目标实际所耗费的支出。</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计划成本：项目实施单位为完成工作目标计划安排的支出，一般以项目预算为参考。</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89" w:hRule="atLeast"/>
          <w:jc w:val="center"/>
        </w:trPr>
        <w:tc>
          <w:tcPr>
            <w:tcW w:w="1004"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效益　</w:t>
            </w: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项目效益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实施效益</w:t>
            </w:r>
          </w:p>
        </w:tc>
        <w:tc>
          <w:tcPr>
            <w:tcW w:w="1726" w:type="dxa"/>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项目实施所产生的效益。</w:t>
            </w:r>
          </w:p>
        </w:tc>
        <w:tc>
          <w:tcPr>
            <w:tcW w:w="521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项目实施所产生的社会效益、经济效益、生态效益、可持续影响等。可根据项目实际情况有选择地设置和细化。</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137"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满意度</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社会公众或服务对象对项目实施效果的满意程度。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社会公众或服务对象是指因该项目实施而受到影响的部门（单位）、群体或个人。一般采取社会调查的方式。</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bl>
    <w:p>
      <w:pPr>
        <w:rPr>
          <w:rFonts w:hint="default" w:ascii="Times New Roman" w:hAnsi="Times New Roman" w:cs="Times New Roman"/>
        </w:rPr>
        <w:sectPr>
          <w:pgSz w:w="16838" w:h="11906" w:orient="landscape"/>
          <w:pgMar w:top="1800" w:right="1440" w:bottom="1558" w:left="1440" w:header="851" w:footer="992" w:gutter="0"/>
          <w:cols w:space="425" w:num="1"/>
          <w:docGrid w:type="lines" w:linePitch="312" w:charSpace="0"/>
        </w:sectPr>
      </w:pPr>
    </w:p>
    <w:p>
      <w:pP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2</w:t>
      </w:r>
    </w:p>
    <w:tbl>
      <w:tblPr>
        <w:tblStyle w:val="15"/>
        <w:tblW w:w="13940"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22"/>
        <w:gridCol w:w="780"/>
        <w:gridCol w:w="854"/>
        <w:gridCol w:w="2030"/>
        <w:gridCol w:w="897"/>
        <w:gridCol w:w="759"/>
        <w:gridCol w:w="834"/>
        <w:gridCol w:w="898"/>
        <w:gridCol w:w="898"/>
        <w:gridCol w:w="1004"/>
        <w:gridCol w:w="886"/>
        <w:gridCol w:w="1141"/>
        <w:gridCol w:w="1014"/>
        <w:gridCol w:w="142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31" w:hRule="atLeast"/>
        </w:trPr>
        <w:tc>
          <w:tcPr>
            <w:tcW w:w="13940"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4" w:hRule="atLeast"/>
        </w:trPr>
        <w:tc>
          <w:tcPr>
            <w:tcW w:w="13940"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4" w:hRule="atLeast"/>
        </w:trPr>
        <w:tc>
          <w:tcPr>
            <w:tcW w:w="13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项目名称</w:t>
            </w:r>
          </w:p>
        </w:tc>
        <w:tc>
          <w:tcPr>
            <w:tcW w:w="12638"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生态环境监察项目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4" w:hRule="atLeast"/>
        </w:trPr>
        <w:tc>
          <w:tcPr>
            <w:tcW w:w="13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主管部门</w:t>
            </w:r>
          </w:p>
        </w:tc>
        <w:tc>
          <w:tcPr>
            <w:tcW w:w="537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新疆维吾尔自治区生态环境厅</w:t>
            </w:r>
          </w:p>
        </w:tc>
        <w:tc>
          <w:tcPr>
            <w:tcW w:w="17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实施单位</w:t>
            </w:r>
          </w:p>
        </w:tc>
        <w:tc>
          <w:tcPr>
            <w:tcW w:w="546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新疆维吾尔自治区生态环境厅第二生态环境监察专员办公室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0" w:hRule="atLeast"/>
        </w:trPr>
        <w:tc>
          <w:tcPr>
            <w:tcW w:w="130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项目资金</w:t>
            </w:r>
            <w:r>
              <w:rPr>
                <w:rFonts w:hint="eastAsia" w:ascii="宋体" w:hAnsi="宋体" w:eastAsia="宋体" w:cs="宋体"/>
                <w:b/>
                <w:bCs/>
                <w:i w:val="0"/>
                <w:iCs w:val="0"/>
                <w:color w:val="000000"/>
                <w:kern w:val="0"/>
                <w:sz w:val="18"/>
                <w:szCs w:val="18"/>
                <w:u w:val="none"/>
                <w:lang w:val="en-US" w:eastAsia="zh-CN" w:bidi="ar"/>
              </w:rPr>
              <w:br w:type="textWrapping"/>
            </w:r>
            <w:r>
              <w:rPr>
                <w:rFonts w:hint="eastAsia" w:ascii="宋体" w:hAnsi="宋体" w:eastAsia="宋体" w:cs="宋体"/>
                <w:b/>
                <w:bCs/>
                <w:i w:val="0"/>
                <w:iCs w:val="0"/>
                <w:color w:val="000000"/>
                <w:kern w:val="0"/>
                <w:sz w:val="18"/>
                <w:szCs w:val="18"/>
                <w:u w:val="none"/>
                <w:lang w:val="en-US" w:eastAsia="zh-CN" w:bidi="ar"/>
              </w:rPr>
              <w:t>（万元）</w:t>
            </w:r>
          </w:p>
        </w:tc>
        <w:tc>
          <w:tcPr>
            <w:tcW w:w="28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年初预算数</w:t>
            </w:r>
          </w:p>
        </w:tc>
        <w:tc>
          <w:tcPr>
            <w:tcW w:w="15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全年预算数</w:t>
            </w:r>
          </w:p>
        </w:tc>
        <w:tc>
          <w:tcPr>
            <w:tcW w:w="17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全年执行数</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分值</w:t>
            </w: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执行率</w:t>
            </w:r>
          </w:p>
        </w:tc>
        <w:tc>
          <w:tcPr>
            <w:tcW w:w="14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4" w:hRule="atLeast"/>
        </w:trPr>
        <w:tc>
          <w:tcPr>
            <w:tcW w:w="130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8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年度资金总额</w:t>
            </w: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90.00</w:t>
            </w:r>
          </w:p>
        </w:tc>
        <w:tc>
          <w:tcPr>
            <w:tcW w:w="15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90.00</w:t>
            </w:r>
          </w:p>
        </w:tc>
        <w:tc>
          <w:tcPr>
            <w:tcW w:w="17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75.89</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84.32%</w:t>
            </w:r>
          </w:p>
        </w:tc>
        <w:tc>
          <w:tcPr>
            <w:tcW w:w="14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4" w:hRule="atLeast"/>
        </w:trPr>
        <w:tc>
          <w:tcPr>
            <w:tcW w:w="130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8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其中：当年财政拨款</w:t>
            </w: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90.00</w:t>
            </w:r>
          </w:p>
        </w:tc>
        <w:tc>
          <w:tcPr>
            <w:tcW w:w="15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90.00</w:t>
            </w:r>
          </w:p>
        </w:tc>
        <w:tc>
          <w:tcPr>
            <w:tcW w:w="17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75.89</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4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4" w:hRule="atLeast"/>
        </w:trPr>
        <w:tc>
          <w:tcPr>
            <w:tcW w:w="130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8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 xml:space="preserve">  其他资金</w:t>
            </w: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5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7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4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4" w:hRule="atLeast"/>
        </w:trPr>
        <w:tc>
          <w:tcPr>
            <w:tcW w:w="5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年度总体目标</w:t>
            </w:r>
          </w:p>
        </w:tc>
        <w:tc>
          <w:tcPr>
            <w:tcW w:w="615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预期目标</w:t>
            </w:r>
          </w:p>
        </w:tc>
        <w:tc>
          <w:tcPr>
            <w:tcW w:w="726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132" w:hRule="atLeast"/>
        </w:trPr>
        <w:tc>
          <w:tcPr>
            <w:tcW w:w="5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615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根据生态环境监察专员办公室职责，2024年第二专员办将紧紧围绕生态环境保护年度监察目标任务，配合做好中央、自治区生态环境保护督察反馈问题整改落实工作以及新一轮自治区生态环境保护督察工作；同时，围绕昌吉、阿勒泰两地州重点生态环境领域突出问题做好日常派驻监察，在此基础上推进昌吉州大气污染防治等专项调研检查，不断促进辖区生态环境保护质量持续改善。覆盖生态环境监察区域2个，形成督察检查专项报告4次，监察频次4次，报告质量通过率和区域覆盖率达到100%。持续开展生态环境保护监察、督察工作，不断构建新型生态环境保护监察体系。</w:t>
            </w:r>
          </w:p>
        </w:tc>
        <w:tc>
          <w:tcPr>
            <w:tcW w:w="726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年度已按要求配合做好中央、自治区生态环境保护督察反馈问题整改落实工作4轮次，配合完成自治区生态环境保护督察工作3轮次；针对昌吉州、阿勒泰地区形成督察检查专项报告4次，监察频次4次，报告质量通过率和区域覆盖率达到100%；开展阿勒泰地区自治区生态环境督察。通过持续开展生态环境保护监察、督察工作，新型生态环境保护监察体系不断提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5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一级指标</w:t>
            </w:r>
          </w:p>
        </w:tc>
        <w:tc>
          <w:tcPr>
            <w:tcW w:w="85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二级指标</w:t>
            </w:r>
          </w:p>
        </w:tc>
        <w:tc>
          <w:tcPr>
            <w:tcW w:w="20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三级指标</w:t>
            </w:r>
          </w:p>
        </w:tc>
        <w:tc>
          <w:tcPr>
            <w:tcW w:w="8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权重</w:t>
            </w:r>
          </w:p>
        </w:tc>
        <w:tc>
          <w:tcPr>
            <w:tcW w:w="7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目标值</w:t>
            </w:r>
          </w:p>
        </w:tc>
        <w:tc>
          <w:tcPr>
            <w:tcW w:w="8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业绩值</w:t>
            </w:r>
          </w:p>
        </w:tc>
        <w:tc>
          <w:tcPr>
            <w:tcW w:w="8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完成率</w:t>
            </w:r>
          </w:p>
        </w:tc>
        <w:tc>
          <w:tcPr>
            <w:tcW w:w="8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指标得分</w:t>
            </w:r>
          </w:p>
        </w:tc>
        <w:tc>
          <w:tcPr>
            <w:tcW w:w="10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指标值设定依据</w:t>
            </w:r>
          </w:p>
        </w:tc>
        <w:tc>
          <w:tcPr>
            <w:tcW w:w="8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上年完成情况</w:t>
            </w:r>
          </w:p>
        </w:tc>
        <w:tc>
          <w:tcPr>
            <w:tcW w:w="11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赋分规则</w:t>
            </w:r>
          </w:p>
        </w:tc>
        <w:tc>
          <w:tcPr>
            <w:tcW w:w="10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佐证资料</w:t>
            </w:r>
          </w:p>
        </w:tc>
        <w:tc>
          <w:tcPr>
            <w:tcW w:w="14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5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8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8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7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8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8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8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1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4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0" w:hRule="atLeast"/>
        </w:trPr>
        <w:tc>
          <w:tcPr>
            <w:tcW w:w="5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年度绩效指标完成情况</w:t>
            </w: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覆盖生态环境监察区域</w:t>
            </w: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=2个</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=2个</w:t>
            </w:r>
          </w:p>
        </w:tc>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0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2个</w:t>
            </w:r>
          </w:p>
        </w:tc>
        <w:tc>
          <w:tcPr>
            <w:tcW w:w="11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直接赋分</w:t>
            </w:r>
          </w:p>
        </w:tc>
        <w:tc>
          <w:tcPr>
            <w:tcW w:w="10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14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0" w:hRule="atLeast"/>
        </w:trPr>
        <w:tc>
          <w:tcPr>
            <w:tcW w:w="5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形成监察报告（份数）</w:t>
            </w: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&gt;=4份</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=4份</w:t>
            </w:r>
          </w:p>
        </w:tc>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0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4份</w:t>
            </w:r>
          </w:p>
        </w:tc>
        <w:tc>
          <w:tcPr>
            <w:tcW w:w="11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10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14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0" w:hRule="atLeast"/>
        </w:trPr>
        <w:tc>
          <w:tcPr>
            <w:tcW w:w="5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督察(监察)频次</w:t>
            </w: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&gt;=4次</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=4次</w:t>
            </w:r>
          </w:p>
        </w:tc>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10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4次</w:t>
            </w:r>
          </w:p>
        </w:tc>
        <w:tc>
          <w:tcPr>
            <w:tcW w:w="11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10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14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0" w:hRule="atLeast"/>
        </w:trPr>
        <w:tc>
          <w:tcPr>
            <w:tcW w:w="5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报告质量通过率</w:t>
            </w: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10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1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10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14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0" w:hRule="atLeast"/>
        </w:trPr>
        <w:tc>
          <w:tcPr>
            <w:tcW w:w="5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派驻监察辖区地州覆盖率</w:t>
            </w: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0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1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10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14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0" w:hRule="atLeast"/>
        </w:trPr>
        <w:tc>
          <w:tcPr>
            <w:tcW w:w="5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2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年度督察任务按时完成率</w:t>
            </w: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0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1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10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14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0" w:hRule="atLeast"/>
        </w:trPr>
        <w:tc>
          <w:tcPr>
            <w:tcW w:w="5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2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监察结果反馈率</w:t>
            </w: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0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1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10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14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0" w:hRule="atLeast"/>
        </w:trPr>
        <w:tc>
          <w:tcPr>
            <w:tcW w:w="5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2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跟踪督办率</w:t>
            </w: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0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1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10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14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0" w:hRule="atLeast"/>
        </w:trPr>
        <w:tc>
          <w:tcPr>
            <w:tcW w:w="5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2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检查人员被投诉次数</w:t>
            </w: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&lt;=2次</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=0次</w:t>
            </w:r>
          </w:p>
        </w:tc>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0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0次</w:t>
            </w:r>
          </w:p>
        </w:tc>
        <w:tc>
          <w:tcPr>
            <w:tcW w:w="11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满意度赋分</w:t>
            </w:r>
          </w:p>
        </w:tc>
        <w:tc>
          <w:tcPr>
            <w:tcW w:w="10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14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trPr>
        <w:tc>
          <w:tcPr>
            <w:tcW w:w="4186"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总分</w:t>
            </w: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759" w:type="dxa"/>
            <w:tcBorders>
              <w:top w:val="single" w:color="000000" w:sz="4" w:space="0"/>
              <w:left w:val="nil"/>
              <w:bottom w:val="single" w:color="000000" w:sz="4" w:space="0"/>
              <w:right w:val="single" w:color="000000" w:sz="4" w:space="0"/>
            </w:tcBorders>
            <w:shd w:val="clear" w:color="auto" w:fill="auto"/>
            <w:vAlign w:val="center"/>
          </w:tcPr>
          <w:p>
            <w:pPr>
              <w:rPr>
                <w:rFonts w:hint="eastAsia" w:ascii="宋体" w:hAnsi="宋体" w:eastAsia="宋体" w:cs="宋体"/>
                <w:b/>
                <w:bCs/>
                <w:i w:val="0"/>
                <w:iCs w:val="0"/>
                <w:color w:val="000000"/>
                <w:sz w:val="18"/>
                <w:szCs w:val="18"/>
                <w:u w:val="none"/>
              </w:rPr>
            </w:pP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98.43分</w:t>
            </w:r>
          </w:p>
        </w:tc>
        <w:tc>
          <w:tcPr>
            <w:tcW w:w="100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14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1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42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bl>
    <w:p>
      <w:pPr>
        <w:rPr>
          <w:rFonts w:hint="default" w:ascii="Times New Roman" w:hAnsi="Times New Roman" w:cs="Times New Roman"/>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18B21F2-4C96-4C8F-A13C-E0CB4AEEB30E}"/>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仿宋_GB2312">
    <w:panose1 w:val="02010609030101010101"/>
    <w:charset w:val="86"/>
    <w:family w:val="modern"/>
    <w:pitch w:val="default"/>
    <w:sig w:usb0="00000001" w:usb1="080E0000" w:usb2="00000000" w:usb3="00000000" w:csb0="00040000" w:csb1="00000000"/>
    <w:embedRegular r:id="rId2" w:fontKey="{1F7F25FA-195A-443E-9B81-B32CF28FAEDC}"/>
  </w:font>
  <w:font w:name="华文中宋">
    <w:panose1 w:val="02010600040101010101"/>
    <w:charset w:val="86"/>
    <w:family w:val="auto"/>
    <w:pitch w:val="default"/>
    <w:sig w:usb0="00000287" w:usb1="080F0000" w:usb2="00000000" w:usb3="00000000" w:csb0="0004009F" w:csb1="DFD70000"/>
    <w:embedRegular r:id="rId3" w:fontKey="{F71798D1-F74C-4751-862C-79E83045A6F7}"/>
  </w:font>
  <w:font w:name="方正小标宋_GBK">
    <w:panose1 w:val="03000509000000000000"/>
    <w:charset w:val="86"/>
    <w:family w:val="script"/>
    <w:pitch w:val="default"/>
    <w:sig w:usb0="00000001" w:usb1="080E0000" w:usb2="00000000" w:usb3="00000000" w:csb0="00040000" w:csb1="00000000"/>
    <w:embedRegular r:id="rId4" w:fontKey="{E5652246-A49D-44DB-98A8-D2CFAA55C9A5}"/>
  </w:font>
  <w:font w:name="楷体_GB2312">
    <w:panose1 w:val="02010609030101010101"/>
    <w:charset w:val="86"/>
    <w:family w:val="auto"/>
    <w:pitch w:val="default"/>
    <w:sig w:usb0="00000001" w:usb1="080E0000" w:usb2="00000000" w:usb3="00000000" w:csb0="00040000" w:csb1="00000000"/>
    <w:embedRegular r:id="rId5" w:fontKey="{2B79FCFC-A93B-481A-85AF-97B05465C77A}"/>
  </w:font>
  <w:font w:name="方正仿宋_GBK">
    <w:panose1 w:val="03000509000000000000"/>
    <w:charset w:val="86"/>
    <w:family w:val="auto"/>
    <w:pitch w:val="default"/>
    <w:sig w:usb0="00000001" w:usb1="080E0000" w:usb2="00000000" w:usb3="00000000" w:csb0="00040000" w:csb1="00000000"/>
    <w:embedRegular r:id="rId6" w:fontKey="{1B721E77-B3BB-4D7B-A43C-0871306830E1}"/>
  </w:font>
  <w:font w:name="楷体">
    <w:panose1 w:val="02010609060101010101"/>
    <w:charset w:val="86"/>
    <w:family w:val="modern"/>
    <w:pitch w:val="default"/>
    <w:sig w:usb0="800002BF" w:usb1="38CF7CFA" w:usb2="00000016" w:usb3="00000000" w:csb0="00040001" w:csb1="00000000"/>
    <w:embedRegular r:id="rId7" w:fontKey="{780F21F7-C1F6-4F48-AB47-58DB144C4408}"/>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pPr>
          <w:pStyle w:val="8"/>
          <w:jc w:val="center"/>
        </w:pPr>
        <w:r>
          <w:fldChar w:fldCharType="begin"/>
        </w:r>
        <w:r>
          <w:instrText xml:space="preserve">PAGE   \* MERGEFORMAT</w:instrText>
        </w:r>
        <w:r>
          <w:fldChar w:fldCharType="separate"/>
        </w:r>
        <w:r>
          <w:rPr>
            <w:lang w:val="zh-CN"/>
          </w:rPr>
          <w:t>13</w:t>
        </w:r>
        <w:r>
          <w:fldChar w:fldCharType="end"/>
        </w:r>
      </w:p>
    </w:sdtContent>
  </w:sdt>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9379A8"/>
    <w:multiLevelType w:val="singleLevel"/>
    <w:tmpl w:val="FF9379A8"/>
    <w:lvl w:ilvl="0" w:tentative="0">
      <w:start w:val="2"/>
      <w:numFmt w:val="chineseCounting"/>
      <w:suff w:val="nothing"/>
      <w:lvlText w:val="（%1）"/>
      <w:lvlJc w:val="left"/>
      <w:rPr>
        <w:rFonts w:hint="eastAsia"/>
      </w:rPr>
    </w:lvl>
  </w:abstractNum>
  <w:abstractNum w:abstractNumId="1">
    <w:nsid w:val="116B29BF"/>
    <w:multiLevelType w:val="singleLevel"/>
    <w:tmpl w:val="116B29BF"/>
    <w:lvl w:ilvl="0" w:tentative="0">
      <w:start w:val="3"/>
      <w:numFmt w:val="chineseCounting"/>
      <w:suff w:val="nothing"/>
      <w:lvlText w:val="%1、"/>
      <w:lvlJc w:val="left"/>
      <w:rPr>
        <w:rFonts w:hint="eastAsia"/>
      </w:rPr>
    </w:lvl>
  </w:abstractNum>
  <w:abstractNum w:abstractNumId="2">
    <w:nsid w:val="27813159"/>
    <w:multiLevelType w:val="singleLevel"/>
    <w:tmpl w:val="27813159"/>
    <w:lvl w:ilvl="0" w:tentative="0">
      <w:start w:val="3"/>
      <w:numFmt w:val="chineseCounting"/>
      <w:suff w:val="nothing"/>
      <w:lvlText w:val="（%1）"/>
      <w:lvlJc w:val="left"/>
      <w:rPr>
        <w:rFonts w:hint="eastAsia"/>
      </w:rPr>
    </w:lvl>
  </w:abstractNum>
  <w:abstractNum w:abstractNumId="3">
    <w:nsid w:val="6FAA0AB1"/>
    <w:multiLevelType w:val="singleLevel"/>
    <w:tmpl w:val="6FAA0AB1"/>
    <w:lvl w:ilvl="0" w:tentative="0">
      <w:start w:val="2"/>
      <w:numFmt w:val="chineseCounting"/>
      <w:suff w:val="nothing"/>
      <w:lvlText w:val="（%1）"/>
      <w:lvlJc w:val="left"/>
      <w:rPr>
        <w:rFonts w:hint="eastAsia"/>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iOGM5NzlhN2JhOTc3OTljZTBmY2FhN2MzNTk3ODEifQ=="/>
  </w:docVars>
  <w:rsids>
    <w:rsidRoot w:val="FF6C4049"/>
    <w:rsid w:val="00546472"/>
    <w:rsid w:val="006F7242"/>
    <w:rsid w:val="007B168A"/>
    <w:rsid w:val="008B2CFE"/>
    <w:rsid w:val="00F26FF6"/>
    <w:rsid w:val="01610122"/>
    <w:rsid w:val="02510197"/>
    <w:rsid w:val="03EC461B"/>
    <w:rsid w:val="053F7359"/>
    <w:rsid w:val="05723548"/>
    <w:rsid w:val="07397B77"/>
    <w:rsid w:val="07866C85"/>
    <w:rsid w:val="0AD007F3"/>
    <w:rsid w:val="0E3C619F"/>
    <w:rsid w:val="0E695D64"/>
    <w:rsid w:val="11170296"/>
    <w:rsid w:val="13471461"/>
    <w:rsid w:val="13B90F01"/>
    <w:rsid w:val="14397409"/>
    <w:rsid w:val="155E4C4D"/>
    <w:rsid w:val="15CD1ADE"/>
    <w:rsid w:val="16CD0C61"/>
    <w:rsid w:val="17462648"/>
    <w:rsid w:val="181066D2"/>
    <w:rsid w:val="1A0A4341"/>
    <w:rsid w:val="1A9A68F5"/>
    <w:rsid w:val="1C671E73"/>
    <w:rsid w:val="1D1125A5"/>
    <w:rsid w:val="1D322C47"/>
    <w:rsid w:val="21415B4F"/>
    <w:rsid w:val="23616034"/>
    <w:rsid w:val="24480FA2"/>
    <w:rsid w:val="24741D97"/>
    <w:rsid w:val="25227A45"/>
    <w:rsid w:val="268C786C"/>
    <w:rsid w:val="26AC3A6A"/>
    <w:rsid w:val="27FF5E1C"/>
    <w:rsid w:val="281178FD"/>
    <w:rsid w:val="299B7D41"/>
    <w:rsid w:val="2B9D7E25"/>
    <w:rsid w:val="2C7C7A3B"/>
    <w:rsid w:val="2E99044A"/>
    <w:rsid w:val="2EE7237C"/>
    <w:rsid w:val="2EFC0D68"/>
    <w:rsid w:val="2F364819"/>
    <w:rsid w:val="2FD63906"/>
    <w:rsid w:val="37215DAE"/>
    <w:rsid w:val="38CA40DD"/>
    <w:rsid w:val="395F2B56"/>
    <w:rsid w:val="3BBA0580"/>
    <w:rsid w:val="3BECE841"/>
    <w:rsid w:val="3CC956E1"/>
    <w:rsid w:val="3CDE204C"/>
    <w:rsid w:val="3D363C36"/>
    <w:rsid w:val="3E9C3F6D"/>
    <w:rsid w:val="3EF50134"/>
    <w:rsid w:val="3FF7797D"/>
    <w:rsid w:val="40D44DCE"/>
    <w:rsid w:val="41E64C15"/>
    <w:rsid w:val="42403BC4"/>
    <w:rsid w:val="44DA6522"/>
    <w:rsid w:val="46690BD8"/>
    <w:rsid w:val="49F70BF1"/>
    <w:rsid w:val="4AB640C6"/>
    <w:rsid w:val="4AF62C56"/>
    <w:rsid w:val="4B4340EE"/>
    <w:rsid w:val="4B8A1D1C"/>
    <w:rsid w:val="4B9C1A50"/>
    <w:rsid w:val="4BF06537"/>
    <w:rsid w:val="4F7D74A2"/>
    <w:rsid w:val="503D507A"/>
    <w:rsid w:val="50F3175D"/>
    <w:rsid w:val="51FA74D0"/>
    <w:rsid w:val="52AA4A52"/>
    <w:rsid w:val="56FC726B"/>
    <w:rsid w:val="57D460CD"/>
    <w:rsid w:val="58985B3D"/>
    <w:rsid w:val="59943D66"/>
    <w:rsid w:val="59E051FD"/>
    <w:rsid w:val="59E6355E"/>
    <w:rsid w:val="5ACB527F"/>
    <w:rsid w:val="5B821531"/>
    <w:rsid w:val="5BFF6039"/>
    <w:rsid w:val="5D76A616"/>
    <w:rsid w:val="5D7F20B9"/>
    <w:rsid w:val="5DAC7D0E"/>
    <w:rsid w:val="5F98B5AF"/>
    <w:rsid w:val="5FFE8511"/>
    <w:rsid w:val="5FFEACE2"/>
    <w:rsid w:val="609D5BF6"/>
    <w:rsid w:val="61073070"/>
    <w:rsid w:val="61B9080E"/>
    <w:rsid w:val="61DF3FED"/>
    <w:rsid w:val="628869F3"/>
    <w:rsid w:val="62C54F90"/>
    <w:rsid w:val="633A3BD0"/>
    <w:rsid w:val="640D20A2"/>
    <w:rsid w:val="642B176B"/>
    <w:rsid w:val="643EE26D"/>
    <w:rsid w:val="656019A0"/>
    <w:rsid w:val="65F242EE"/>
    <w:rsid w:val="666D7E19"/>
    <w:rsid w:val="68376930"/>
    <w:rsid w:val="68F91E38"/>
    <w:rsid w:val="69767E03"/>
    <w:rsid w:val="6A9736B6"/>
    <w:rsid w:val="6B3158B9"/>
    <w:rsid w:val="6B66744C"/>
    <w:rsid w:val="6BA02A3F"/>
    <w:rsid w:val="6C1E5A53"/>
    <w:rsid w:val="6DD20F3C"/>
    <w:rsid w:val="6F5C41AC"/>
    <w:rsid w:val="6FAF6C78"/>
    <w:rsid w:val="716167CC"/>
    <w:rsid w:val="718A7AD1"/>
    <w:rsid w:val="72283E62"/>
    <w:rsid w:val="72694CFF"/>
    <w:rsid w:val="72A44BC2"/>
    <w:rsid w:val="7317C656"/>
    <w:rsid w:val="734ED73F"/>
    <w:rsid w:val="73C82B32"/>
    <w:rsid w:val="73F94DAE"/>
    <w:rsid w:val="74220495"/>
    <w:rsid w:val="747D1B6F"/>
    <w:rsid w:val="749E5641"/>
    <w:rsid w:val="74D03582"/>
    <w:rsid w:val="76271066"/>
    <w:rsid w:val="77FD8BE9"/>
    <w:rsid w:val="78000AED"/>
    <w:rsid w:val="79A9BD3F"/>
    <w:rsid w:val="7B776F12"/>
    <w:rsid w:val="7BFFFDD0"/>
    <w:rsid w:val="7C336E5F"/>
    <w:rsid w:val="7C8D4919"/>
    <w:rsid w:val="7C933386"/>
    <w:rsid w:val="7D052701"/>
    <w:rsid w:val="7D7A5F86"/>
    <w:rsid w:val="7E4B683A"/>
    <w:rsid w:val="7E5E656D"/>
    <w:rsid w:val="7E8F2BCB"/>
    <w:rsid w:val="7F37BB4E"/>
    <w:rsid w:val="7FE71220"/>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Layout w:type="fixed"/>
      <w:tblCellMar>
        <w:top w:w="0" w:type="dxa"/>
        <w:left w:w="108" w:type="dxa"/>
        <w:bottom w:w="0" w:type="dxa"/>
        <w:right w:w="108" w:type="dxa"/>
      </w:tblCellMar>
    </w:tblPr>
  </w:style>
  <w:style w:type="paragraph" w:styleId="3">
    <w:name w:val="Normal Indent"/>
    <w:basedOn w:val="1"/>
    <w:semiHidden/>
    <w:unhideWhenUsed/>
    <w:qFormat/>
    <w:uiPriority w:val="99"/>
    <w:pPr>
      <w:ind w:firstLine="420" w:firstLineChars="200"/>
    </w:pPr>
  </w:style>
  <w:style w:type="paragraph" w:styleId="4">
    <w:name w:val="annotation text"/>
    <w:basedOn w:val="1"/>
    <w:link w:val="23"/>
    <w:qFormat/>
    <w:uiPriority w:val="0"/>
    <w:pPr>
      <w:jc w:val="left"/>
    </w:pPr>
  </w:style>
  <w:style w:type="paragraph" w:styleId="5">
    <w:name w:val="Body Text"/>
    <w:basedOn w:val="1"/>
    <w:qFormat/>
    <w:uiPriority w:val="0"/>
    <w:pPr>
      <w:spacing w:after="120"/>
    </w:pPr>
  </w:style>
  <w:style w:type="paragraph" w:styleId="6">
    <w:name w:val="Body Text Indent"/>
    <w:basedOn w:val="1"/>
    <w:qFormat/>
    <w:uiPriority w:val="0"/>
    <w:pPr>
      <w:spacing w:after="120"/>
      <w:ind w:left="420" w:leftChars="200"/>
    </w:pPr>
    <w:rPr>
      <w:rFonts w:ascii="Calibri" w:hAnsi="Calibri"/>
    </w:rPr>
  </w:style>
  <w:style w:type="paragraph" w:styleId="7">
    <w:name w:val="Balloon Text"/>
    <w:basedOn w:val="1"/>
    <w:link w:val="21"/>
    <w:qFormat/>
    <w:uiPriority w:val="0"/>
    <w:rPr>
      <w:sz w:val="18"/>
      <w:szCs w:val="18"/>
    </w:rPr>
  </w:style>
  <w:style w:type="paragraph" w:styleId="8">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9">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1">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2">
    <w:name w:val="annotation subject"/>
    <w:basedOn w:val="4"/>
    <w:next w:val="4"/>
    <w:link w:val="24"/>
    <w:qFormat/>
    <w:uiPriority w:val="0"/>
    <w:rPr>
      <w:b/>
      <w:bCs/>
    </w:rPr>
  </w:style>
  <w:style w:type="paragraph" w:styleId="13">
    <w:name w:val="Body Text First Indent"/>
    <w:basedOn w:val="5"/>
    <w:qFormat/>
    <w:uiPriority w:val="0"/>
    <w:pPr>
      <w:spacing w:after="0"/>
      <w:ind w:firstLine="200" w:firstLineChars="200"/>
    </w:pPr>
  </w:style>
  <w:style w:type="paragraph" w:styleId="14">
    <w:name w:val="Body Text First Indent 2"/>
    <w:basedOn w:val="6"/>
    <w:qFormat/>
    <w:uiPriority w:val="0"/>
    <w:pPr>
      <w:ind w:firstLine="420" w:firstLineChars="200"/>
    </w:pPr>
  </w:style>
  <w:style w:type="character" w:styleId="17">
    <w:name w:val="Strong"/>
    <w:basedOn w:val="16"/>
    <w:qFormat/>
    <w:uiPriority w:val="0"/>
    <w:rPr>
      <w:b/>
      <w:bCs/>
    </w:rPr>
  </w:style>
  <w:style w:type="character" w:styleId="18">
    <w:name w:val="annotation reference"/>
    <w:basedOn w:val="16"/>
    <w:qFormat/>
    <w:uiPriority w:val="0"/>
    <w:rPr>
      <w:sz w:val="21"/>
      <w:szCs w:val="21"/>
    </w:rPr>
  </w:style>
  <w:style w:type="character" w:customStyle="1" w:styleId="19">
    <w:name w:val="fontstyle01"/>
    <w:qFormat/>
    <w:uiPriority w:val="0"/>
    <w:rPr>
      <w:rFonts w:ascii="仿宋_GB2312" w:hAnsi="仿宋_GB2312" w:eastAsia="仿宋_GB2312" w:cs="仿宋_GB2312"/>
      <w:color w:val="000000"/>
      <w:sz w:val="32"/>
      <w:szCs w:val="32"/>
    </w:rPr>
  </w:style>
  <w:style w:type="paragraph" w:customStyle="1" w:styleId="20">
    <w:name w:val="闻政-正文段落文字"/>
    <w:basedOn w:val="1"/>
    <w:qFormat/>
    <w:uiPriority w:val="3"/>
    <w:pPr>
      <w:spacing w:line="500" w:lineRule="exact"/>
      <w:ind w:firstLine="200"/>
    </w:pPr>
    <w:rPr>
      <w:kern w:val="0"/>
      <w:szCs w:val="28"/>
    </w:rPr>
  </w:style>
  <w:style w:type="character" w:customStyle="1" w:styleId="21">
    <w:name w:val="批注框文本 字符"/>
    <w:basedOn w:val="16"/>
    <w:link w:val="7"/>
    <w:qFormat/>
    <w:uiPriority w:val="0"/>
    <w:rPr>
      <w:rFonts w:ascii="Times New Roman" w:hAnsi="Times New Roman" w:eastAsia="宋体" w:cs="Times New Roman"/>
      <w:kern w:val="2"/>
      <w:sz w:val="18"/>
      <w:szCs w:val="18"/>
    </w:rPr>
  </w:style>
  <w:style w:type="character" w:customStyle="1" w:styleId="22">
    <w:name w:val="页眉 字符"/>
    <w:basedOn w:val="16"/>
    <w:link w:val="9"/>
    <w:qFormat/>
    <w:uiPriority w:val="0"/>
    <w:rPr>
      <w:rFonts w:ascii="Times New Roman" w:hAnsi="Times New Roman" w:eastAsia="宋体" w:cs="Times New Roman"/>
      <w:kern w:val="2"/>
      <w:sz w:val="18"/>
      <w:szCs w:val="18"/>
    </w:rPr>
  </w:style>
  <w:style w:type="character" w:customStyle="1" w:styleId="23">
    <w:name w:val="批注文字 字符"/>
    <w:basedOn w:val="16"/>
    <w:link w:val="4"/>
    <w:qFormat/>
    <w:uiPriority w:val="0"/>
    <w:rPr>
      <w:rFonts w:ascii="Times New Roman" w:hAnsi="Times New Roman" w:eastAsia="宋体" w:cs="Times New Roman"/>
      <w:kern w:val="2"/>
      <w:sz w:val="21"/>
      <w:szCs w:val="24"/>
    </w:rPr>
  </w:style>
  <w:style w:type="character" w:customStyle="1" w:styleId="24">
    <w:name w:val="批注主题 字符"/>
    <w:basedOn w:val="23"/>
    <w:link w:val="12"/>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29</Pages>
  <Words>10122</Words>
  <Characters>10385</Characters>
  <Lines>58</Lines>
  <Paragraphs>16</Paragraphs>
  <TotalTime>192</TotalTime>
  <ScaleCrop>false</ScaleCrop>
  <LinksUpToDate>false</LinksUpToDate>
  <CharactersWithSpaces>10402</CharactersWithSpaces>
  <Application>WPS Office_11.1.0.8597_F1E327BC-269C-435d-A152-05C5408002CA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lenovo</cp:lastModifiedBy>
  <dcterms:modified xsi:type="dcterms:W3CDTF">2025-08-19T03:46:26Z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2052-11.1.0.8597</vt:lpwstr>
  </property>
  <property fmtid="{D5CDD505-2E9C-101B-9397-08002B2CF9AE}" pid="3" name="ICV">
    <vt:lpwstr>EC99773F21B349659AE205148812517A_13</vt:lpwstr>
  </property>
  <property fmtid="{D5CDD505-2E9C-101B-9397-08002B2CF9AE}" pid="4" name="KSOTemplateDocerSaveRecord">
    <vt:lpwstr>eyJoZGlkIjoiYWIwNzEzNmQwYTRmNWQ5NTdhZjI0M2Q0NjE3M2ZiNDciLCJ1c2VySWQiOiI2NTk2MDc1NDYifQ==</vt:lpwstr>
  </property>
</Properties>
</file>