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自治区污染物总量控制项目</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both"/>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自治区污染物总量控制项目</w:t>
      </w:r>
    </w:p>
    <w:p>
      <w:pPr>
        <w:spacing w:line="700" w:lineRule="exact"/>
        <w:ind w:left="1436" w:leftChars="684" w:firstLine="0" w:firstLineChars="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新疆维吾尔自治区排污权交易储备中心（自治区应对气候变化与低碳发展研究中心）</w:t>
      </w:r>
    </w:p>
    <w:p>
      <w:pPr>
        <w:spacing w:line="700" w:lineRule="exact"/>
        <w:ind w:left="1436" w:leftChars="684" w:firstLine="0" w:firstLineChars="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马宁远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19</w:t>
      </w:r>
      <w:r>
        <w:rPr>
          <w:rFonts w:eastAsia="仿宋_GB2312"/>
          <w:kern w:val="0"/>
          <w:sz w:val="36"/>
          <w:szCs w:val="36"/>
        </w:rPr>
        <w:t>日</w:t>
      </w:r>
    </w:p>
    <w:p>
      <w:pPr>
        <w:pStyle w:val="5"/>
      </w:pPr>
    </w:p>
    <w:p>
      <w:pPr>
        <w:pStyle w:val="5"/>
      </w:pPr>
    </w:p>
    <w:p>
      <w:pPr>
        <w:pStyle w:val="5"/>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1、项目背景</w:t>
      </w:r>
    </w:p>
    <w:p>
      <w:pPr>
        <w:spacing w:line="540" w:lineRule="exact"/>
        <w:ind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自治区“十四五”规划和2035年远景目标纲要指出，加强生态文明建设，建设美丽新疆，坚持绿水青山就是金山银山、冰天雪地也是金山银山的理念，坚持尊重自然、顺应自然、保护自然，深入实现可持续发展战略，建设天蓝地绿水清的美丽新疆。健全生态环境保护机制，实施最严格的生态保护制度，严禁“三高”项目进新疆，严格执行环境保护“一票否决”制度，全面实行排污许可制，适时开展排污权、推动全国碳排放权交易市场有序发展。推动绿色低碳发展，加强能耗“双控”管理，严格控制能源消费增量和能耗强度。</w:t>
      </w:r>
    </w:p>
    <w:p>
      <w:pPr>
        <w:spacing w:line="540" w:lineRule="exact"/>
        <w:ind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十四五”时期，自治区工业化、城镇化将逐步转向绿色低碳发展，但结构性、布局性矛盾依然突出，目前自治区仍有半数以上城市空气质量超标，重点区域PM浓度超标严重，生态环境质量改善成效不稳固，主要污染物总量减排仍然面临不少困难和挑战。“十四五”时期，立足新发展阶段，贯彻新发展理念，深入打好污染防治攻坚战，实施减污降碳协同治理，把降碳摆在更加优先的位置，落实主要污染物总量减排措施，加强应对气候变化基础建设，落实温室气体排放“双控”制度，注重综合治理、系统治理、源头治理，推动经济社会发展全面绿色转型。</w:t>
      </w:r>
    </w:p>
    <w:p>
      <w:pPr>
        <w:spacing w:line="540" w:lineRule="exact"/>
        <w:ind w:firstLine="640" w:firstLineChars="200"/>
        <w:jc w:val="both"/>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按照自治区生态环境厅关于深入打好污染防治攻坚战工作部署，自治区排污权交易储备中心（应对气候变化与低碳发展研究中心）负责自治区排污许可证技术审核工作；负责自治区统筹的排污权储备和交易技术审核工作；做好区域主要污染物总量控制工作调度以及约束性指标核查工作；开展低碳宣传与培训，协助开展碳核查监督检查、碳配额核算、分配及履约清缴工作、针对我区应对气候变化工作重点难点问题开展相关调查研究等工作。</w:t>
      </w:r>
    </w:p>
    <w:p>
      <w:pPr>
        <w:pStyle w:val="11"/>
        <w:numPr>
          <w:ilvl w:val="0"/>
          <w:numId w:val="1"/>
        </w:numPr>
        <w:spacing w:before="0" w:after="0" w:line="56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w:t>
      </w:r>
      <w:r>
        <w:rPr>
          <w:rFonts w:hint="eastAsia" w:eastAsia="仿宋_GB2312"/>
          <w:bCs w:val="0"/>
          <w:color w:val="auto"/>
          <w:sz w:val="32"/>
          <w:szCs w:val="32"/>
          <w:lang w:val="en-US" w:eastAsia="zh-CN"/>
        </w:rPr>
        <w:t>1</w:t>
      </w:r>
      <w:r>
        <w:rPr>
          <w:rFonts w:hint="eastAsia" w:eastAsia="仿宋_GB2312"/>
          <w:bCs w:val="0"/>
          <w:color w:val="auto"/>
          <w:sz w:val="32"/>
          <w:szCs w:val="32"/>
        </w:rPr>
        <w:t>）主要污染物总量控制及排污许可相关工作</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1.依据生态环境部下达的主要污染物总量约束性指标，协助厅相关处室分解各地污染物总量控制目标任务，制定年度工作计划，组织开展相关业务培训。</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2.加强全区主要污染物总量控制及核查核算工作，加强总量减排监督管理，调度，扎实推动重点减排工程落地见效，确保完成总量减排任务。</w:t>
      </w:r>
    </w:p>
    <w:p>
      <w:pPr>
        <w:spacing w:line="560" w:lineRule="exact"/>
        <w:ind w:firstLine="640" w:firstLineChars="200"/>
        <w:rPr>
          <w:rFonts w:hint="eastAsia" w:ascii="Times New Roman" w:hAnsi="Times New Roman" w:eastAsia="仿宋_GB2312" w:cs="Times New Roman"/>
          <w:bCs w:val="0"/>
          <w:sz w:val="32"/>
          <w:szCs w:val="32"/>
          <w:lang w:eastAsia="zh-CN"/>
        </w:rPr>
      </w:pPr>
      <w:r>
        <w:rPr>
          <w:rFonts w:hint="eastAsia" w:eastAsia="仿宋_GB2312"/>
          <w:bCs w:val="0"/>
          <w:color w:val="auto"/>
          <w:sz w:val="32"/>
          <w:szCs w:val="32"/>
        </w:rPr>
        <w:t>3.探索制定总量减排相关地方性管理文件，明确总量减排项目入库程序、主要污染物减排量核算办法、建设项目总量替代要求等</w:t>
      </w:r>
      <w:r>
        <w:rPr>
          <w:rFonts w:hint="eastAsia" w:ascii="Times New Roman" w:hAnsi="Times New Roman" w:eastAsia="仿宋_GB2312" w:cs="Times New Roman"/>
          <w:bCs w:val="0"/>
          <w:sz w:val="32"/>
          <w:szCs w:val="32"/>
          <w:lang w:eastAsia="zh-CN"/>
        </w:rPr>
        <w:t>。</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4.协助厅相关处室认真落实《自治区排污许可提质增效实施方案（2022-2024年）及2022年“双百”任务工作安排》，有序开展固定污染源排污许可证质量核查及技术帮扶指导工作。组织业务骨干赴各地（州、市）开展排污许可质量现场核查及技术帮扶工作，协助优化核发流程、规范企业排污许可管理，完成年度排污许可管理满意度调查等工作。</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w:t>
      </w:r>
      <w:r>
        <w:rPr>
          <w:rFonts w:hint="eastAsia" w:eastAsia="仿宋_GB2312"/>
          <w:bCs w:val="0"/>
          <w:color w:val="auto"/>
          <w:sz w:val="32"/>
          <w:szCs w:val="32"/>
          <w:lang w:val="en-US" w:eastAsia="zh-CN"/>
        </w:rPr>
        <w:t>2</w:t>
      </w:r>
      <w:r>
        <w:rPr>
          <w:rFonts w:hint="eastAsia" w:eastAsia="仿宋_GB2312"/>
          <w:bCs w:val="0"/>
          <w:color w:val="auto"/>
          <w:sz w:val="32"/>
          <w:szCs w:val="32"/>
        </w:rPr>
        <w:t>）排污权交易相关工作</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按照国家统一部署，做好排污权交易有偿使用和交易试点政策研究，在国家顶层设计的基础上建立完善符合我区实际的排污权交易体系，稳步推进我区排污权有偿使用和交易。完善资金管理制度和市场融资体系，推动排污权交易在环境资源配置中的市场作用。</w:t>
      </w:r>
    </w:p>
    <w:p>
      <w:pPr>
        <w:spacing w:line="560" w:lineRule="exact"/>
        <w:ind w:firstLine="640" w:firstLineChars="200"/>
        <w:rPr>
          <w:rFonts w:hint="eastAsia" w:eastAsia="仿宋_GB2312"/>
          <w:bCs w:val="0"/>
          <w:color w:val="auto"/>
          <w:sz w:val="32"/>
          <w:szCs w:val="32"/>
        </w:rPr>
      </w:pPr>
      <w:r>
        <w:rPr>
          <w:rFonts w:hint="eastAsia" w:eastAsia="仿宋_GB2312"/>
          <w:bCs w:val="0"/>
          <w:color w:val="auto"/>
          <w:sz w:val="32"/>
          <w:szCs w:val="32"/>
        </w:rPr>
        <w:t>（</w:t>
      </w:r>
      <w:r>
        <w:rPr>
          <w:rFonts w:hint="eastAsia" w:eastAsia="仿宋_GB2312"/>
          <w:bCs w:val="0"/>
          <w:color w:val="auto"/>
          <w:sz w:val="32"/>
          <w:szCs w:val="32"/>
          <w:lang w:val="en-US" w:eastAsia="zh-CN"/>
        </w:rPr>
        <w:t>3</w:t>
      </w:r>
      <w:r>
        <w:rPr>
          <w:rFonts w:hint="eastAsia" w:eastAsia="仿宋_GB2312"/>
          <w:bCs w:val="0"/>
          <w:color w:val="auto"/>
          <w:sz w:val="32"/>
          <w:szCs w:val="32"/>
        </w:rPr>
        <w:t>）开展应对气候变化基础建设相关工作</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认真学习研究应对气候变化法律法规、体制机制、政策措施，协助拟定适应我区实际的应对气候变化规划、制度及工作方案等；积极开展低碳宣传系列活动，协助开展温室气体排放报告网上填报帮扶指导、年度自治区温室气体排放重点企业排放报告核查督导工作，协助完成我区纳入全国碳交易市场重点排放单位碳配额核算、分配及履约清缴工作。</w:t>
      </w:r>
    </w:p>
    <w:p>
      <w:pPr>
        <w:spacing w:line="560" w:lineRule="exact"/>
        <w:ind w:firstLine="640" w:firstLineChars="200"/>
      </w:pPr>
      <w:r>
        <w:rPr>
          <w:rFonts w:eastAsia="仿宋_GB2312"/>
          <w:sz w:val="32"/>
          <w:szCs w:val="32"/>
        </w:rPr>
        <w:t>项目实施情况：</w:t>
      </w:r>
      <w:r>
        <w:rPr>
          <w:rFonts w:hint="eastAsia" w:eastAsia="仿宋_GB2312"/>
          <w:sz w:val="32"/>
          <w:szCs w:val="32"/>
        </w:rPr>
        <w:t>按照自治区生态环境厅统一部署安排，</w:t>
      </w:r>
      <w:r>
        <w:rPr>
          <w:rFonts w:hint="eastAsia" w:eastAsia="仿宋_GB2312"/>
          <w:sz w:val="32"/>
          <w:szCs w:val="32"/>
          <w:lang w:val="en-US" w:eastAsia="zh-CN"/>
        </w:rPr>
        <w:t>2023年组织各地（州、市）生态环境局开展主要污染物重点减排工程调度4次，出具建设项目主要污染物排放控制审查意见196份，按时完成年终主要污染物重点减排工程上报工作；组织业务骨干赴各地（州、市）协助开展排污许可技术帮扶指导工作；开展排污权交易与有偿使用调研工作，深入分析研究我区排污权交易试点工作存在的问题和下一步推进的重点部署和举措，并完成调研报告编制；协助拟定2023年我区应对气候变化相关工作计划，组织各地（州、市）生态环境管理部门、重点企业开展相关业务培训，面向社会基层群众开展低碳宣传工作。</w:t>
      </w:r>
    </w:p>
    <w:p>
      <w:pPr>
        <w:spacing w:line="560" w:lineRule="exact"/>
        <w:ind w:firstLine="642"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该项目年初预算数20万元，全年预算数20万元，实际总投入20万元，该项目资金已全部落实到位，资金来源为一般公共预算。</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pStyle w:val="11"/>
        <w:spacing w:before="0" w:after="0" w:line="600" w:lineRule="exact"/>
        <w:ind w:firstLine="640" w:firstLineChars="200"/>
        <w:jc w:val="both"/>
        <w:rPr>
          <w:rFonts w:ascii="Times New Roman" w:hAnsi="Times New Roman" w:eastAsia="仿宋_GB2312"/>
          <w:b w:val="0"/>
          <w:bCs w:val="0"/>
          <w:kern w:val="2"/>
        </w:rPr>
      </w:pPr>
      <w:r>
        <w:rPr>
          <w:rFonts w:hint="eastAsia" w:ascii="仿宋_GB2312" w:hAnsi="仿宋_GB2312" w:eastAsia="仿宋_GB2312" w:cs="仿宋_GB2312"/>
          <w:b w:val="0"/>
          <w:bCs w:val="0"/>
          <w:sz w:val="32"/>
          <w:szCs w:val="32"/>
          <w:highlight w:val="none"/>
          <w:lang w:val="en-US" w:eastAsia="zh-CN"/>
        </w:rPr>
        <w:t>该项目年初预算数20万元，全年预算数20万元,全年执行数19.97万元，预算执行率为99.85%，主要用于：</w:t>
      </w:r>
      <w:r>
        <w:rPr>
          <w:rFonts w:ascii="Times New Roman" w:hAnsi="Times New Roman" w:eastAsia="仿宋_GB2312"/>
          <w:b w:val="0"/>
          <w:bCs w:val="0"/>
          <w:kern w:val="2"/>
        </w:rPr>
        <w:t>支付项目实施进程中的各项费用。</w:t>
      </w:r>
    </w:p>
    <w:p>
      <w:pPr>
        <w:spacing w:line="600" w:lineRule="exact"/>
        <w:ind w:firstLine="642" w:firstLineChars="200"/>
        <w:outlineLvl w:val="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40" w:lineRule="exact"/>
        <w:ind w:firstLine="640" w:firstLineChars="200"/>
        <w:jc w:val="both"/>
        <w:rPr>
          <w:rFonts w:hint="eastAsia" w:ascii="仿宋_GB2312" w:hAnsi="仿宋" w:eastAsia="仿宋_GB2312" w:cs="Tahoma"/>
          <w:sz w:val="32"/>
          <w:szCs w:val="32"/>
          <w:lang w:val="en-US" w:eastAsia="zh-CN"/>
        </w:rPr>
      </w:pPr>
      <w:r>
        <w:rPr>
          <w:rFonts w:hint="eastAsia" w:ascii="仿宋_GB2312" w:hAnsi="仿宋" w:eastAsia="仿宋_GB2312" w:cs="Tahoma"/>
          <w:sz w:val="32"/>
          <w:szCs w:val="32"/>
          <w:lang w:val="en-US" w:eastAsia="zh-CN"/>
        </w:rPr>
        <w:t>进一步加强全区主要污染物总量控制审查核算工作，紧盯主要污染物总量控制“十四五”目标及减排工程，将总量控制工作作为推进供给侧结构性改革，改善环境质量的重要抓手，确保全区“十四五”总量控制工作深入开展。进一步摸清区域排污储备总量及构成状况，做好排污权初始分配及交易基础准备，做好自治区总量控制及排污权全业务监管信息平台运行及管理工作，切实提高部门的业务管理水平和工作效率。</w:t>
      </w:r>
    </w:p>
    <w:p>
      <w:pPr>
        <w:spacing w:line="540" w:lineRule="exact"/>
        <w:ind w:firstLine="640" w:firstLineChars="200"/>
        <w:jc w:val="both"/>
        <w:rPr>
          <w:rFonts w:hint="eastAsia" w:ascii="仿宋_GB2312" w:hAnsi="仿宋" w:eastAsia="仿宋_GB2312" w:cs="Tahoma"/>
          <w:sz w:val="32"/>
          <w:szCs w:val="32"/>
          <w:lang w:val="en-US" w:eastAsia="zh-CN"/>
        </w:rPr>
      </w:pPr>
      <w:r>
        <w:rPr>
          <w:rFonts w:hint="eastAsia" w:ascii="仿宋_GB2312" w:hAnsi="仿宋" w:eastAsia="仿宋_GB2312" w:cs="Tahoma"/>
          <w:sz w:val="32"/>
          <w:szCs w:val="32"/>
          <w:lang w:val="en-US" w:eastAsia="zh-CN"/>
        </w:rPr>
        <w:t>在开展应对气候变化能力建设的同时，积极开展应对气候变化相关课题研究，促进全国碳交易市场建设、夯实我区温室气体排放数据基础，营造全社会绿色低碳循环发展的浓厚氛围，为开展自治区应对气候变化工作提供理论依据，推动实现“双碳”目标任务。</w:t>
      </w:r>
    </w:p>
    <w:p>
      <w:pPr>
        <w:spacing w:line="560" w:lineRule="exact"/>
        <w:ind w:firstLine="640" w:firstLineChars="200"/>
        <w:jc w:val="both"/>
        <w:rPr>
          <w:rFonts w:eastAsia="仿宋_GB2312"/>
          <w:sz w:val="32"/>
          <w:szCs w:val="32"/>
        </w:rPr>
      </w:pPr>
      <w:r>
        <w:rPr>
          <w:rFonts w:eastAsia="仿宋_GB2312"/>
          <w:sz w:val="32"/>
          <w:szCs w:val="32"/>
        </w:rPr>
        <w:t>2、阶段性目标</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（1）主要污染物总量控制工作</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1.</w:t>
      </w:r>
      <w:r>
        <w:rPr>
          <w:rFonts w:hint="eastAsia" w:ascii="仿宋_GB2312" w:hAnsi="仿宋" w:eastAsia="仿宋_GB2312" w:cs="Tahoma"/>
          <w:b/>
          <w:bCs/>
          <w:color w:val="auto"/>
          <w:sz w:val="32"/>
          <w:szCs w:val="32"/>
          <w:lang w:val="en-US" w:eastAsia="zh-CN"/>
        </w:rPr>
        <w:t>按季度开展污染物重点减排工程调度工作。</w:t>
      </w:r>
      <w:r>
        <w:rPr>
          <w:rFonts w:hint="eastAsia" w:ascii="仿宋_GB2312" w:hAnsi="仿宋" w:eastAsia="仿宋_GB2312" w:cs="Tahoma"/>
          <w:color w:val="auto"/>
          <w:sz w:val="32"/>
          <w:szCs w:val="32"/>
          <w:lang w:val="en-US" w:eastAsia="zh-CN"/>
        </w:rPr>
        <w:t>督促各地州市及时上报完成竣工环境保护验收的总量减排项目，及时审核并形成工作档案，组织各地（州、市）生态环境管理部门开展相关业务培训，为2023年主要污染物总量考核做好相关准备工作。</w:t>
      </w:r>
    </w:p>
    <w:p>
      <w:pPr>
        <w:spacing w:line="560" w:lineRule="exact"/>
        <w:ind w:firstLine="642"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b/>
          <w:bCs/>
          <w:color w:val="auto"/>
          <w:sz w:val="32"/>
          <w:szCs w:val="32"/>
          <w:lang w:val="en-US" w:eastAsia="zh-CN"/>
        </w:rPr>
        <w:t>2.常态化开展建设项目主要污染物排放控制审查工作。</w:t>
      </w:r>
      <w:r>
        <w:rPr>
          <w:rFonts w:hint="eastAsia" w:ascii="仿宋_GB2312" w:hAnsi="仿宋" w:eastAsia="仿宋_GB2312" w:cs="Tahoma"/>
          <w:color w:val="auto"/>
          <w:sz w:val="32"/>
          <w:szCs w:val="32"/>
          <w:lang w:val="en-US" w:eastAsia="zh-CN"/>
        </w:rPr>
        <w:t>根据《新疆维吾尔自治区环境保护厅建设项目环境影响评价文件审批程序规定》，为自治区审批的建设项目环评及时、准确出具《主要污染物排放控制审查意见》。</w:t>
      </w:r>
    </w:p>
    <w:p>
      <w:pPr>
        <w:spacing w:line="560" w:lineRule="exact"/>
        <w:ind w:firstLine="642"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b/>
          <w:bCs/>
          <w:color w:val="auto"/>
          <w:sz w:val="32"/>
          <w:szCs w:val="32"/>
          <w:lang w:val="en-US" w:eastAsia="zh-CN"/>
        </w:rPr>
        <w:t>3.协助开展帮扶指导工作。</w:t>
      </w:r>
      <w:r>
        <w:rPr>
          <w:rFonts w:hint="eastAsia" w:ascii="仿宋_GB2312" w:hAnsi="仿宋" w:eastAsia="仿宋_GB2312" w:cs="Tahoma"/>
          <w:color w:val="auto"/>
          <w:sz w:val="32"/>
          <w:szCs w:val="32"/>
          <w:lang w:val="en-US" w:eastAsia="zh-CN"/>
        </w:rPr>
        <w:t>组织业务骨干赴各地（州、市）协助开展排污许可核发技术帮扶指导工作，开展排污许可证质量现场审核、调度工作，完成年度排污许可管理满意度调查工作。</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（2）排污权交易相关工作</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2023年1月～12月，配合生态环境部做好排污权交易市场建设国家顶层设计基础调研工作，深入分析研究我区排污权交易试点工作存在的问题和下一步推进开新局的重点部署和举措。推动建立以排污许可制度为核心的排污权交易体系，完善资金管理制度和市场融资体系，推动排污权交易在环境资源配置中的市场作用。</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（3）开展应对气候变化基础建设相关工作</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1.2023年1月～12月，按照生态环境部重点工作任务安排，协助拟定2023年我区应对气候变化相关工作计划，组织各地（州、市）生态环境管理部门、重点企业开展相关业务培训，面向社会基层群众开展低碳日宣传系列活动。</w:t>
      </w:r>
    </w:p>
    <w:p>
      <w:pPr>
        <w:spacing w:line="560" w:lineRule="exact"/>
        <w:ind w:firstLine="640" w:firstLineChars="200"/>
        <w:jc w:val="both"/>
        <w:rPr>
          <w:rFonts w:hint="eastAsia" w:ascii="仿宋_GB2312" w:hAnsi="仿宋" w:eastAsia="仿宋_GB2312" w:cs="Tahoma"/>
          <w:color w:val="auto"/>
          <w:sz w:val="32"/>
          <w:szCs w:val="32"/>
          <w:lang w:val="en-US" w:eastAsia="zh-CN"/>
        </w:rPr>
      </w:pPr>
      <w:r>
        <w:rPr>
          <w:rFonts w:hint="eastAsia" w:ascii="仿宋_GB2312" w:hAnsi="仿宋" w:eastAsia="仿宋_GB2312" w:cs="Tahoma"/>
          <w:color w:val="auto"/>
          <w:sz w:val="32"/>
          <w:szCs w:val="32"/>
          <w:lang w:val="en-US" w:eastAsia="zh-CN"/>
        </w:rPr>
        <w:t>2.2023年1月～6月，帮扶指导重点排放单位完成2022年度自治区温室气体排放报告系统数据填报工作。6月～9月，完成重点企业2022年度自治区温室气体排放报告的核查质量监督工作，并将监督结果及时上报厅气候处。10月～12月，协助完成我区纳入全国碳交易市场重点排放单位碳配额核算、分配及履约清缴工作。</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自治区污染物总量控制项目所包含的全部项目内容。</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自治区污染物总量控制项目进行评价，评价核心为专项资金的支出完成情况和效果。</w:t>
      </w:r>
    </w:p>
    <w:p>
      <w:pPr>
        <w:spacing w:line="560" w:lineRule="exact"/>
        <w:ind w:firstLine="642" w:firstLineChars="200"/>
      </w:pPr>
      <w:r>
        <w:rPr>
          <w:rFonts w:eastAsia="楷体_GB2312"/>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p>
    <w:p>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仿宋_GB2312"/>
          <w:color w:val="000000"/>
          <w:spacing w:val="17"/>
          <w:sz w:val="32"/>
          <w:szCs w:val="32"/>
        </w:rPr>
      </w:pPr>
      <w:bookmarkStart w:id="4" w:name="_Toc430"/>
      <w:bookmarkStart w:id="5" w:name="_Toc16028"/>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11"/>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99.99</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19.99</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99.95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19.99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99.99</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1"/>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11"/>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实际得分19.99分，得分率为99.95%。</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本项目总投资20万元，财政资金及时足额到位，到位率100%，预算资金按计划进度执行。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预算编制较为详细，项目资金支出总体能够按照预算执行，预算资金支出19.97万元，预算执行率为99.85%</w:t>
      </w:r>
      <w:r>
        <w:rPr>
          <w:rFonts w:hint="eastAsia" w:ascii="仿宋_GB2312" w:hAnsi="仿宋_GB2312" w:eastAsia="仿宋_GB2312" w:cs="仿宋_GB2312"/>
          <w:sz w:val="32"/>
          <w:szCs w:val="32"/>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4个三级指标构成，权重分为40分，实际得分40分，得分率为100%。具体产出指标完成情况如下：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rPr>
          <w:rFonts w:hint="eastAsia" w:ascii="仿宋_GB2312" w:hAnsi="仿宋_GB2312" w:eastAsia="宋体" w:cs="仿宋_GB2312"/>
          <w:color w:val="FF0000"/>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出具建设项目总量审查意见</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≥180份</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196份，</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108.89</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偏差8.89%，偏差原因及改进措施：2023年由于经济发展态势较好，全区新建项目较多，指标设定较为保守，下一步计划根据实际工作完成情况改进指标设定。</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val="en-US" w:eastAsia="zh-CN"/>
        </w:rPr>
        <w:t>总量减排工作调度，指标值：≥4次，实际完成值：4次，指标完成率100%。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总量减排数据审核通过率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90.06%</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指标1：总量减排工作按期完成率，指标值：≥</w:t>
      </w:r>
      <w:r>
        <w:rPr>
          <w:rFonts w:hint="eastAsia" w:ascii="仿宋_GB2312" w:hAnsi="仿宋_GB2312" w:eastAsia="仿宋_GB2312" w:cs="仿宋_GB2312"/>
          <w:sz w:val="32"/>
          <w:szCs w:val="32"/>
          <w:highlight w:val="none"/>
          <w:lang w:val="en-US" w:eastAsia="zh-CN"/>
        </w:rPr>
        <w:t>100%,实际完成值：100%，指标完成率：100%。</w:t>
      </w:r>
    </w:p>
    <w:p>
      <w:pPr>
        <w:pStyle w:val="13"/>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w:t>
      </w:r>
      <w:r>
        <w:rPr>
          <w:rFonts w:hint="eastAsia" w:ascii="仿宋_GB2312" w:hAnsi="仿宋_GB2312" w:eastAsia="仿宋_GB2312" w:cs="仿宋_GB2312"/>
          <w:sz w:val="32"/>
          <w:szCs w:val="32"/>
          <w:lang w:val="en-US" w:eastAsia="zh-CN"/>
        </w:rPr>
        <w:t>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指标1：提升应对气候变化与低碳政策知识公众知晓率，指标值：持续提升，实际完成值：持续提升，指标完成率：100%。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服务对象满意度指标：各地州生态环境局及重点企业对排污许可管理工作满意度，指标值：≥90%,实际完成值：100%，指标完成率：111%，偏差11%；偏差原因及改进措施：通过改进工作方式方法，吸纳优秀的意见建议，使排污许可管理工作的满意度有了良好提升，指标设定不合理，下一步计划根据实际工作完成情况改进指标设定。</w:t>
      </w:r>
    </w:p>
    <w:p>
      <w:pPr>
        <w:spacing w:line="600" w:lineRule="exact"/>
        <w:ind w:firstLine="640" w:firstLineChars="200"/>
        <w:outlineLvl w:val="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19"/>
        <w:spacing w:line="560" w:lineRule="exact"/>
        <w:ind w:firstLine="64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自治区污染物总量控制项目年初预算20万元，全年预算20万元，实际支出19.97万元，预算执行率为99.85%，项目绩效指标总体完成率为103.32%，</w:t>
      </w:r>
      <w:r>
        <w:rPr>
          <w:rFonts w:hint="eastAsia" w:ascii="仿宋_GB2312" w:hAnsi="仿宋_GB2312" w:eastAsia="仿宋_GB2312" w:cs="仿宋_GB2312"/>
          <w:kern w:val="2"/>
          <w:sz w:val="32"/>
          <w:szCs w:val="32"/>
          <w:highlight w:val="none"/>
          <w:lang w:val="en-US" w:eastAsia="zh-Hans" w:bidi="ar-SA"/>
        </w:rPr>
        <w:t>总体</w:t>
      </w:r>
      <w:r>
        <w:rPr>
          <w:rFonts w:hint="eastAsia" w:ascii="仿宋_GB2312" w:hAnsi="仿宋_GB2312" w:eastAsia="仿宋_GB2312" w:cs="仿宋_GB2312"/>
          <w:kern w:val="2"/>
          <w:sz w:val="32"/>
          <w:szCs w:val="32"/>
          <w:highlight w:val="none"/>
          <w:lang w:val="en-US" w:eastAsia="zh-CN" w:bidi="ar-SA"/>
        </w:rPr>
        <w:t>偏差率为3.32%，</w:t>
      </w:r>
      <w:r>
        <w:rPr>
          <w:rFonts w:hint="eastAsia" w:eastAsia="方正仿宋_GBK" w:cs="方正仿宋_GBK"/>
          <w:sz w:val="32"/>
          <w:szCs w:val="32"/>
          <w:highlight w:val="none"/>
          <w:lang w:val="en-US" w:eastAsia="zh-CN"/>
        </w:rPr>
        <w:t>偏差原因：</w:t>
      </w:r>
      <w:r>
        <w:rPr>
          <w:rFonts w:hint="eastAsia" w:ascii="仿宋_GB2312" w:hAnsi="仿宋_GB2312" w:eastAsia="仿宋_GB2312" w:cs="仿宋_GB2312"/>
          <w:sz w:val="32"/>
          <w:szCs w:val="32"/>
          <w:highlight w:val="none"/>
          <w:lang w:val="en-US" w:eastAsia="zh-CN"/>
        </w:rPr>
        <w:t>指标设定不合理，改进措施：下一步计划根据实际工作完成情况改进。</w:t>
      </w:r>
    </w:p>
    <w:p>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hint="eastAsia" w:eastAsia="仿宋_GB2312"/>
          <w:sz w:val="32"/>
          <w:szCs w:val="32"/>
          <w:lang w:val="en-US" w:eastAsia="zh-CN"/>
        </w:rPr>
        <w:t>一是</w:t>
      </w:r>
      <w:r>
        <w:rPr>
          <w:rFonts w:hint="eastAsia" w:eastAsia="仿宋_GB2312"/>
          <w:sz w:val="32"/>
          <w:szCs w:val="32"/>
        </w:rPr>
        <w:t>在项目开始之初，设定清晰、可量化的目标</w:t>
      </w:r>
      <w:r>
        <w:rPr>
          <w:rFonts w:hint="eastAsia" w:eastAsia="仿宋_GB2312"/>
          <w:sz w:val="32"/>
          <w:szCs w:val="32"/>
          <w:lang w:eastAsia="zh-CN"/>
        </w:rPr>
        <w:t>，</w:t>
      </w:r>
      <w:r>
        <w:rPr>
          <w:rFonts w:hint="eastAsia" w:eastAsia="仿宋_GB2312"/>
          <w:sz w:val="32"/>
          <w:szCs w:val="32"/>
        </w:rPr>
        <w:t>有助于后续的绩效评估和结果对比</w:t>
      </w:r>
      <w:r>
        <w:rPr>
          <w:rFonts w:hint="eastAsia" w:eastAsia="仿宋_GB2312"/>
          <w:sz w:val="32"/>
          <w:szCs w:val="32"/>
          <w:lang w:eastAsia="zh-CN"/>
        </w:rPr>
        <w:t>；</w:t>
      </w:r>
      <w:r>
        <w:rPr>
          <w:rFonts w:hint="eastAsia" w:eastAsia="仿宋_GB2312"/>
          <w:sz w:val="32"/>
          <w:szCs w:val="32"/>
          <w:lang w:val="en-US" w:eastAsia="zh-CN"/>
        </w:rPr>
        <w:t>二是</w:t>
      </w:r>
      <w:r>
        <w:rPr>
          <w:rFonts w:hint="eastAsia" w:eastAsia="仿宋_GB2312"/>
          <w:sz w:val="32"/>
          <w:szCs w:val="32"/>
        </w:rPr>
        <w:t>在项目执行过程中，不断总结经验教训，对出现的问题进行深入分析，找出根本原因，并采取有效措施进行改进</w:t>
      </w:r>
      <w:r>
        <w:rPr>
          <w:rFonts w:hint="eastAsia" w:eastAsia="仿宋_GB2312"/>
          <w:sz w:val="32"/>
          <w:szCs w:val="32"/>
          <w:lang w:eastAsia="zh-CN"/>
        </w:rPr>
        <w:t>；</w:t>
      </w:r>
      <w:r>
        <w:rPr>
          <w:rFonts w:hint="eastAsia" w:eastAsia="仿宋_GB2312"/>
          <w:sz w:val="32"/>
          <w:szCs w:val="32"/>
          <w:lang w:val="en-US" w:eastAsia="zh-CN"/>
        </w:rPr>
        <w:t>三是注意</w:t>
      </w:r>
      <w:r>
        <w:rPr>
          <w:rFonts w:hint="eastAsia" w:eastAsia="仿宋_GB2312"/>
          <w:sz w:val="32"/>
          <w:szCs w:val="32"/>
        </w:rPr>
        <w:t>识别潜在的风险因素，</w:t>
      </w:r>
      <w:r>
        <w:rPr>
          <w:rFonts w:hint="eastAsia" w:eastAsia="仿宋_GB2312"/>
          <w:sz w:val="32"/>
          <w:szCs w:val="32"/>
          <w:lang w:val="en-US" w:eastAsia="zh-CN"/>
        </w:rPr>
        <w:t>及时</w:t>
      </w:r>
      <w:r>
        <w:rPr>
          <w:rFonts w:hint="eastAsia" w:eastAsia="仿宋_GB2312"/>
          <w:sz w:val="32"/>
          <w:szCs w:val="32"/>
        </w:rPr>
        <w:t>制定应对策略，并密切关注风险的实际发生情况</w:t>
      </w:r>
      <w:r>
        <w:rPr>
          <w:rFonts w:hint="eastAsia" w:eastAsia="仿宋_GB2312"/>
          <w:sz w:val="32"/>
          <w:szCs w:val="32"/>
          <w:lang w:eastAsia="zh-CN"/>
        </w:rPr>
        <w:t>，</w:t>
      </w:r>
      <w:r>
        <w:rPr>
          <w:rFonts w:hint="eastAsia" w:eastAsia="仿宋_GB2312"/>
          <w:sz w:val="32"/>
          <w:szCs w:val="32"/>
        </w:rPr>
        <w:t>及时调整计划，确保项目</w:t>
      </w:r>
      <w:r>
        <w:rPr>
          <w:rFonts w:hint="eastAsia" w:eastAsia="仿宋_GB2312"/>
          <w:sz w:val="32"/>
          <w:szCs w:val="32"/>
          <w:lang w:val="en-US" w:eastAsia="zh-CN"/>
        </w:rPr>
        <w:t>各项指标</w:t>
      </w:r>
      <w:r>
        <w:rPr>
          <w:rFonts w:hint="eastAsia" w:eastAsia="仿宋_GB2312"/>
          <w:sz w:val="32"/>
          <w:szCs w:val="32"/>
        </w:rPr>
        <w:t>能够按时、按质完成</w:t>
      </w:r>
      <w:r>
        <w:rPr>
          <w:rFonts w:hint="eastAsia" w:eastAsia="仿宋_GB2312"/>
          <w:sz w:val="32"/>
          <w:szCs w:val="32"/>
          <w:lang w:eastAsia="zh-CN"/>
        </w:rPr>
        <w:t>；</w:t>
      </w:r>
      <w:r>
        <w:rPr>
          <w:rFonts w:hint="eastAsia" w:eastAsia="仿宋_GB2312"/>
          <w:sz w:val="32"/>
          <w:szCs w:val="32"/>
          <w:lang w:val="en-US" w:eastAsia="zh-CN"/>
        </w:rPr>
        <w:t>四是单位领导高度重视项目开展情况与资金执行情况，定期组织召开专题会议及时了解项目有关情况并制定下一步工作计划，明确落实责任分工；五是单位各科室之间密切配合，通力协作，确保高效完成各项工作目标。</w:t>
      </w:r>
    </w:p>
    <w:p>
      <w:pPr>
        <w:keepNext/>
        <w:keepLines/>
        <w:numPr>
          <w:ilvl w:val="0"/>
          <w:numId w:val="6"/>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lang w:val="en-US" w:eastAsia="zh-CN"/>
        </w:rPr>
        <w:t>2.绩效自评过程中无法及时获得相关指标完成情况佐证材料。日常工作中未能及时收集保存涉及绩效自评有关指标完成情况的佐证材料，工作方式有待改进。</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加强绩效管理，提高绩效管理水平，进一步规范绩效目标编制。组织预算绩效管理相关培训，加强预算绩效管理意识，提高人员绩效管理水平，进一步夯实业务基础，将有关绩效管理工作方面的知识纳入集体学习范围，形成全员了解绩效管理工作内容，认识到绩效管理工作的重要性，促进绩效管理工作高效开展。</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2.进一步完善项目评价过程中有关数据和资料的收集、整理、审核及分析。同步做好档案的归纳与整理，及时整理、收集、汇总，健全档案资料。</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2"/>
        <w:spacing w:after="0" w:line="560" w:lineRule="exact"/>
        <w:ind w:left="0" w:leftChars="0" w:firstLine="640"/>
        <w:rPr>
          <w:rFonts w:ascii="仿宋_GB2312" w:hAnsi="仿宋_GB2312" w:eastAsia="仿宋_GB2312" w:cs="仿宋_GB2312"/>
          <w:sz w:val="32"/>
          <w:szCs w:val="32"/>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8"/>
        <w:gridCol w:w="728"/>
        <w:gridCol w:w="728"/>
        <w:gridCol w:w="1635"/>
        <w:gridCol w:w="666"/>
        <w:gridCol w:w="946"/>
        <w:gridCol w:w="954"/>
        <w:gridCol w:w="878"/>
        <w:gridCol w:w="855"/>
        <w:gridCol w:w="1161"/>
        <w:gridCol w:w="1162"/>
        <w:gridCol w:w="992"/>
        <w:gridCol w:w="870"/>
        <w:gridCol w:w="1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485"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自治区污染物总量控制项目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7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1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新疆维吾尔自治区排污权交易储备中心（自治区应对气候变化与低碳发展研究中心）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19.97</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99.85%%</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20.00 </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20.00 </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19.97 </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99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7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9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加强全区主要污染物总量控制审查核算工作，紧盯污染物总量控制“十四五”目标及减排工程，将总量控制工作作为推进供给侧改革，改善环境质量的重要抓手，确保全区“十四五”总量控制工作深入开展。进一步摸清区域排污储备总量及构成情况，做好排污权初始分配及交易基础准备，做好自治区总量控制及排污权全业务监管信息平台运行及管理工作，切实提高部门的业务管理水平和工作效率。</w:t>
            </w:r>
          </w:p>
        </w:tc>
        <w:tc>
          <w:tcPr>
            <w:tcW w:w="27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自治区生态环境厅统一部署安排，开展2023年度总量减排调度及年终上报工作，按时出具建设项目总量审查意见，开展节能宣传、低碳发展等宣传活动普及生态文明理念知识，为自治区生态环境保护相关工作提供了有力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出具建设项目总量审查意见</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bookmarkStart w:id="9" w:name="_GoBack"/>
            <w:r>
              <w:rPr>
                <w:rFonts w:hint="eastAsia" w:ascii="宋体" w:hAnsi="宋体" w:eastAsia="宋体" w:cs="宋体"/>
                <w:i w:val="0"/>
                <w:iCs w:val="0"/>
                <w:color w:val="000000"/>
                <w:kern w:val="0"/>
                <w:sz w:val="18"/>
                <w:szCs w:val="18"/>
                <w:u w:val="none"/>
                <w:lang w:val="en-US" w:eastAsia="zh-CN" w:bidi="ar"/>
              </w:rPr>
              <w:t>&gt;=</w:t>
            </w:r>
            <w:bookmarkEnd w:id="9"/>
            <w:r>
              <w:rPr>
                <w:rFonts w:hint="eastAsia" w:ascii="宋体" w:hAnsi="宋体" w:eastAsia="宋体" w:cs="宋体"/>
                <w:i w:val="0"/>
                <w:iCs w:val="0"/>
                <w:color w:val="000000"/>
                <w:kern w:val="0"/>
                <w:sz w:val="18"/>
                <w:szCs w:val="18"/>
                <w:u w:val="none"/>
                <w:lang w:val="en-US" w:eastAsia="zh-CN" w:bidi="ar"/>
              </w:rPr>
              <w:t>180份</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196</w:t>
            </w:r>
            <w:r>
              <w:rPr>
                <w:rFonts w:hint="eastAsia" w:ascii="宋体" w:hAnsi="宋体" w:cs="宋体"/>
                <w:i w:val="0"/>
                <w:iCs w:val="0"/>
                <w:color w:val="000000"/>
                <w:kern w:val="0"/>
                <w:sz w:val="18"/>
                <w:szCs w:val="18"/>
                <w:u w:val="none"/>
                <w:lang w:val="en-US" w:eastAsia="zh-CN" w:bidi="ar"/>
              </w:rPr>
              <w:t>份</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108.89%</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13.67</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历史标准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190份</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总量减排工作调度</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&gt;=4次</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4次</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4次</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总量减排数据审核通过率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90.06%</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总量减排工作按期完成率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&gt;=100%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提升应对气候变化与低碳政策知识公众知晓率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持续提升</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持续提升</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持续提升</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各地州生态环境局及重点企业对排污许可管理工作满意度</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100%</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满意度赋分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48"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4" w:type="pct"/>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98.67</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11"/>
        <w:jc w:val="both"/>
        <w:rPr>
          <w:rFonts w:ascii="Times New Roman" w:hAnsi="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9"/>
        <w:ind w:firstLine="562"/>
        <w:jc w:val="center"/>
        <w:rPr>
          <w:sz w:val="28"/>
          <w:szCs w:val="40"/>
        </w:rPr>
      </w:pPr>
      <w:bookmarkStart w:id="7" w:name="_Toc30064_WPSOffice_Level1"/>
      <w:bookmarkStart w:id="8" w:name="_Toc26499_WPSOffice_Level2"/>
      <w:r>
        <w:rPr>
          <w:rFonts w:hint="eastAsia"/>
          <w:b/>
          <w:bCs/>
          <w:sz w:val="28"/>
          <w:szCs w:val="40"/>
          <w:highlight w:val="none"/>
          <w:lang w:val="en-US" w:eastAsia="zh-CN"/>
        </w:rPr>
        <w:t>自治区污染物总量控制项目</w:t>
      </w:r>
      <w:r>
        <w:rPr>
          <w:rFonts w:hint="eastAsia"/>
          <w:b/>
          <w:bCs/>
          <w:sz w:val="28"/>
          <w:szCs w:val="40"/>
        </w:rPr>
        <w:t>绩效评价指标体系及综合评分表</w:t>
      </w:r>
      <w:bookmarkEnd w:id="7"/>
      <w:bookmarkEnd w:id="8"/>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楷体_GB2312">
    <w:altName w:val="宋体"/>
    <w:panose1 w:val="02000000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简标宋">
    <w:panose1 w:val="00000000000000000000"/>
    <w:charset w:val="00"/>
    <w:family w:val="auto"/>
    <w:pitch w:val="default"/>
    <w:sig w:usb0="00000000" w:usb1="00000000" w:usb2="00000000" w:usb3="00000000" w:csb0="00000000" w:csb1="00000000"/>
  </w:font>
  <w:font w:name="东文宋体">
    <w:altName w:val="Noto Sans CJK SC"/>
    <w:panose1 w:val="00000000000000000000"/>
    <w:charset w:val="00"/>
    <w:family w:val="auto"/>
    <w:pitch w:val="default"/>
    <w:sig w:usb0="00000000" w:usb1="00000000" w:usb2="00000000" w:usb3="00000000" w:csb0="00000000" w:csb1="0000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TQ2ZGMzNjhjYmU5MjEwMTIwYzc0ZTkxYWM2ZDgifQ=="/>
  </w:docVars>
  <w:rsids>
    <w:rsidRoot w:val="FF6C4049"/>
    <w:rsid w:val="006F7242"/>
    <w:rsid w:val="007B168A"/>
    <w:rsid w:val="008B2CFE"/>
    <w:rsid w:val="00F26FF6"/>
    <w:rsid w:val="07397B77"/>
    <w:rsid w:val="099160D5"/>
    <w:rsid w:val="0A315FA4"/>
    <w:rsid w:val="13471461"/>
    <w:rsid w:val="13B90F01"/>
    <w:rsid w:val="15F6F328"/>
    <w:rsid w:val="181066D2"/>
    <w:rsid w:val="1C671E73"/>
    <w:rsid w:val="253B3A73"/>
    <w:rsid w:val="2ABE778B"/>
    <w:rsid w:val="3348636E"/>
    <w:rsid w:val="3593164F"/>
    <w:rsid w:val="38CA40DD"/>
    <w:rsid w:val="3935AA46"/>
    <w:rsid w:val="395F2B56"/>
    <w:rsid w:val="3B6456F5"/>
    <w:rsid w:val="3BECE841"/>
    <w:rsid w:val="3FF7797D"/>
    <w:rsid w:val="464B4BAE"/>
    <w:rsid w:val="466E41ED"/>
    <w:rsid w:val="4E9550A3"/>
    <w:rsid w:val="4F737E27"/>
    <w:rsid w:val="554151F6"/>
    <w:rsid w:val="59682403"/>
    <w:rsid w:val="5BFF6039"/>
    <w:rsid w:val="5D76A616"/>
    <w:rsid w:val="5D7F20B9"/>
    <w:rsid w:val="5DAC7D0E"/>
    <w:rsid w:val="5F98B5AF"/>
    <w:rsid w:val="5FFE8511"/>
    <w:rsid w:val="5FFEACE2"/>
    <w:rsid w:val="60FE5AC4"/>
    <w:rsid w:val="643EE26D"/>
    <w:rsid w:val="6C3A25FE"/>
    <w:rsid w:val="6F5C41AC"/>
    <w:rsid w:val="6FAF6C78"/>
    <w:rsid w:val="7317C656"/>
    <w:rsid w:val="734ED73F"/>
    <w:rsid w:val="77FD8BE9"/>
    <w:rsid w:val="79A9BD3F"/>
    <w:rsid w:val="7A0724B9"/>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7FC6C4B"/>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Normal Indent"/>
    <w:basedOn w:val="1"/>
    <w:semiHidden/>
    <w:unhideWhenUsed/>
    <w:qFormat/>
    <w:uiPriority w:val="99"/>
    <w:pPr>
      <w:ind w:firstLine="420" w:firstLineChars="200"/>
    </w:pPr>
  </w:style>
  <w:style w:type="paragraph" w:styleId="6">
    <w:name w:val="annotation text"/>
    <w:basedOn w:val="1"/>
    <w:link w:val="22"/>
    <w:qFormat/>
    <w:uiPriority w:val="0"/>
    <w:pPr>
      <w:jc w:val="left"/>
    </w:pPr>
  </w:style>
  <w:style w:type="paragraph" w:styleId="7">
    <w:name w:val="Body Text"/>
    <w:basedOn w:val="1"/>
    <w:qFormat/>
    <w:uiPriority w:val="0"/>
    <w:pPr>
      <w:spacing w:after="120"/>
    </w:p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6"/>
    <w:next w:val="6"/>
    <w:link w:val="23"/>
    <w:qFormat/>
    <w:uiPriority w:val="0"/>
    <w:rPr>
      <w:b/>
      <w:bCs/>
    </w:rPr>
  </w:style>
  <w:style w:type="paragraph" w:styleId="13">
    <w:name w:val="Body Text First Indent"/>
    <w:basedOn w:val="7"/>
    <w:next w:val="2"/>
    <w:qFormat/>
    <w:uiPriority w:val="0"/>
    <w:pPr>
      <w:spacing w:after="0"/>
      <w:ind w:firstLine="20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6"/>
    <w:qFormat/>
    <w:uiPriority w:val="0"/>
    <w:rPr>
      <w:rFonts w:ascii="Times New Roman" w:hAnsi="Times New Roman" w:eastAsia="宋体" w:cs="Times New Roman"/>
      <w:kern w:val="2"/>
      <w:sz w:val="21"/>
      <w:szCs w:val="24"/>
    </w:rPr>
  </w:style>
  <w:style w:type="character" w:customStyle="1" w:styleId="23">
    <w:name w:val="批注主题 字符"/>
    <w:basedOn w:val="22"/>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8469</Words>
  <Characters>8724</Characters>
  <Lines>58</Lines>
  <Paragraphs>16</Paragraphs>
  <TotalTime>23</TotalTime>
  <ScaleCrop>false</ScaleCrop>
  <LinksUpToDate>false</LinksUpToDate>
  <CharactersWithSpaces>8775</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2023-03-09T05:13:00Z</dcterms:created>
  <dc:creator>审核人</dc:creator>
  <cp:lastModifiedBy>全</cp:lastModifiedBy>
  <cp:lastPrinted>2024-04-09T18:02:10Z</cp:lastPrinted>
  <dcterms:modified xsi:type="dcterms:W3CDTF">2024-04-09T18:16:32Z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B4AF9C3BF1224AC3B9B25464DEDC2067_13</vt:lpwstr>
  </property>
</Properties>
</file>