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338" w:type="dxa"/>
        <w:jc w:val="center"/>
        <w:tblLayout w:type="fixed"/>
        <w:tblCellMar>
          <w:top w:w="0" w:type="dxa"/>
          <w:left w:w="108" w:type="dxa"/>
          <w:bottom w:w="0" w:type="dxa"/>
          <w:right w:w="108" w:type="dxa"/>
        </w:tblCellMar>
      </w:tblPr>
      <w:tblGrid>
        <w:gridCol w:w="604"/>
        <w:gridCol w:w="1008"/>
        <w:gridCol w:w="1143"/>
        <w:gridCol w:w="751"/>
        <w:gridCol w:w="1166"/>
        <w:gridCol w:w="245"/>
        <w:gridCol w:w="922"/>
        <w:gridCol w:w="875"/>
        <w:gridCol w:w="291"/>
        <w:gridCol w:w="292"/>
        <w:gridCol w:w="437"/>
        <w:gridCol w:w="146"/>
        <w:gridCol w:w="729"/>
        <w:gridCol w:w="729"/>
      </w:tblGrid>
      <w:tr>
        <w:tblPrEx>
          <w:tblCellMar>
            <w:top w:w="0" w:type="dxa"/>
            <w:left w:w="108" w:type="dxa"/>
            <w:bottom w:w="0" w:type="dxa"/>
            <w:right w:w="108" w:type="dxa"/>
          </w:tblCellMar>
        </w:tblPrEx>
        <w:trPr>
          <w:trHeight w:val="580" w:hRule="exact"/>
          <w:jc w:val="center"/>
        </w:trPr>
        <w:tc>
          <w:tcPr>
            <w:tcW w:w="9337" w:type="dxa"/>
            <w:gridSpan w:val="14"/>
            <w:tcBorders>
              <w:top w:val="nil"/>
              <w:left w:val="nil"/>
              <w:bottom w:val="nil"/>
              <w:right w:val="nil"/>
            </w:tcBorders>
            <w:vAlign w:val="center"/>
          </w:tcPr>
          <w:p>
            <w:pPr>
              <w:widowControl/>
              <w:spacing w:line="320" w:lineRule="exact"/>
              <w:jc w:val="left"/>
              <w:rPr>
                <w:rFonts w:ascii="宋体" w:hAnsi="宋体" w:eastAsia="宋体" w:cs="宋体"/>
                <w:b/>
                <w:bCs/>
                <w:kern w:val="0"/>
                <w:sz w:val="32"/>
                <w:szCs w:val="32"/>
              </w:rPr>
            </w:pPr>
            <w:r>
              <w:rPr>
                <w:rFonts w:hint="eastAsia" w:ascii="黑体" w:hAnsi="黑体" w:eastAsia="黑体" w:cs="黑体"/>
                <w:kern w:val="0"/>
                <w:sz w:val="24"/>
              </w:rPr>
              <w:t>附件4：</w:t>
            </w:r>
          </w:p>
        </w:tc>
      </w:tr>
      <w:tr>
        <w:tblPrEx>
          <w:tblCellMar>
            <w:top w:w="0" w:type="dxa"/>
            <w:left w:w="108" w:type="dxa"/>
            <w:bottom w:w="0" w:type="dxa"/>
            <w:right w:w="108" w:type="dxa"/>
          </w:tblCellMar>
        </w:tblPrEx>
        <w:trPr>
          <w:trHeight w:val="580" w:hRule="exact"/>
          <w:jc w:val="center"/>
        </w:trPr>
        <w:tc>
          <w:tcPr>
            <w:tcW w:w="9337"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57" w:hRule="atLeast"/>
          <w:jc w:val="center"/>
        </w:trPr>
        <w:tc>
          <w:tcPr>
            <w:tcW w:w="9337"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（2023年度）</w:t>
            </w:r>
          </w:p>
        </w:tc>
      </w:tr>
      <w:tr>
        <w:tblPrEx>
          <w:tblCellMar>
            <w:top w:w="0" w:type="dxa"/>
            <w:left w:w="108" w:type="dxa"/>
            <w:bottom w:w="0" w:type="dxa"/>
            <w:right w:w="108" w:type="dxa"/>
          </w:tblCellMar>
        </w:tblPrEx>
        <w:trPr>
          <w:trHeight w:val="383" w:hRule="exact"/>
          <w:jc w:val="center"/>
        </w:trPr>
        <w:tc>
          <w:tcPr>
            <w:tcW w:w="16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72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新疆区域空气质量预警预报系统云平台运行维护</w:t>
            </w:r>
          </w:p>
        </w:tc>
      </w:tr>
      <w:tr>
        <w:tblPrEx>
          <w:tblCellMar>
            <w:top w:w="0" w:type="dxa"/>
            <w:left w:w="108" w:type="dxa"/>
            <w:bottom w:w="0" w:type="dxa"/>
            <w:right w:w="108" w:type="dxa"/>
          </w:tblCellMar>
        </w:tblPrEx>
        <w:trPr>
          <w:trHeight w:val="619" w:hRule="exact"/>
          <w:jc w:val="center"/>
        </w:trPr>
        <w:tc>
          <w:tcPr>
            <w:tcW w:w="16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22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新疆维吾尔自治区生态环境厅</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33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ascii="宋体" w:hAnsi="宋体" w:eastAsia="宋体" w:cs="宋体"/>
                <w:kern w:val="0"/>
                <w:sz w:val="18"/>
                <w:szCs w:val="18"/>
              </w:rPr>
              <w:t>新疆维吾尔自治区生态环境监测总站</w:t>
            </w:r>
          </w:p>
        </w:tc>
      </w:tr>
      <w:tr>
        <w:tblPrEx>
          <w:tblCellMar>
            <w:top w:w="0" w:type="dxa"/>
            <w:left w:w="108" w:type="dxa"/>
            <w:bottom w:w="0" w:type="dxa"/>
            <w:right w:w="108" w:type="dxa"/>
          </w:tblCellMar>
        </w:tblPrEx>
        <w:trPr>
          <w:trHeight w:val="383" w:hRule="exact"/>
          <w:jc w:val="center"/>
        </w:trPr>
        <w:tc>
          <w:tcPr>
            <w:tcW w:w="1612"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2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2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83" w:hRule="exact"/>
          <w:jc w:val="center"/>
        </w:trPr>
        <w:tc>
          <w:tcPr>
            <w:tcW w:w="16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9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rPr>
              <w:t>210</w:t>
            </w:r>
            <w:r>
              <w:rPr>
                <w:rFonts w:hint="default" w:ascii="Times New Roman" w:hAnsi="Times New Roman" w:eastAsia="宋体" w:cs="Times New Roman"/>
                <w:kern w:val="0"/>
                <w:sz w:val="18"/>
                <w:szCs w:val="18"/>
                <w:lang w:val="en-US" w:eastAsia="zh-CN"/>
              </w:rPr>
              <w:t>万元</w:t>
            </w:r>
          </w:p>
        </w:tc>
        <w:tc>
          <w:tcPr>
            <w:tcW w:w="11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210</w:t>
            </w:r>
            <w:r>
              <w:rPr>
                <w:rFonts w:hint="default" w:ascii="Times New Roman" w:hAnsi="Times New Roman" w:eastAsia="宋体" w:cs="Times New Roman"/>
                <w:kern w:val="0"/>
                <w:sz w:val="18"/>
                <w:szCs w:val="18"/>
                <w:lang w:val="en-US" w:eastAsia="zh-CN"/>
              </w:rPr>
              <w:t>万元</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208万元</w:t>
            </w:r>
          </w:p>
        </w:tc>
        <w:tc>
          <w:tcPr>
            <w:tcW w:w="7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99.05</w:t>
            </w:r>
            <w:r>
              <w:rPr>
                <w:rFonts w:hint="default" w:ascii="Times New Roman" w:hAnsi="Times New Roman" w:eastAsia="宋体" w:cs="Times New Roman"/>
                <w:kern w:val="0"/>
                <w:sz w:val="18"/>
                <w:szCs w:val="18"/>
              </w:rPr>
              <w:t>%</w:t>
            </w:r>
          </w:p>
        </w:tc>
        <w:tc>
          <w:tcPr>
            <w:tcW w:w="729"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9.9</w:t>
            </w:r>
          </w:p>
        </w:tc>
      </w:tr>
      <w:tr>
        <w:tblPrEx>
          <w:tblCellMar>
            <w:top w:w="0" w:type="dxa"/>
            <w:left w:w="108" w:type="dxa"/>
            <w:bottom w:w="0" w:type="dxa"/>
            <w:right w:w="108" w:type="dxa"/>
          </w:tblCellMar>
        </w:tblPrEx>
        <w:trPr>
          <w:trHeight w:val="383" w:hRule="exact"/>
          <w:jc w:val="center"/>
        </w:trPr>
        <w:tc>
          <w:tcPr>
            <w:tcW w:w="16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210</w:t>
            </w:r>
            <w:r>
              <w:rPr>
                <w:rFonts w:hint="default" w:ascii="Times New Roman" w:hAnsi="Times New Roman" w:eastAsia="宋体" w:cs="Times New Roman"/>
                <w:kern w:val="0"/>
                <w:sz w:val="18"/>
                <w:szCs w:val="18"/>
                <w:lang w:val="en-US" w:eastAsia="zh-CN"/>
              </w:rPr>
              <w:t>万元</w:t>
            </w:r>
          </w:p>
        </w:tc>
        <w:tc>
          <w:tcPr>
            <w:tcW w:w="11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210</w:t>
            </w:r>
            <w:r>
              <w:rPr>
                <w:rFonts w:hint="default" w:ascii="Times New Roman" w:hAnsi="Times New Roman" w:eastAsia="宋体" w:cs="Times New Roman"/>
                <w:kern w:val="0"/>
                <w:sz w:val="18"/>
                <w:szCs w:val="18"/>
                <w:lang w:val="en-US" w:eastAsia="zh-CN"/>
              </w:rPr>
              <w:t>万元</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lang w:val="en-US" w:eastAsia="zh-CN"/>
              </w:rPr>
              <w:t>208万元</w:t>
            </w:r>
          </w:p>
        </w:tc>
        <w:tc>
          <w:tcPr>
            <w:tcW w:w="7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729"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r>
      <w:tr>
        <w:tblPrEx>
          <w:tblCellMar>
            <w:top w:w="0" w:type="dxa"/>
            <w:left w:w="108" w:type="dxa"/>
            <w:bottom w:w="0" w:type="dxa"/>
            <w:right w:w="108" w:type="dxa"/>
          </w:tblCellMar>
        </w:tblPrEx>
        <w:trPr>
          <w:trHeight w:val="383" w:hRule="exact"/>
          <w:jc w:val="center"/>
        </w:trPr>
        <w:tc>
          <w:tcPr>
            <w:tcW w:w="16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0</w:t>
            </w:r>
          </w:p>
        </w:tc>
        <w:tc>
          <w:tcPr>
            <w:tcW w:w="11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0</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0</w:t>
            </w:r>
          </w:p>
        </w:tc>
        <w:tc>
          <w:tcPr>
            <w:tcW w:w="7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729"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r>
      <w:tr>
        <w:tblPrEx>
          <w:tblCellMar>
            <w:top w:w="0" w:type="dxa"/>
            <w:left w:w="108" w:type="dxa"/>
            <w:bottom w:w="0" w:type="dxa"/>
            <w:right w:w="108" w:type="dxa"/>
          </w:tblCellMar>
        </w:tblPrEx>
        <w:trPr>
          <w:trHeight w:val="383" w:hRule="exact"/>
          <w:jc w:val="center"/>
        </w:trPr>
        <w:tc>
          <w:tcPr>
            <w:tcW w:w="161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66"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0</w:t>
            </w:r>
          </w:p>
        </w:tc>
        <w:tc>
          <w:tcPr>
            <w:tcW w:w="11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0</w:t>
            </w:r>
          </w:p>
        </w:tc>
        <w:tc>
          <w:tcPr>
            <w:tcW w:w="116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default" w:ascii="Times New Roman" w:hAnsi="Times New Roman" w:eastAsia="宋体" w:cs="Times New Roman"/>
                <w:kern w:val="0"/>
                <w:sz w:val="18"/>
                <w:szCs w:val="18"/>
                <w:lang w:val="en-US" w:eastAsia="zh-CN"/>
              </w:rPr>
              <w:t>0</w:t>
            </w:r>
          </w:p>
        </w:tc>
        <w:tc>
          <w:tcPr>
            <w:tcW w:w="72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8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c>
          <w:tcPr>
            <w:tcW w:w="729"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w:t>
            </w:r>
          </w:p>
        </w:tc>
      </w:tr>
      <w:tr>
        <w:tblPrEx>
          <w:tblCellMar>
            <w:top w:w="0" w:type="dxa"/>
            <w:left w:w="108" w:type="dxa"/>
            <w:bottom w:w="0" w:type="dxa"/>
            <w:right w:w="108" w:type="dxa"/>
          </w:tblCellMar>
        </w:tblPrEx>
        <w:trPr>
          <w:trHeight w:val="383" w:hRule="exact"/>
          <w:jc w:val="center"/>
        </w:trPr>
        <w:tc>
          <w:tcPr>
            <w:tcW w:w="60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23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49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2130" w:hRule="exact"/>
          <w:jc w:val="center"/>
        </w:trPr>
        <w:tc>
          <w:tcPr>
            <w:tcW w:w="60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234"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通过租赁联通公司云平台部署新疆区域环境空气质量预警预报系统，保障向国家和公众按时发布空气质量预报大于360天，为深入打好污染防治攻坚战提供科学支撑。委托软件开发服务公司对各类数据软件运行维护，保障系统正常运行和年度各项环境监测数据按要求及时上报中国环境监测总站及自治区生态环境厅。</w:t>
            </w:r>
          </w:p>
        </w:tc>
        <w:tc>
          <w:tcPr>
            <w:tcW w:w="3499"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已通过租赁联通公司云平台部署新疆区域环境空气质量预警预报系统，保障向国家和公众按时发布空气质量预报365天，为深入打好污染防治攻坚战提供科学支撑。已委托软件开发服务公司对各类数据软件运行维护，保障了系统正常运行和年度各项环境监测数据按要求及时上报中国环境监测总站及自治区生态环境厅。</w:t>
            </w:r>
          </w:p>
        </w:tc>
      </w:tr>
      <w:tr>
        <w:tblPrEx>
          <w:tblCellMar>
            <w:top w:w="0" w:type="dxa"/>
            <w:left w:w="108" w:type="dxa"/>
            <w:bottom w:w="0" w:type="dxa"/>
            <w:right w:w="108" w:type="dxa"/>
          </w:tblCellMar>
        </w:tblPrEx>
        <w:trPr>
          <w:trHeight w:val="681" w:hRule="exact"/>
          <w:jc w:val="center"/>
        </w:trPr>
        <w:tc>
          <w:tcPr>
            <w:tcW w:w="604"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10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4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8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发布空气质量预报天数</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≥360天</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365天</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38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数据平台正常运行天数</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≥360天</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365天</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38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ascii="宋体" w:hAnsi="宋体" w:eastAsia="宋体" w:cs="宋体"/>
                <w:color w:val="000000"/>
                <w:kern w:val="0"/>
                <w:sz w:val="18"/>
                <w:szCs w:val="18"/>
              </w:rPr>
              <w:t>软件系统运行维护数量</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≥3套</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4套</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38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数据平台运行故障率</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≤5%</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5%</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7</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38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62" w:type="dxa"/>
            <w:gridSpan w:val="3"/>
            <w:tcBorders>
              <w:top w:val="single" w:color="auto" w:sz="4" w:space="0"/>
              <w:left w:val="nil"/>
              <w:bottom w:val="single" w:color="auto" w:sz="4" w:space="0"/>
              <w:right w:val="single" w:color="auto" w:sz="4" w:space="0"/>
            </w:tcBorders>
            <w:vAlign w:val="center"/>
          </w:tcPr>
          <w:p>
            <w:pPr>
              <w:rPr>
                <w:rFonts w:ascii="宋体" w:hAnsi="宋体" w:eastAsia="宋体" w:cs="宋体"/>
                <w:color w:val="000000"/>
                <w:kern w:val="0"/>
                <w:sz w:val="18"/>
                <w:szCs w:val="18"/>
              </w:rPr>
            </w:pPr>
            <w:r>
              <w:rPr>
                <w:rFonts w:hint="eastAsia" w:ascii="宋体" w:hAnsi="宋体" w:eastAsia="宋体" w:cs="宋体"/>
                <w:color w:val="000000"/>
                <w:kern w:val="0"/>
                <w:sz w:val="18"/>
                <w:szCs w:val="18"/>
              </w:rPr>
              <w:t>系统故障修复处理时间</w:t>
            </w:r>
          </w:p>
        </w:tc>
        <w:tc>
          <w:tcPr>
            <w:tcW w:w="922" w:type="dxa"/>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≤4天</w:t>
            </w:r>
          </w:p>
        </w:tc>
        <w:tc>
          <w:tcPr>
            <w:tcW w:w="875" w:type="dxa"/>
            <w:tcBorders>
              <w:top w:val="nil"/>
              <w:left w:val="nil"/>
              <w:bottom w:val="single" w:color="auto" w:sz="4" w:space="0"/>
              <w:right w:val="single" w:color="auto" w:sz="4" w:space="0"/>
            </w:tcBorders>
            <w:vAlign w:val="center"/>
          </w:tcPr>
          <w:p>
            <w:pPr>
              <w:ind w:firstLine="180" w:firstLineChars="100"/>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4天</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6</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6</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383"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62" w:type="dxa"/>
            <w:gridSpan w:val="3"/>
            <w:tcBorders>
              <w:top w:val="single" w:color="auto" w:sz="4" w:space="0"/>
              <w:left w:val="nil"/>
              <w:bottom w:val="single" w:color="auto" w:sz="4" w:space="0"/>
              <w:right w:val="single" w:color="auto" w:sz="4" w:space="0"/>
            </w:tcBorders>
            <w:vAlign w:val="center"/>
          </w:tcPr>
          <w:p>
            <w:pPr>
              <w:rPr>
                <w:rFonts w:ascii="宋体" w:hAnsi="宋体" w:eastAsia="宋体" w:cs="宋体"/>
                <w:color w:val="000000"/>
                <w:kern w:val="0"/>
                <w:sz w:val="18"/>
                <w:szCs w:val="18"/>
              </w:rPr>
            </w:pPr>
            <w:r>
              <w:rPr>
                <w:rFonts w:hint="eastAsia" w:ascii="宋体" w:hAnsi="宋体" w:eastAsia="宋体" w:cs="宋体"/>
                <w:color w:val="000000"/>
                <w:kern w:val="0"/>
                <w:sz w:val="18"/>
                <w:szCs w:val="18"/>
              </w:rPr>
              <w:t>系统运行维护响应时间</w:t>
            </w:r>
          </w:p>
        </w:tc>
        <w:tc>
          <w:tcPr>
            <w:tcW w:w="922" w:type="dxa"/>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≤4小时</w:t>
            </w:r>
          </w:p>
        </w:tc>
        <w:tc>
          <w:tcPr>
            <w:tcW w:w="875" w:type="dxa"/>
            <w:tcBorders>
              <w:top w:val="nil"/>
              <w:left w:val="nil"/>
              <w:bottom w:val="single" w:color="auto" w:sz="4" w:space="0"/>
              <w:right w:val="single" w:color="auto" w:sz="4" w:space="0"/>
            </w:tcBorders>
            <w:vAlign w:val="center"/>
          </w:tcPr>
          <w:p>
            <w:pPr>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4</w:t>
            </w:r>
            <w:bookmarkStart w:id="0" w:name="_GoBack"/>
            <w:bookmarkEnd w:id="0"/>
            <w:r>
              <w:rPr>
                <w:rFonts w:hint="default" w:ascii="Times New Roman" w:hAnsi="Times New Roman" w:eastAsia="宋体" w:cs="Times New Roman"/>
                <w:color w:val="000000"/>
                <w:kern w:val="0"/>
                <w:sz w:val="18"/>
                <w:szCs w:val="18"/>
              </w:rPr>
              <w:t>小时</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6</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6</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772"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空气质量预警预报系统云租赁</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≤160万元</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w:t>
            </w:r>
            <w:r>
              <w:rPr>
                <w:rFonts w:hint="default" w:ascii="Times New Roman" w:hAnsi="Times New Roman" w:eastAsia="宋体" w:cs="Times New Roman"/>
                <w:kern w:val="0"/>
                <w:sz w:val="18"/>
                <w:szCs w:val="18"/>
                <w:lang w:val="en-US" w:eastAsia="zh-CN"/>
              </w:rPr>
              <w:t>58</w:t>
            </w:r>
            <w:r>
              <w:rPr>
                <w:rFonts w:hint="default" w:ascii="Times New Roman" w:hAnsi="Times New Roman" w:eastAsia="宋体" w:cs="Times New Roman"/>
                <w:kern w:val="0"/>
                <w:sz w:val="18"/>
                <w:szCs w:val="18"/>
              </w:rPr>
              <w:t>万元</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eastAsia" w:eastAsia="宋体" w:cs="Times New Roman"/>
                <w:kern w:val="0"/>
                <w:sz w:val="18"/>
                <w:szCs w:val="18"/>
                <w:lang w:val="en-US" w:eastAsia="zh-CN"/>
              </w:rPr>
              <w:t>10</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lang w:val="en-US" w:eastAsia="zh-CN"/>
              </w:rPr>
            </w:pPr>
            <w:r>
              <w:rPr>
                <w:rFonts w:hint="eastAsia" w:eastAsia="宋体" w:cs="Times New Roman"/>
                <w:kern w:val="0"/>
                <w:sz w:val="18"/>
                <w:szCs w:val="18"/>
                <w:lang w:val="en-US" w:eastAsia="zh-CN"/>
              </w:rPr>
              <w:t>政府采购结余2万元，财政已收回</w:t>
            </w:r>
          </w:p>
        </w:tc>
      </w:tr>
      <w:tr>
        <w:tblPrEx>
          <w:tblCellMar>
            <w:top w:w="0" w:type="dxa"/>
            <w:left w:w="108" w:type="dxa"/>
            <w:bottom w:w="0" w:type="dxa"/>
            <w:right w:w="108" w:type="dxa"/>
          </w:tblCellMar>
        </w:tblPrEx>
        <w:trPr>
          <w:trHeight w:val="518"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ascii="宋体" w:hAnsi="宋体" w:eastAsia="宋体" w:cs="宋体"/>
                <w:color w:val="000000"/>
                <w:kern w:val="0"/>
                <w:sz w:val="18"/>
                <w:szCs w:val="18"/>
              </w:rPr>
              <w:t>软件系统运行维护费</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≤50万元</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50万元</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606"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4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区域空气质量预报能力</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持续提升</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持续提升</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602"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4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生态效益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重点区域大气污染防治支撑力度</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持续提升</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持续提升</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602" w:hRule="exact"/>
          <w:jc w:val="center"/>
        </w:trPr>
        <w:tc>
          <w:tcPr>
            <w:tcW w:w="604"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008" w:type="dxa"/>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4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rPr>
            </w:pPr>
            <w:r>
              <w:rPr>
                <w:rFonts w:ascii="宋体" w:hAnsi="宋体" w:eastAsia="宋体" w:cs="宋体"/>
                <w:color w:val="000000"/>
                <w:kern w:val="0"/>
                <w:sz w:val="18"/>
                <w:szCs w:val="18"/>
              </w:rPr>
              <w:t>使用人员满意度</w:t>
            </w:r>
          </w:p>
        </w:tc>
        <w:tc>
          <w:tcPr>
            <w:tcW w:w="922"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≥90%</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90%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r>
              <w:rPr>
                <w:rFonts w:hint="default" w:ascii="Times New Roman" w:hAnsi="Times New Roman" w:eastAsia="宋体" w:cs="Times New Roman"/>
                <w:kern w:val="0"/>
                <w:sz w:val="18"/>
                <w:szCs w:val="18"/>
              </w:rPr>
              <w:t>10</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r>
        <w:tblPrEx>
          <w:tblCellMar>
            <w:top w:w="0" w:type="dxa"/>
            <w:left w:w="108" w:type="dxa"/>
            <w:bottom w:w="0" w:type="dxa"/>
            <w:right w:w="108" w:type="dxa"/>
          </w:tblCellMar>
        </w:tblPrEx>
        <w:trPr>
          <w:trHeight w:val="383" w:hRule="exact"/>
          <w:jc w:val="center"/>
        </w:trPr>
        <w:tc>
          <w:tcPr>
            <w:tcW w:w="6713"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总分</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100</w:t>
            </w:r>
          </w:p>
        </w:tc>
        <w:tc>
          <w:tcPr>
            <w:tcW w:w="583"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color w:val="000000"/>
                <w:kern w:val="0"/>
                <w:sz w:val="18"/>
                <w:szCs w:val="18"/>
                <w:lang w:val="en-US" w:eastAsia="zh-CN"/>
              </w:rPr>
            </w:pPr>
            <w:r>
              <w:rPr>
                <w:rFonts w:hint="default" w:ascii="Times New Roman" w:hAnsi="Times New Roman" w:eastAsia="宋体" w:cs="Times New Roman"/>
                <w:color w:val="000000"/>
                <w:kern w:val="0"/>
                <w:sz w:val="18"/>
                <w:szCs w:val="18"/>
                <w:lang w:val="en-US" w:eastAsia="zh-CN"/>
              </w:rPr>
              <w:t>99.</w:t>
            </w:r>
            <w:r>
              <w:rPr>
                <w:rFonts w:hint="eastAsia" w:eastAsia="宋体" w:cs="Times New Roman"/>
                <w:color w:val="000000"/>
                <w:kern w:val="0"/>
                <w:sz w:val="18"/>
                <w:szCs w:val="18"/>
                <w:lang w:val="en-US" w:eastAsia="zh-CN"/>
              </w:rPr>
              <w:t>9</w:t>
            </w:r>
          </w:p>
        </w:tc>
        <w:tc>
          <w:tcPr>
            <w:tcW w:w="14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Times New Roman" w:hAnsi="Times New Roman" w:eastAsia="宋体" w:cs="Times New Roman"/>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E4OGVhYjU4MjRmMzYwODE4NDhmNmQ5NjQwZGFjMzAifQ=="/>
  </w:docVars>
  <w:rsids>
    <w:rsidRoot w:val="005144AE"/>
    <w:rsid w:val="00054869"/>
    <w:rsid w:val="000D4F96"/>
    <w:rsid w:val="001209D6"/>
    <w:rsid w:val="005144AE"/>
    <w:rsid w:val="00620F23"/>
    <w:rsid w:val="0089251B"/>
    <w:rsid w:val="00A97912"/>
    <w:rsid w:val="00B61E5F"/>
    <w:rsid w:val="00D771F1"/>
    <w:rsid w:val="00DA2078"/>
    <w:rsid w:val="099D3722"/>
    <w:rsid w:val="40F9630B"/>
    <w:rsid w:val="55415E92"/>
    <w:rsid w:val="617F7A8A"/>
    <w:rsid w:val="6D451B5D"/>
    <w:rsid w:val="76C125BF"/>
    <w:rsid w:val="FFC7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rFonts w:ascii="Times New Roman" w:hAnsi="Times New Roman" w:eastAsia="仿宋_GB2312" w:cs="Times New Roman"/>
      <w:kern w:val="2"/>
      <w:sz w:val="18"/>
      <w:szCs w:val="18"/>
    </w:rPr>
  </w:style>
  <w:style w:type="character" w:customStyle="1" w:styleId="8">
    <w:name w:val="页脚 Char"/>
    <w:basedOn w:val="6"/>
    <w:link w:val="3"/>
    <w:semiHidden/>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152</Words>
  <Characters>867</Characters>
  <Lines>7</Lines>
  <Paragraphs>2</Paragraphs>
  <TotalTime>5</TotalTime>
  <ScaleCrop>false</ScaleCrop>
  <LinksUpToDate>false</LinksUpToDate>
  <CharactersWithSpaces>1017</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2022-01-24T11:10:00Z</dcterms:created>
  <dc:creator>Administrator</dc:creator>
  <cp:lastModifiedBy>杨hm</cp:lastModifiedBy>
  <dcterms:modified xsi:type="dcterms:W3CDTF">2024-02-27T08:36:19Z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F2D50DD01E3B47DDAA622E1EFBE1FBAC</vt:lpwstr>
  </property>
</Properties>
</file>