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080" w:type="dxa"/>
        <w:jc w:val="center"/>
        <w:tblInd w:w="0" w:type="dxa"/>
        <w:tblLayout w:type="fixed"/>
        <w:tblCellMar>
          <w:top w:w="0" w:type="dxa"/>
          <w:left w:w="108" w:type="dxa"/>
          <w:bottom w:w="0" w:type="dxa"/>
          <w:right w:w="108" w:type="dxa"/>
        </w:tblCellMar>
      </w:tblPr>
      <w:tblGrid>
        <w:gridCol w:w="588"/>
        <w:gridCol w:w="980"/>
        <w:gridCol w:w="1112"/>
        <w:gridCol w:w="730"/>
        <w:gridCol w:w="1134"/>
        <w:gridCol w:w="284"/>
        <w:gridCol w:w="850"/>
        <w:gridCol w:w="386"/>
        <w:gridCol w:w="465"/>
        <w:gridCol w:w="283"/>
        <w:gridCol w:w="284"/>
        <w:gridCol w:w="404"/>
        <w:gridCol w:w="21"/>
        <w:gridCol w:w="257"/>
        <w:gridCol w:w="594"/>
        <w:gridCol w:w="708"/>
      </w:tblGrid>
      <w:tr>
        <w:tblPrEx>
          <w:tblLayout w:type="fixed"/>
          <w:tblCellMar>
            <w:top w:w="0" w:type="dxa"/>
            <w:left w:w="108" w:type="dxa"/>
            <w:bottom w:w="0" w:type="dxa"/>
            <w:right w:w="108" w:type="dxa"/>
          </w:tblCellMar>
        </w:tblPrEx>
        <w:trPr>
          <w:trHeight w:val="454" w:hRule="exact"/>
          <w:jc w:val="center"/>
        </w:trPr>
        <w:tc>
          <w:tcPr>
            <w:tcW w:w="9080" w:type="dxa"/>
            <w:gridSpan w:val="16"/>
            <w:tcBorders>
              <w:top w:val="nil"/>
              <w:left w:val="nil"/>
              <w:bottom w:val="nil"/>
              <w:right w:val="nil"/>
            </w:tcBorders>
            <w:vAlign w:val="center"/>
          </w:tcPr>
          <w:p>
            <w:pPr>
              <w:widowControl/>
              <w:spacing w:line="320" w:lineRule="exact"/>
              <w:jc w:val="left"/>
              <w:rPr>
                <w:rFonts w:hint="default" w:ascii="宋体" w:hAnsi="宋体" w:eastAsia="宋体" w:cs="宋体"/>
                <w:b/>
                <w:bCs/>
                <w:kern w:val="0"/>
                <w:sz w:val="32"/>
                <w:szCs w:val="32"/>
                <w:highlight w:val="none"/>
                <w:lang w:val="en-US" w:eastAsia="zh-CN"/>
              </w:rPr>
            </w:pPr>
            <w:r>
              <w:rPr>
                <w:rFonts w:hint="eastAsia" w:ascii="黑体" w:hAnsi="黑体" w:eastAsia="黑体" w:cs="黑体"/>
                <w:b w:val="0"/>
                <w:bCs w:val="0"/>
                <w:kern w:val="0"/>
                <w:sz w:val="24"/>
                <w:szCs w:val="24"/>
                <w:highlight w:val="none"/>
                <w:lang w:eastAsia="zh-CN"/>
              </w:rPr>
              <w:t>附件</w:t>
            </w:r>
            <w:r>
              <w:rPr>
                <w:rFonts w:hint="eastAsia" w:ascii="黑体" w:hAnsi="黑体" w:eastAsia="黑体" w:cs="黑体"/>
                <w:b w:val="0"/>
                <w:bCs w:val="0"/>
                <w:kern w:val="0"/>
                <w:sz w:val="24"/>
                <w:szCs w:val="24"/>
                <w:highlight w:val="none"/>
                <w:lang w:val="en-US" w:eastAsia="zh-CN"/>
              </w:rPr>
              <w:t>4：</w:t>
            </w:r>
          </w:p>
        </w:tc>
      </w:tr>
      <w:tr>
        <w:tblPrEx>
          <w:tblLayout w:type="fixed"/>
          <w:tblCellMar>
            <w:top w:w="0" w:type="dxa"/>
            <w:left w:w="108" w:type="dxa"/>
            <w:bottom w:w="0" w:type="dxa"/>
            <w:right w:w="108" w:type="dxa"/>
          </w:tblCellMar>
        </w:tblPrEx>
        <w:trPr>
          <w:trHeight w:val="454" w:hRule="exact"/>
          <w:jc w:val="center"/>
        </w:trPr>
        <w:tc>
          <w:tcPr>
            <w:tcW w:w="9080" w:type="dxa"/>
            <w:gridSpan w:val="16"/>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项目支出绩效自评表</w:t>
            </w:r>
          </w:p>
        </w:tc>
      </w:tr>
      <w:tr>
        <w:tblPrEx>
          <w:tblLayout w:type="fixed"/>
          <w:tblCellMar>
            <w:top w:w="0" w:type="dxa"/>
            <w:left w:w="108" w:type="dxa"/>
            <w:bottom w:w="0" w:type="dxa"/>
            <w:right w:w="108" w:type="dxa"/>
          </w:tblCellMar>
        </w:tblPrEx>
        <w:trPr>
          <w:trHeight w:val="201" w:hRule="atLeast"/>
          <w:jc w:val="center"/>
        </w:trPr>
        <w:tc>
          <w:tcPr>
            <w:tcW w:w="9080" w:type="dxa"/>
            <w:gridSpan w:val="16"/>
            <w:tcBorders>
              <w:top w:val="nil"/>
              <w:left w:val="nil"/>
              <w:bottom w:val="nil"/>
              <w:right w:val="nil"/>
            </w:tcBorders>
          </w:tcPr>
          <w:p>
            <w:pPr>
              <w:widowControl/>
              <w:jc w:val="center"/>
              <w:rPr>
                <w:rFonts w:ascii="宋体" w:hAnsi="宋体" w:eastAsia="宋体" w:cs="宋体"/>
                <w:kern w:val="0"/>
                <w:sz w:val="22"/>
                <w:szCs w:val="22"/>
                <w:highlight w:val="none"/>
              </w:rPr>
            </w:pPr>
            <w:r>
              <w:rPr>
                <w:rFonts w:hint="eastAsia" w:ascii="宋体" w:hAnsi="宋体" w:eastAsia="宋体" w:cs="宋体"/>
                <w:kern w:val="0"/>
                <w:sz w:val="22"/>
                <w:szCs w:val="22"/>
                <w:highlight w:val="none"/>
              </w:rPr>
              <w:t>（</w:t>
            </w:r>
            <w:r>
              <w:rPr>
                <w:rFonts w:hint="eastAsia" w:ascii="宋体" w:hAnsi="宋体" w:eastAsia="宋体" w:cs="宋体"/>
                <w:kern w:val="0"/>
                <w:sz w:val="22"/>
                <w:szCs w:val="22"/>
                <w:highlight w:val="none"/>
                <w:lang w:val="en-US" w:eastAsia="zh-CN"/>
              </w:rPr>
              <w:t>2023</w:t>
            </w:r>
            <w:r>
              <w:rPr>
                <w:rFonts w:hint="eastAsia" w:ascii="宋体" w:hAnsi="宋体" w:eastAsia="宋体" w:cs="宋体"/>
                <w:kern w:val="0"/>
                <w:sz w:val="22"/>
                <w:szCs w:val="22"/>
                <w:highlight w:val="none"/>
              </w:rPr>
              <w:t>年度）</w:t>
            </w:r>
          </w:p>
        </w:tc>
      </w:tr>
      <w:tr>
        <w:tblPrEx>
          <w:tblLayout w:type="fixed"/>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项目名称</w:t>
            </w:r>
          </w:p>
        </w:tc>
        <w:tc>
          <w:tcPr>
            <w:tcW w:w="7512" w:type="dxa"/>
            <w:gridSpan w:val="14"/>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rPr>
              <w:t>昌吉生态环境质量监测专项</w:t>
            </w:r>
          </w:p>
        </w:tc>
      </w:tr>
      <w:tr>
        <w:tblPrEx>
          <w:tblLayout w:type="fixed"/>
          <w:tblCellMar>
            <w:top w:w="0" w:type="dxa"/>
            <w:left w:w="108" w:type="dxa"/>
            <w:bottom w:w="0" w:type="dxa"/>
            <w:right w:w="108" w:type="dxa"/>
          </w:tblCellMar>
        </w:tblPrEx>
        <w:trPr>
          <w:trHeight w:val="65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主管部门</w:t>
            </w:r>
          </w:p>
        </w:tc>
        <w:tc>
          <w:tcPr>
            <w:tcW w:w="4496"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宋体" w:hAnsi="宋体" w:eastAsia="宋体" w:cs="宋体"/>
                <w:kern w:val="0"/>
                <w:sz w:val="18"/>
                <w:szCs w:val="18"/>
                <w:highlight w:val="none"/>
              </w:rPr>
            </w:pPr>
            <w:r>
              <w:rPr>
                <w:rFonts w:hint="eastAsia"/>
                <w:sz w:val="18"/>
                <w:szCs w:val="18"/>
                <w:highlight w:val="none"/>
                <w:lang w:eastAsia="zh-CN"/>
              </w:rPr>
              <w:t>新疆维吾尔自治区生态环境厅</w:t>
            </w:r>
          </w:p>
        </w:tc>
        <w:tc>
          <w:tcPr>
            <w:tcW w:w="1436"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ascii="宋体" w:hAnsi="宋体" w:eastAsia="宋体" w:cs="宋体"/>
                <w:kern w:val="0"/>
                <w:sz w:val="18"/>
                <w:szCs w:val="18"/>
                <w:highlight w:val="none"/>
              </w:rPr>
            </w:pPr>
            <w:r>
              <w:rPr>
                <w:kern w:val="0"/>
                <w:sz w:val="18"/>
                <w:szCs w:val="18"/>
                <w:highlight w:val="none"/>
                <w:lang w:bidi="ar"/>
              </w:rPr>
              <w:t>实施单位</w:t>
            </w:r>
          </w:p>
        </w:tc>
        <w:tc>
          <w:tcPr>
            <w:tcW w:w="1580"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atLeast"/>
              <w:jc w:val="center"/>
              <w:textAlignment w:val="auto"/>
              <w:rPr>
                <w:rFonts w:ascii="宋体" w:hAnsi="宋体" w:eastAsia="宋体" w:cs="宋体"/>
                <w:kern w:val="0"/>
                <w:sz w:val="18"/>
                <w:szCs w:val="18"/>
                <w:highlight w:val="none"/>
              </w:rPr>
            </w:pPr>
            <w:r>
              <w:rPr>
                <w:rFonts w:hint="eastAsia"/>
                <w:sz w:val="15"/>
                <w:szCs w:val="15"/>
                <w:highlight w:val="none"/>
              </w:rPr>
              <w:t>新疆维吾尔自治区昌吉生态环境监测站</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项目资金</w:t>
            </w:r>
            <w:r>
              <w:rPr>
                <w:rFonts w:hint="eastAsia" w:ascii="宋体" w:hAnsi="宋体" w:eastAsia="宋体" w:cs="宋体"/>
                <w:kern w:val="0"/>
                <w:sz w:val="18"/>
                <w:szCs w:val="18"/>
                <w:highlight w:val="none"/>
              </w:rPr>
              <w:br w:type="textWrapping"/>
            </w:r>
            <w:r>
              <w:rPr>
                <w:rFonts w:hint="eastAsia" w:ascii="宋体" w:hAnsi="宋体" w:eastAsia="宋体" w:cs="宋体"/>
                <w:kern w:val="0"/>
                <w:sz w:val="18"/>
                <w:szCs w:val="18"/>
                <w:highlight w:val="none"/>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全年预算数</w:t>
            </w: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全年执行数</w:t>
            </w:r>
          </w:p>
        </w:tc>
        <w:tc>
          <w:tcPr>
            <w:tcW w:w="709"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得分</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highlight w:val="none"/>
              </w:rPr>
            </w:pPr>
            <w:r>
              <w:rPr>
                <w:rFonts w:hint="eastAsia" w:ascii="宋体" w:hAnsi="宋体" w:eastAsia="宋体" w:cs="宋体"/>
                <w:kern w:val="0"/>
                <w:sz w:val="18"/>
                <w:szCs w:val="18"/>
                <w:highlight w:val="none"/>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180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180</w:t>
            </w: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160.24</w:t>
            </w:r>
          </w:p>
        </w:tc>
        <w:tc>
          <w:tcPr>
            <w:tcW w:w="709"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89.02</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7.25</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100</w:t>
            </w: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99.92</w:t>
            </w:r>
          </w:p>
        </w:tc>
        <w:tc>
          <w:tcPr>
            <w:tcW w:w="709"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709"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r>
      <w:tr>
        <w:tblPrEx>
          <w:tblLayout w:type="fixed"/>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80</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80</w:t>
            </w:r>
          </w:p>
        </w:tc>
        <w:tc>
          <w:tcPr>
            <w:tcW w:w="1134"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60.32</w:t>
            </w:r>
          </w:p>
        </w:tc>
        <w:tc>
          <w:tcPr>
            <w:tcW w:w="709"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w:t>
            </w:r>
          </w:p>
        </w:tc>
      </w:tr>
      <w:tr>
        <w:tblPrEx>
          <w:tblLayout w:type="fixed"/>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预期目标</w:t>
            </w:r>
          </w:p>
        </w:tc>
        <w:tc>
          <w:tcPr>
            <w:tcW w:w="3402" w:type="dxa"/>
            <w:gridSpan w:val="9"/>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实际完成情况</w:t>
            </w:r>
          </w:p>
        </w:tc>
      </w:tr>
      <w:tr>
        <w:tblPrEx>
          <w:tblLayout w:type="fixed"/>
          <w:tblCellMar>
            <w:top w:w="0" w:type="dxa"/>
            <w:left w:w="108" w:type="dxa"/>
            <w:bottom w:w="0" w:type="dxa"/>
            <w:right w:w="108" w:type="dxa"/>
          </w:tblCellMar>
        </w:tblPrEx>
        <w:trPr>
          <w:trHeight w:val="4356"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5090" w:type="dxa"/>
            <w:gridSpan w:val="6"/>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为深入打好污染防治攻坚战和推动减污降碳协同增效要求，坚持精准、科学、依法治污方针，以监测先行、监测灵敏、监测准确为导向，以更高标准保证监测数据“真、准、全、快、新”为根基，以健全科学独立权威高效的生态环境监测体系为主线，巩固环境质量监测、强化污染源监测、拓展生态质量监测，全面推进生态环境监测从数量规模型向质量效能型跨越，提高生态环境监测现代化水平，为生态文明建设实现新进步奠定坚实基础，按照《自治区生态环境监测技术方案》要求开展2023年生态环境监测各项工作。定期开展仪器设备检定、校准、期间核查、维护保养、更换耗材。使用标准物质对监测工作全过程采取质量控制，保证环境监测数据的准确性及仪器设备的正常运行，根据质量体系文件对仪器设备管理的相关要求以及仪器设备维护计划要求，降低实验过程中仪器设备的故障率，提高仪器设备的可靠性，使得仪器保持最佳状态。对不具备监测能力的生态环境质量监测、水环境常规监测等监测分析中的部分项目对外委托。</w:t>
            </w:r>
          </w:p>
        </w:tc>
        <w:tc>
          <w:tcPr>
            <w:tcW w:w="3402" w:type="dxa"/>
            <w:gridSpan w:val="9"/>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已完成：“十四五”国家地下水监测点位3个、声环境质量巡检工作3次、辐射站全年巡检8次、酸雨监测点位2个、昌吉州所有空气区控站点全年巡检28次、对昌吉州7县市农村生态进行质控检查2次、阜康三工河国家区域站全年巡检8次、河流、断面和饮用水水源地监测35个、农村生态环境质量监测的村庄9个、检定的仪器台210套、为昌吉州环境保护管理提供监测数据保障不断提高、生态环境质量监测工作有效提升。</w:t>
            </w:r>
          </w:p>
        </w:tc>
      </w:tr>
      <w:tr>
        <w:tblPrEx>
          <w:tblLayout w:type="fixed"/>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绩</w:t>
            </w:r>
            <w:r>
              <w:rPr>
                <w:rFonts w:hint="eastAsia" w:ascii="宋体" w:hAnsi="宋体" w:eastAsia="宋体" w:cs="宋体"/>
                <w:kern w:val="0"/>
                <w:sz w:val="18"/>
                <w:szCs w:val="18"/>
                <w:highlight w:val="none"/>
              </w:rPr>
              <w:br w:type="textWrapping"/>
            </w:r>
            <w:r>
              <w:rPr>
                <w:rFonts w:hint="eastAsia" w:ascii="宋体" w:hAnsi="宋体" w:eastAsia="宋体" w:cs="宋体"/>
                <w:kern w:val="0"/>
                <w:sz w:val="18"/>
                <w:szCs w:val="18"/>
                <w:highlight w:val="none"/>
              </w:rPr>
              <w:t>效</w:t>
            </w:r>
            <w:r>
              <w:rPr>
                <w:rFonts w:hint="eastAsia" w:ascii="宋体" w:hAnsi="宋体" w:eastAsia="宋体" w:cs="宋体"/>
                <w:kern w:val="0"/>
                <w:sz w:val="18"/>
                <w:szCs w:val="18"/>
                <w:highlight w:val="none"/>
              </w:rPr>
              <w:br w:type="textWrapping"/>
            </w:r>
            <w:r>
              <w:rPr>
                <w:rFonts w:hint="eastAsia" w:ascii="宋体" w:hAnsi="宋体" w:eastAsia="宋体" w:cs="宋体"/>
                <w:kern w:val="0"/>
                <w:sz w:val="18"/>
                <w:szCs w:val="18"/>
                <w:highlight w:val="none"/>
              </w:rPr>
              <w:t>指</w:t>
            </w:r>
            <w:r>
              <w:rPr>
                <w:rFonts w:hint="eastAsia" w:ascii="宋体" w:hAnsi="宋体" w:eastAsia="宋体" w:cs="宋体"/>
                <w:kern w:val="0"/>
                <w:sz w:val="18"/>
                <w:szCs w:val="18"/>
                <w:highlight w:val="none"/>
              </w:rPr>
              <w:br w:type="textWrapping"/>
            </w:r>
            <w:r>
              <w:rPr>
                <w:rFonts w:hint="eastAsia" w:ascii="宋体" w:hAnsi="宋体" w:eastAsia="宋体" w:cs="宋体"/>
                <w:kern w:val="0"/>
                <w:sz w:val="18"/>
                <w:szCs w:val="18"/>
                <w:highlight w:val="none"/>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年度</w:t>
            </w:r>
          </w:p>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指标值</w:t>
            </w:r>
          </w:p>
        </w:tc>
        <w:tc>
          <w:tcPr>
            <w:tcW w:w="8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实际</w:t>
            </w:r>
          </w:p>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分值</w:t>
            </w:r>
          </w:p>
        </w:tc>
        <w:tc>
          <w:tcPr>
            <w:tcW w:w="682"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得分</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偏差原因分析及改进措施</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产出指标</w:t>
            </w: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数量指标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阜康三工河国家区域站全年巡检次数（次）</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≥8</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lang w:val="en-US" w:eastAsia="zh-CN"/>
              </w:rPr>
              <w:t>8</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8"/>
                <w:szCs w:val="8"/>
                <w:highlight w:val="none"/>
                <w:lang w:eastAsia="zh-CN"/>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生态质量监测频次（次）</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≥1</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lang w:val="en-US" w:eastAsia="zh-CN"/>
              </w:rPr>
              <w:t>1</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农村生态环境质量监测的村庄数(个)</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≥8</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lang w:val="en-US" w:eastAsia="zh-CN"/>
              </w:rPr>
              <w:t>9</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18"/>
                <w:szCs w:val="18"/>
                <w:highlight w:val="none"/>
                <w:lang w:val="en-US"/>
              </w:rPr>
            </w:pPr>
            <w:r>
              <w:rPr>
                <w:rFonts w:hint="eastAsia" w:ascii="宋体" w:hAnsi="宋体" w:eastAsia="宋体" w:cs="宋体"/>
                <w:i w:val="0"/>
                <w:color w:val="000000"/>
                <w:kern w:val="0"/>
                <w:sz w:val="16"/>
                <w:szCs w:val="16"/>
                <w:highlight w:val="none"/>
                <w:u w:val="none"/>
                <w:lang w:val="en-US" w:eastAsia="zh-CN" w:bidi="ar"/>
              </w:rPr>
              <w:t>2.63</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ascii="宋体" w:hAnsi="宋体" w:eastAsia="宋体" w:cs="宋体"/>
                <w:i w:val="0"/>
                <w:color w:val="000000"/>
                <w:kern w:val="0"/>
                <w:sz w:val="16"/>
                <w:szCs w:val="16"/>
                <w:highlight w:val="none"/>
                <w:u w:val="none"/>
                <w:lang w:val="en-US" w:eastAsia="zh-CN" w:bidi="ar"/>
              </w:rPr>
              <w:t>根据监测方案工作要求，村庄增加1个</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土壤环境例行监测频次（次）</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≥1</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lang w:val="en-US" w:eastAsia="zh-CN"/>
              </w:rPr>
              <w:t>1</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昌吉辐射站全年巡检（次）</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≥10</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18"/>
                <w:szCs w:val="18"/>
                <w:highlight w:val="none"/>
                <w:lang w:val="en-US"/>
              </w:rPr>
            </w:pPr>
            <w:r>
              <w:rPr>
                <w:rFonts w:hint="eastAsia"/>
                <w:sz w:val="18"/>
                <w:szCs w:val="18"/>
                <w:highlight w:val="none"/>
                <w:lang w:val="en-US" w:eastAsia="zh-CN"/>
              </w:rPr>
              <w:t>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昌吉州所有空气区控站点全年巡检次数（次）</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≥28</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lang w:val="en-US" w:eastAsia="zh-CN"/>
              </w:rPr>
              <w:t>28</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按时完成昌吉州声环境质量巡检工作（次）</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3</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ascii="宋体" w:hAnsi="宋体" w:eastAsia="宋体" w:cs="宋体"/>
                <w:i w:val="0"/>
                <w:color w:val="000000"/>
                <w:kern w:val="0"/>
                <w:sz w:val="16"/>
                <w:szCs w:val="16"/>
                <w:highlight w:val="none"/>
                <w:u w:val="none"/>
                <w:lang w:val="en-US" w:eastAsia="zh-CN" w:bidi="ar"/>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昌吉州酸雨监测点位个数（个）</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lang w:val="en-US" w:eastAsia="zh-CN"/>
              </w:rPr>
              <w:t>2</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“十四五”国家地下水监测点位数量（个）</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lang w:val="en-US" w:eastAsia="zh-CN"/>
              </w:rPr>
              <w:t>3</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对昌吉州7县市农村生态进行质控检查（次）</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lang w:val="en-US" w:eastAsia="zh-CN"/>
              </w:rPr>
              <w:t>2</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河流、断面和饮用水水源地监测数量(个)</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≥35</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sz w:val="18"/>
                <w:szCs w:val="18"/>
                <w:highlight w:val="none"/>
                <w:lang w:val="en-US" w:eastAsia="zh-CN"/>
              </w:rPr>
              <w:t>35</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sz w:val="18"/>
                <w:szCs w:val="18"/>
                <w:highlight w:val="none"/>
                <w:lang w:val="en-US" w:eastAsia="zh-CN"/>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全年需要检定的仪器台（套）</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≥210</w:t>
            </w:r>
          </w:p>
        </w:tc>
        <w:tc>
          <w:tcPr>
            <w:tcW w:w="851" w:type="dxa"/>
            <w:gridSpan w:val="2"/>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210</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2</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sz w:val="18"/>
                <w:szCs w:val="18"/>
                <w:highlight w:val="none"/>
                <w:lang w:val="en-US" w:eastAsia="zh-CN"/>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质量指标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监测数据有效的合格率(%)</w:t>
            </w:r>
          </w:p>
        </w:tc>
        <w:tc>
          <w:tcPr>
            <w:tcW w:w="8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6</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6</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8"/>
                <w:szCs w:val="8"/>
                <w:highlight w:val="none"/>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设备检定合格率（%）</w:t>
            </w:r>
          </w:p>
        </w:tc>
        <w:tc>
          <w:tcPr>
            <w:tcW w:w="8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6</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6</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8"/>
                <w:szCs w:val="8"/>
                <w:highlight w:val="none"/>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时效指标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监测任务按时完成率</w:t>
            </w:r>
          </w:p>
        </w:tc>
        <w:tc>
          <w:tcPr>
            <w:tcW w:w="8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4</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4</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设备检定及时率</w:t>
            </w:r>
          </w:p>
        </w:tc>
        <w:tc>
          <w:tcPr>
            <w:tcW w:w="850"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567" w:type="dxa"/>
            <w:gridSpan w:val="2"/>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4</w:t>
            </w:r>
          </w:p>
        </w:tc>
        <w:tc>
          <w:tcPr>
            <w:tcW w:w="682" w:type="dxa"/>
            <w:gridSpan w:val="3"/>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4</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i w:val="0"/>
                <w:color w:val="000000"/>
                <w:kern w:val="0"/>
                <w:sz w:val="16"/>
                <w:szCs w:val="16"/>
                <w:highlight w:val="none"/>
                <w:u w:val="none"/>
                <w:lang w:val="en-US" w:eastAsia="zh-CN" w:bidi="ar"/>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8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682"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经济效益</w:t>
            </w:r>
          </w:p>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8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682"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社会效益</w:t>
            </w:r>
          </w:p>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line="240" w:lineRule="exact"/>
              <w:jc w:val="left"/>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为昌吉州环境保护管理提供监测数据保障</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line="240" w:lineRule="exact"/>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为昌吉州环境保护管理提供监测数据保障</w:t>
            </w:r>
          </w:p>
        </w:tc>
        <w:tc>
          <w:tcPr>
            <w:tcW w:w="851" w:type="dxa"/>
            <w:gridSpan w:val="2"/>
            <w:tcBorders>
              <w:top w:val="nil"/>
              <w:left w:val="nil"/>
              <w:bottom w:val="single" w:color="auto" w:sz="4" w:space="0"/>
              <w:right w:val="single" w:color="auto" w:sz="4" w:space="0"/>
            </w:tcBorders>
            <w:vAlign w:val="center"/>
          </w:tcPr>
          <w:p>
            <w:pPr>
              <w:keepNext w:val="0"/>
              <w:keepLines w:val="0"/>
              <w:widowControl/>
              <w:suppressLineNumbers w:val="0"/>
              <w:spacing w:line="240" w:lineRule="exact"/>
              <w:jc w:val="left"/>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为昌吉州环境保护管理提供监测数据保障</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15</w:t>
            </w:r>
          </w:p>
        </w:tc>
        <w:tc>
          <w:tcPr>
            <w:tcW w:w="682"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15</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生态效益</w:t>
            </w:r>
          </w:p>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spacing w:line="240" w:lineRule="exact"/>
              <w:jc w:val="center"/>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不断提高</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spacing w:line="240" w:lineRule="exact"/>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不断提高</w:t>
            </w:r>
          </w:p>
        </w:tc>
        <w:tc>
          <w:tcPr>
            <w:tcW w:w="851" w:type="dxa"/>
            <w:gridSpan w:val="2"/>
            <w:tcBorders>
              <w:top w:val="nil"/>
              <w:left w:val="nil"/>
              <w:bottom w:val="single" w:color="auto" w:sz="4" w:space="0"/>
              <w:right w:val="single" w:color="auto" w:sz="4" w:space="0"/>
            </w:tcBorders>
            <w:vAlign w:val="center"/>
          </w:tcPr>
          <w:p>
            <w:pPr>
              <w:keepNext w:val="0"/>
              <w:keepLines w:val="0"/>
              <w:widowControl/>
              <w:suppressLineNumbers w:val="0"/>
              <w:spacing w:line="240" w:lineRule="exact"/>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不断提高</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15</w:t>
            </w:r>
          </w:p>
        </w:tc>
        <w:tc>
          <w:tcPr>
            <w:tcW w:w="682"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15</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85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682"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r>
      <w:tr>
        <w:tblPrEx>
          <w:tblLayout w:type="fixed"/>
          <w:tblCellMar>
            <w:top w:w="0" w:type="dxa"/>
            <w:left w:w="108" w:type="dxa"/>
            <w:bottom w:w="0" w:type="dxa"/>
            <w:right w:w="108" w:type="dxa"/>
          </w:tblCellMar>
        </w:tblPrEx>
        <w:trPr>
          <w:trHeight w:val="567" w:hRule="atLeas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满意度</w:t>
            </w:r>
          </w:p>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eastAsia="宋体" w:cs="宋体"/>
                <w:color w:val="000000"/>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上级主管部门对监测工作满意度</w:t>
            </w:r>
          </w:p>
        </w:tc>
        <w:tc>
          <w:tcPr>
            <w:tcW w:w="850"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85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18"/>
                <w:szCs w:val="18"/>
                <w:highlight w:val="none"/>
              </w:rPr>
            </w:pPr>
            <w:r>
              <w:rPr>
                <w:rFonts w:hint="eastAsia" w:ascii="宋体" w:hAnsi="宋体" w:eastAsia="宋体" w:cs="宋体"/>
                <w:i w:val="0"/>
                <w:color w:val="000000"/>
                <w:kern w:val="0"/>
                <w:sz w:val="16"/>
                <w:szCs w:val="16"/>
                <w:highlight w:val="none"/>
                <w:u w:val="none"/>
                <w:lang w:val="en-US" w:eastAsia="zh-CN" w:bidi="ar"/>
              </w:rPr>
              <w:t>95%</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10</w:t>
            </w:r>
          </w:p>
        </w:tc>
        <w:tc>
          <w:tcPr>
            <w:tcW w:w="682" w:type="dxa"/>
            <w:gridSpan w:val="3"/>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ascii="宋体" w:hAnsi="宋体" w:eastAsia="宋体" w:cs="宋体"/>
                <w:kern w:val="0"/>
                <w:sz w:val="18"/>
                <w:szCs w:val="18"/>
                <w:highlight w:val="none"/>
                <w:lang w:val="en-US" w:eastAsia="zh-CN"/>
              </w:rPr>
              <w:t>10</w:t>
            </w:r>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r>
              <w:rPr>
                <w:rFonts w:hint="eastAsia"/>
                <w:sz w:val="18"/>
                <w:szCs w:val="18"/>
                <w:highlight w:val="none"/>
                <w:lang w:eastAsia="zh-CN"/>
              </w:rPr>
              <w:t>无</w:t>
            </w:r>
          </w:p>
        </w:tc>
      </w:tr>
      <w:tr>
        <w:tblPrEx>
          <w:tblLayout w:type="fixed"/>
          <w:tblCellMar>
            <w:top w:w="0" w:type="dxa"/>
            <w:left w:w="108" w:type="dxa"/>
            <w:bottom w:w="0" w:type="dxa"/>
            <w:right w:w="108" w:type="dxa"/>
          </w:tblCellMar>
        </w:tblPrEx>
        <w:trPr>
          <w:trHeight w:val="300" w:hRule="exact"/>
          <w:jc w:val="center"/>
        </w:trPr>
        <w:tc>
          <w:tcPr>
            <w:tcW w:w="6529"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100</w:t>
            </w:r>
          </w:p>
        </w:tc>
        <w:tc>
          <w:tcPr>
            <w:tcW w:w="682"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highlight w:val="none"/>
                <w:lang w:val="en-US" w:eastAsia="zh-CN"/>
              </w:rPr>
            </w:pPr>
            <w:r>
              <w:rPr>
                <w:rFonts w:hint="eastAsia" w:ascii="宋体" w:hAnsi="宋体" w:eastAsia="宋体" w:cs="宋体"/>
                <w:color w:val="000000"/>
                <w:kern w:val="0"/>
                <w:sz w:val="18"/>
                <w:szCs w:val="18"/>
                <w:highlight w:val="none"/>
                <w:lang w:val="en-US" w:eastAsia="zh-CN"/>
              </w:rPr>
              <w:t>96.88</w:t>
            </w:r>
            <w:bookmarkStart w:id="0" w:name="_GoBack"/>
            <w:bookmarkEnd w:id="0"/>
          </w:p>
        </w:tc>
        <w:tc>
          <w:tcPr>
            <w:tcW w:w="130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highlight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4OGVhYjU4MjRmMzYwODE4NDhmNmQ5NjQwZGFjMzAifQ=="/>
  </w:docVars>
  <w:rsids>
    <w:rsidRoot w:val="005144AE"/>
    <w:rsid w:val="001209D6"/>
    <w:rsid w:val="005144AE"/>
    <w:rsid w:val="019B68F7"/>
    <w:rsid w:val="466344B3"/>
    <w:rsid w:val="55415E92"/>
    <w:rsid w:val="58E37B2A"/>
    <w:rsid w:val="60E020D7"/>
    <w:rsid w:val="617F7A8A"/>
    <w:rsid w:val="6C3B4900"/>
    <w:rsid w:val="72F1355A"/>
    <w:rsid w:val="75EF5E16"/>
    <w:rsid w:val="76932E40"/>
    <w:rsid w:val="76C125BF"/>
    <w:rsid w:val="7B56070E"/>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3">
    <w:name w:val="Normal Indent"/>
    <w:basedOn w:val="1"/>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304</Words>
  <Characters>310</Characters>
  <Lines>4</Lines>
  <Paragraphs>1</Paragraphs>
  <TotalTime>3</TotalTime>
  <ScaleCrop>false</ScaleCrop>
  <LinksUpToDate>false</LinksUpToDate>
  <CharactersWithSpaces>318</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2022-01-24T11:10:00Z</dcterms:created>
  <dc:creator>Administrator</dc:creator>
  <cp:lastModifiedBy>1</cp:lastModifiedBy>
  <dcterms:modified xsi:type="dcterms:W3CDTF">2024-03-13T14:10:04Z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F2D50DD01E3B47DDAA622E1EFBE1FBAC</vt:lpwstr>
  </property>
</Properties>
</file>