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自治区</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w:t>
      </w:r>
      <w:r>
        <w:rPr>
          <w:rFonts w:hint="eastAsia" w:eastAsia="仿宋_GB2312"/>
          <w:kern w:val="0"/>
          <w:sz w:val="36"/>
          <w:szCs w:val="36"/>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新疆维吾尔自治区固体废物动态信息管理平台运维项目</w:t>
      </w:r>
    </w:p>
    <w:p>
      <w:pPr>
        <w:spacing w:line="700" w:lineRule="exact"/>
        <w:ind w:left="3956" w:leftChars="684" w:hanging="2520" w:hangingChars="7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新疆维吾尔自治区固体废物管理中心</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殷小炜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24"/>
          <w:rFonts w:eastAsia="黑体"/>
          <w:b w:val="0"/>
          <w:spacing w:val="-4"/>
          <w:sz w:val="32"/>
          <w:szCs w:val="32"/>
        </w:rPr>
      </w:pPr>
    </w:p>
    <w:p>
      <w:pPr>
        <w:spacing w:line="540" w:lineRule="exact"/>
        <w:ind w:firstLine="640"/>
        <w:rPr>
          <w:rStyle w:val="24"/>
          <w:rFonts w:eastAsia="黑体"/>
          <w:b w:val="0"/>
          <w:spacing w:val="-4"/>
          <w:sz w:val="32"/>
          <w:szCs w:val="32"/>
        </w:rPr>
      </w:pPr>
    </w:p>
    <w:p>
      <w:pPr>
        <w:spacing w:line="540" w:lineRule="exact"/>
        <w:rPr>
          <w:rStyle w:val="24"/>
          <w:rFonts w:eastAsia="黑体"/>
          <w:b w:val="0"/>
          <w:spacing w:val="-4"/>
          <w:sz w:val="32"/>
          <w:szCs w:val="32"/>
        </w:rPr>
      </w:pPr>
    </w:p>
    <w:p>
      <w:pPr>
        <w:spacing w:line="600" w:lineRule="exact"/>
        <w:jc w:val="center"/>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pStyle w:val="2"/>
      </w:pPr>
    </w:p>
    <w:p>
      <w:pPr>
        <w:spacing w:line="600" w:lineRule="exact"/>
        <w:rPr>
          <w:rFonts w:eastAsia="黑体"/>
          <w:bCs/>
          <w:sz w:val="32"/>
          <w:szCs w:val="32"/>
        </w:rPr>
      </w:pPr>
    </w:p>
    <w:p>
      <w:pPr>
        <w:spacing w:line="600" w:lineRule="exact"/>
        <w:rPr>
          <w:rFonts w:eastAsia="黑体"/>
          <w:bCs/>
          <w:sz w:val="32"/>
          <w:szCs w:val="32"/>
        </w:rPr>
      </w:pPr>
      <w:r>
        <w:rPr>
          <w:rFonts w:eastAsia="黑体"/>
          <w:bCs/>
          <w:sz w:val="32"/>
          <w:szCs w:val="32"/>
        </w:rPr>
        <w:t>一、基本情况</w:t>
      </w:r>
    </w:p>
    <w:p>
      <w:pPr>
        <w:spacing w:line="600" w:lineRule="exact"/>
        <w:ind w:firstLine="641"/>
        <w:rPr>
          <w:rFonts w:eastAsia="楷体_GB2312"/>
          <w:b/>
          <w:bCs/>
          <w:sz w:val="32"/>
          <w:szCs w:val="32"/>
        </w:rPr>
      </w:pPr>
      <w:r>
        <w:rPr>
          <w:rFonts w:eastAsia="楷体_GB2312"/>
          <w:b/>
          <w:bCs/>
          <w:sz w:val="32"/>
          <w:szCs w:val="32"/>
        </w:rPr>
        <w:t>（一）项目概况</w:t>
      </w:r>
    </w:p>
    <w:p>
      <w:pPr>
        <w:spacing w:line="600" w:lineRule="exact"/>
        <w:ind w:firstLine="641"/>
        <w:rPr>
          <w:rFonts w:eastAsia="仿宋_GB2312"/>
          <w:b/>
          <w:bCs/>
          <w:sz w:val="32"/>
          <w:szCs w:val="32"/>
        </w:rPr>
      </w:pPr>
      <w:r>
        <w:rPr>
          <w:rFonts w:eastAsia="仿宋_GB2312"/>
          <w:b/>
          <w:bCs/>
          <w:sz w:val="32"/>
          <w:szCs w:val="32"/>
        </w:rPr>
        <w:t>1、项目背景</w:t>
      </w:r>
    </w:p>
    <w:p>
      <w:pPr>
        <w:spacing w:line="600" w:lineRule="exact"/>
        <w:ind w:firstLine="640" w:firstLineChars="200"/>
        <w:rPr>
          <w:rFonts w:eastAsia="仿宋_GB2312"/>
          <w:sz w:val="32"/>
          <w:szCs w:val="32"/>
        </w:rPr>
      </w:pPr>
      <w:r>
        <w:rPr>
          <w:rFonts w:hint="eastAsia" w:eastAsia="仿宋_GB2312"/>
          <w:sz w:val="32"/>
          <w:szCs w:val="32"/>
        </w:rPr>
        <w:t>自治区固体废物环境管理信息系统、自治区土壤环境重点监管企业（危险废物经营单位）环境管理视频监控系统，为自治区固体废物管理中心组织开发的两套固体废物环境管理的自建系统，系统自建成后一直委托有运行维护资质的相关单位进行运维，对于全区固体废物环境管理具有较大的意义。</w:t>
      </w:r>
    </w:p>
    <w:p>
      <w:pPr>
        <w:pStyle w:val="2"/>
        <w:spacing w:before="0" w:after="0" w:line="600" w:lineRule="exact"/>
        <w:jc w:val="both"/>
        <w:rPr>
          <w:rFonts w:ascii="Times New Roman" w:hAnsi="Times New Roman" w:eastAsia="仿宋_GB2312"/>
          <w:kern w:val="2"/>
        </w:rPr>
      </w:pPr>
      <w:r>
        <w:rPr>
          <w:rFonts w:hint="eastAsia" w:ascii="Times New Roman" w:hAnsi="Times New Roman" w:eastAsia="仿宋_GB2312"/>
          <w:kern w:val="2"/>
        </w:rPr>
        <w:t>2、</w:t>
      </w:r>
      <w:r>
        <w:rPr>
          <w:rFonts w:ascii="Times New Roman" w:hAnsi="Times New Roman" w:eastAsia="仿宋_GB2312"/>
          <w:kern w:val="2"/>
        </w:rPr>
        <w:t>项目主要内容：</w:t>
      </w:r>
    </w:p>
    <w:p>
      <w:pPr>
        <w:spacing w:line="600" w:lineRule="exact"/>
        <w:ind w:firstLine="640" w:firstLineChars="200"/>
        <w:rPr>
          <w:rFonts w:eastAsia="仿宋_GB2312"/>
          <w:sz w:val="32"/>
          <w:szCs w:val="3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sz w:val="32"/>
          <w:szCs w:val="32"/>
        </w:rPr>
        <w:t>完成自治区固体废物环境管理信息系统、自治区土壤环境重点监管企业（危险废物经营单位）环境管理视频监控系统2套平台维护，系统全年故障率低于3%。</w:t>
      </w:r>
    </w:p>
    <w:p>
      <w:pPr>
        <w:spacing w:line="60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44</w:t>
      </w:r>
      <w:r>
        <w:rPr>
          <w:rFonts w:eastAsia="仿宋_GB2312"/>
          <w:sz w:val="32"/>
          <w:szCs w:val="32"/>
        </w:rPr>
        <w:t>万元，其中：财政本级资金</w:t>
      </w:r>
      <w:r>
        <w:rPr>
          <w:rFonts w:hint="eastAsia" w:eastAsia="仿宋_GB2312"/>
          <w:sz w:val="32"/>
          <w:szCs w:val="32"/>
        </w:rPr>
        <w:t>44</w:t>
      </w:r>
      <w:r>
        <w:rPr>
          <w:rFonts w:eastAsia="仿宋_GB2312"/>
          <w:sz w:val="32"/>
          <w:szCs w:val="32"/>
        </w:rPr>
        <w:t>万元。项目实际支出</w:t>
      </w:r>
      <w:r>
        <w:rPr>
          <w:rFonts w:hint="eastAsia" w:eastAsia="仿宋_GB2312"/>
          <w:sz w:val="32"/>
          <w:szCs w:val="32"/>
        </w:rPr>
        <w:t>43.58</w:t>
      </w:r>
      <w:r>
        <w:rPr>
          <w:rFonts w:eastAsia="仿宋_GB2312"/>
          <w:sz w:val="32"/>
          <w:szCs w:val="32"/>
        </w:rPr>
        <w:t>万元，支出率为</w:t>
      </w:r>
      <w:r>
        <w:rPr>
          <w:rFonts w:hint="eastAsia" w:eastAsia="仿宋_GB2312"/>
          <w:sz w:val="32"/>
          <w:szCs w:val="32"/>
        </w:rPr>
        <w:t>99.05</w:t>
      </w:r>
      <w:r>
        <w:rPr>
          <w:rFonts w:eastAsia="仿宋_GB2312"/>
          <w:sz w:val="32"/>
          <w:szCs w:val="32"/>
        </w:rPr>
        <w:t>%。</w:t>
      </w:r>
    </w:p>
    <w:p>
      <w:pPr>
        <w:spacing w:line="600" w:lineRule="exact"/>
        <w:ind w:firstLine="642"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rPr>
          <w:rFonts w:eastAsia="仿宋_GB2312"/>
          <w:sz w:val="20"/>
          <w:szCs w:val="20"/>
        </w:rPr>
      </w:pPr>
      <w:r>
        <w:rPr>
          <w:rFonts w:eastAsia="仿宋_GB2312"/>
          <w:sz w:val="32"/>
          <w:szCs w:val="32"/>
        </w:rPr>
        <w:t>（1）资金安排</w:t>
      </w:r>
    </w:p>
    <w:p>
      <w:pPr>
        <w:spacing w:line="60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44</w:t>
      </w:r>
      <w:r>
        <w:rPr>
          <w:rFonts w:eastAsia="仿宋_GB2312"/>
          <w:sz w:val="32"/>
          <w:szCs w:val="32"/>
        </w:rPr>
        <w:t>万元，按照单位财务制度等相关规定，资金支出符合</w:t>
      </w:r>
      <w:r>
        <w:rPr>
          <w:rFonts w:hint="eastAsia" w:eastAsia="仿宋_GB2312"/>
          <w:sz w:val="32"/>
          <w:szCs w:val="32"/>
        </w:rPr>
        <w:t>新疆维吾尔自治区固体废物动态信息管理平台运维项目</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rPr>
        <w:t>自治区财政</w:t>
      </w:r>
      <w:r>
        <w:rPr>
          <w:rFonts w:eastAsia="仿宋_GB2312"/>
          <w:sz w:val="32"/>
          <w:szCs w:val="32"/>
        </w:rPr>
        <w:t>资金的拨付程序，认真审核项目实施各阶段的相关材料和手续，根据项目实施进展情况拨付资金。</w:t>
      </w:r>
    </w:p>
    <w:p>
      <w:pPr>
        <w:spacing w:line="60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自治区财政</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44</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全年执行43.58万元，预算执行率为99.05</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用于支付项目实施进程中的各项费用。</w:t>
      </w:r>
    </w:p>
    <w:p>
      <w:pPr>
        <w:spacing w:line="600" w:lineRule="exact"/>
        <w:ind w:firstLine="642" w:firstLineChars="200"/>
        <w:rPr>
          <w:rFonts w:eastAsia="楷体_GB2312"/>
          <w:b/>
          <w:bCs/>
          <w:sz w:val="32"/>
          <w:szCs w:val="32"/>
        </w:rPr>
      </w:pPr>
      <w:r>
        <w:rPr>
          <w:rFonts w:eastAsia="楷体_GB2312"/>
          <w:b/>
          <w:bCs/>
          <w:sz w:val="32"/>
          <w:szCs w:val="32"/>
        </w:rPr>
        <w:t>（二）项目绩效目标</w:t>
      </w:r>
    </w:p>
    <w:p>
      <w:pPr>
        <w:spacing w:line="60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rPr>
          <w:rFonts w:eastAsia="仿宋_GB2312"/>
          <w:sz w:val="32"/>
          <w:szCs w:val="32"/>
        </w:rPr>
      </w:pPr>
      <w:r>
        <w:rPr>
          <w:rFonts w:hint="eastAsia" w:eastAsia="仿宋_GB2312"/>
          <w:sz w:val="32"/>
          <w:szCs w:val="32"/>
        </w:rPr>
        <w:t>完成自治区固体废物信息管理平台的运行维护，确保系统正常稳定运行，不断提高全区危险废物息化管理水平。主要指标包括完成自治区固体废物环境管理信息系统、自治区土壤环境重点监管企业（危险废物经营单位）环境管理视频监控系统2套平台维护，使系统故障率低于3%，控制经济成本在44万元以内。</w:t>
      </w:r>
    </w:p>
    <w:p>
      <w:pPr>
        <w:spacing w:line="600" w:lineRule="exact"/>
        <w:ind w:firstLine="640" w:firstLineChars="200"/>
      </w:pPr>
      <w:r>
        <w:rPr>
          <w:rFonts w:eastAsia="仿宋_GB2312"/>
          <w:sz w:val="32"/>
          <w:szCs w:val="32"/>
        </w:rPr>
        <w:t>2、阶段性目标</w:t>
      </w:r>
    </w:p>
    <w:p>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60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60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60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76" w:lineRule="exact"/>
        <w:ind w:firstLine="640" w:firstLineChars="200"/>
        <w:rPr>
          <w:rFonts w:eastAsia="仿宋_GB2312"/>
          <w:sz w:val="32"/>
          <w:szCs w:val="32"/>
        </w:rPr>
      </w:pPr>
      <w:r>
        <w:rPr>
          <w:rFonts w:hint="eastAsia" w:eastAsia="仿宋_GB2312"/>
          <w:sz w:val="32"/>
          <w:szCs w:val="32"/>
        </w:rPr>
        <w:t>自治区固体废物环境管理信息系统、自治区土壤环境重点监管企业（危险废物经营单位）环境管理视频监控系统2套平台运维项目所包含的全部项目建设内容。</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76" w:lineRule="exact"/>
        <w:ind w:firstLine="640" w:firstLineChars="200"/>
        <w:rPr>
          <w:rFonts w:eastAsia="仿宋_GB2312"/>
          <w:sz w:val="32"/>
          <w:szCs w:val="32"/>
        </w:rPr>
      </w:pPr>
      <w:r>
        <w:rPr>
          <w:rFonts w:hint="eastAsia" w:eastAsia="仿宋_GB2312"/>
          <w:sz w:val="32"/>
          <w:szCs w:val="32"/>
        </w:rPr>
        <w:t>自治区固体废物环境管理信息系统、自治区土壤环境重点监管企业（危险废物经营单位）环境管理视频监控系统2套平台运维项目的决策、过程、产出、效益等。</w:t>
      </w:r>
    </w:p>
    <w:p>
      <w:pPr>
        <w:spacing w:line="60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600" w:lineRule="exact"/>
        <w:ind w:firstLine="640" w:firstLineChars="200"/>
        <w:rPr>
          <w:rFonts w:eastAsia="仿宋_GB2312"/>
          <w:sz w:val="32"/>
          <w:szCs w:val="32"/>
        </w:rPr>
      </w:pPr>
      <w:r>
        <w:rPr>
          <w:rFonts w:eastAsia="仿宋_GB2312"/>
          <w:sz w:val="32"/>
          <w:szCs w:val="32"/>
        </w:rPr>
        <w:t>本次项目绩效评价遵循以下基本原则：</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60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600" w:lineRule="exact"/>
        <w:ind w:firstLine="708" w:firstLineChars="200"/>
        <w:rPr>
          <w:rFonts w:eastAsia="仿宋_GB2312"/>
          <w:spacing w:val="17"/>
          <w:sz w:val="32"/>
          <w:szCs w:val="32"/>
        </w:rPr>
      </w:pPr>
      <w:r>
        <w:rPr>
          <w:rFonts w:eastAsia="仿宋_GB2312"/>
          <w:spacing w:val="17"/>
          <w:sz w:val="32"/>
          <w:szCs w:val="32"/>
        </w:rPr>
        <w:t>（1）确定评价指标</w:t>
      </w:r>
    </w:p>
    <w:p>
      <w:pPr>
        <w:spacing w:line="60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708" w:firstLineChars="200"/>
        <w:rPr>
          <w:rFonts w:eastAsia="仿宋_GB2312"/>
          <w:spacing w:val="17"/>
          <w:sz w:val="32"/>
          <w:szCs w:val="32"/>
        </w:rPr>
      </w:pPr>
      <w:r>
        <w:rPr>
          <w:rFonts w:eastAsia="仿宋_GB2312"/>
          <w:spacing w:val="17"/>
          <w:sz w:val="32"/>
          <w:szCs w:val="32"/>
        </w:rPr>
        <w:t>（2）确定权重</w:t>
      </w:r>
    </w:p>
    <w:p>
      <w:pPr>
        <w:spacing w:line="60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w:t>
      </w:r>
      <w:r>
        <w:rPr>
          <w:rFonts w:hint="eastAsia" w:eastAsia="仿宋_GB2312"/>
          <w:spacing w:val="17"/>
          <w:sz w:val="32"/>
          <w:szCs w:val="32"/>
        </w:rPr>
        <w:t>20</w:t>
      </w:r>
      <w:r>
        <w:rPr>
          <w:rFonts w:eastAsia="仿宋_GB2312"/>
          <w:spacing w:val="17"/>
          <w:sz w:val="32"/>
          <w:szCs w:val="32"/>
        </w:rPr>
        <w:t>分，项目过程权重为</w:t>
      </w:r>
      <w:r>
        <w:rPr>
          <w:rFonts w:hint="eastAsia" w:eastAsia="仿宋_GB2312"/>
          <w:spacing w:val="17"/>
          <w:sz w:val="32"/>
          <w:szCs w:val="32"/>
        </w:rPr>
        <w:t>20</w:t>
      </w:r>
      <w:r>
        <w:rPr>
          <w:rFonts w:eastAsia="仿宋_GB2312"/>
          <w:spacing w:val="17"/>
          <w:sz w:val="32"/>
          <w:szCs w:val="32"/>
        </w:rPr>
        <w:t>分，项目产出权重为</w:t>
      </w:r>
      <w:r>
        <w:rPr>
          <w:rFonts w:hint="eastAsia" w:eastAsia="仿宋_GB2312"/>
          <w:spacing w:val="17"/>
          <w:sz w:val="32"/>
          <w:szCs w:val="32"/>
        </w:rPr>
        <w:t>40</w:t>
      </w:r>
      <w:r>
        <w:rPr>
          <w:rFonts w:eastAsia="仿宋_GB2312"/>
          <w:spacing w:val="17"/>
          <w:sz w:val="32"/>
          <w:szCs w:val="32"/>
        </w:rPr>
        <w:t>分，项目效益权重为</w:t>
      </w:r>
      <w:r>
        <w:rPr>
          <w:rFonts w:hint="eastAsia" w:eastAsia="仿宋_GB2312"/>
          <w:spacing w:val="17"/>
          <w:sz w:val="32"/>
          <w:szCs w:val="32"/>
        </w:rPr>
        <w:t>20</w:t>
      </w:r>
      <w:r>
        <w:rPr>
          <w:rFonts w:eastAsia="仿宋_GB2312"/>
          <w:spacing w:val="17"/>
          <w:sz w:val="32"/>
          <w:szCs w:val="32"/>
        </w:rPr>
        <w:t>分。</w:t>
      </w:r>
    </w:p>
    <w:p>
      <w:pPr>
        <w:spacing w:line="60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60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60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60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60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绩效评价从项目决策、项目过程、项目产出、项目效益四个维度进行评价。评价对象为项目目标实施情况，评价核心为资金的支出完成情况和项目的产出效益。</w:t>
      </w:r>
    </w:p>
    <w:p>
      <w:pPr>
        <w:spacing w:line="60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708" w:firstLineChars="200"/>
        <w:rPr>
          <w:rFonts w:eastAsia="仿宋_GB2312"/>
          <w:spacing w:val="17"/>
          <w:sz w:val="32"/>
          <w:szCs w:val="32"/>
        </w:rPr>
      </w:pPr>
      <w:r>
        <w:rPr>
          <w:rFonts w:eastAsia="仿宋_GB2312"/>
          <w:spacing w:val="17"/>
          <w:sz w:val="32"/>
          <w:szCs w:val="32"/>
        </w:rPr>
        <w:t>（1）比较法</w:t>
      </w:r>
    </w:p>
    <w:p>
      <w:pPr>
        <w:spacing w:line="60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600" w:lineRule="exact"/>
        <w:ind w:firstLine="708" w:firstLineChars="200"/>
        <w:rPr>
          <w:rFonts w:eastAsia="仿宋_GB2312"/>
          <w:spacing w:val="17"/>
          <w:sz w:val="32"/>
          <w:szCs w:val="32"/>
        </w:rPr>
      </w:pPr>
      <w:r>
        <w:rPr>
          <w:rFonts w:eastAsia="仿宋_GB2312"/>
          <w:spacing w:val="17"/>
          <w:sz w:val="32"/>
          <w:szCs w:val="32"/>
        </w:rPr>
        <w:t>（2）因素分析法</w:t>
      </w:r>
    </w:p>
    <w:p>
      <w:pPr>
        <w:spacing w:line="60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600" w:lineRule="exact"/>
        <w:ind w:firstLine="708" w:firstLineChars="200"/>
        <w:rPr>
          <w:rFonts w:eastAsia="仿宋_GB2312"/>
          <w:spacing w:val="17"/>
          <w:sz w:val="32"/>
          <w:szCs w:val="32"/>
        </w:rPr>
      </w:pPr>
      <w:r>
        <w:rPr>
          <w:rFonts w:eastAsia="仿宋_GB2312"/>
          <w:spacing w:val="17"/>
          <w:sz w:val="32"/>
          <w:szCs w:val="32"/>
        </w:rPr>
        <w:t>绩效评价标准通常包括计划标准、行业标准、历史标准等，用于对绩效指标完成情况进行比较。本次评价主要采用了计划标准和行业标准。</w:t>
      </w:r>
    </w:p>
    <w:p>
      <w:pPr>
        <w:pStyle w:val="2"/>
        <w:numPr>
          <w:ilvl w:val="0"/>
          <w:numId w:val="2"/>
        </w:numPr>
        <w:spacing w:before="0" w:after="0" w:line="600" w:lineRule="exact"/>
        <w:ind w:firstLine="710" w:firstLineChars="200"/>
        <w:jc w:val="both"/>
        <w:rPr>
          <w:rFonts w:ascii="楷体" w:hAnsi="楷体" w:eastAsia="楷体" w:cs="楷体"/>
          <w:spacing w:val="17"/>
        </w:rPr>
      </w:pPr>
      <w:r>
        <w:rPr>
          <w:rFonts w:hint="eastAsia" w:ascii="楷体" w:hAnsi="楷体" w:eastAsia="楷体" w:cs="楷体"/>
          <w:spacing w:val="17"/>
        </w:rPr>
        <w:t>绩效评价工作过程</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0"/>
          <w:numId w:val="3"/>
        </w:numPr>
        <w:spacing w:line="600" w:lineRule="exact"/>
        <w:ind w:firstLine="640" w:firstLineChars="200"/>
        <w:rPr>
          <w:rFonts w:eastAsia="仿宋_GB2312"/>
          <w:bCs/>
          <w:sz w:val="32"/>
          <w:szCs w:val="32"/>
        </w:rPr>
      </w:pP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0"/>
          <w:numId w:val="3"/>
        </w:numPr>
        <w:spacing w:line="600" w:lineRule="exact"/>
        <w:ind w:firstLine="640" w:firstLineChars="200"/>
        <w:rPr>
          <w:sz w:val="32"/>
          <w:szCs w:val="32"/>
        </w:rPr>
      </w:pP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对</w:t>
      </w:r>
      <w:r>
        <w:rPr>
          <w:rFonts w:hint="eastAsia" w:ascii="Times New Roman" w:hAnsi="Times New Roman" w:eastAsia="仿宋_GB2312"/>
          <w:b w:val="0"/>
          <w:bCs w:val="0"/>
        </w:rPr>
        <w:t>新疆维吾尔自治区固体废物动态信息管理平台运维项目</w:t>
      </w:r>
      <w:r>
        <w:rPr>
          <w:rFonts w:ascii="Times New Roman" w:hAnsi="Times New Roman" w:eastAsia="仿宋_GB2312"/>
          <w:b w:val="0"/>
          <w:bCs w:val="0"/>
        </w:rPr>
        <w:t>进行客观评价，最终评分结果：总得分为</w:t>
      </w:r>
      <w:r>
        <w:rPr>
          <w:rFonts w:hint="eastAsia" w:ascii="Times New Roman" w:hAnsi="Times New Roman" w:eastAsia="仿宋_GB2312"/>
          <w:b w:val="0"/>
          <w:bCs w:val="0"/>
        </w:rPr>
        <w:t>99.96</w:t>
      </w:r>
      <w:r>
        <w:rPr>
          <w:rFonts w:ascii="Times New Roman" w:hAnsi="Times New Roman" w:eastAsia="仿宋_GB2312"/>
          <w:b w:val="0"/>
          <w:bCs w:val="0"/>
        </w:rPr>
        <w:t>分，属于“优”。其中，项目决策类指标权重为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19.96</w:t>
      </w:r>
      <w:r>
        <w:rPr>
          <w:rFonts w:ascii="Times New Roman" w:hAnsi="Times New Roman" w:eastAsia="仿宋_GB2312"/>
          <w:b w:val="0"/>
          <w:bCs w:val="0"/>
        </w:rPr>
        <w:t>分，得分率为</w:t>
      </w:r>
      <w:r>
        <w:rPr>
          <w:rFonts w:hint="eastAsia" w:ascii="Times New Roman" w:hAnsi="Times New Roman" w:eastAsia="仿宋_GB2312"/>
          <w:b w:val="0"/>
          <w:bCs w:val="0"/>
        </w:rPr>
        <w:t>99.8</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pPr>
        <w:pStyle w:val="2"/>
        <w:rPr>
          <w:rFonts w:ascii="Times New Roman" w:hAnsi="Times New Roman" w:eastAsia="仿宋_GB2312"/>
          <w:sz w:val="30"/>
          <w:szCs w:val="30"/>
        </w:rPr>
      </w:pPr>
      <w:r>
        <w:rPr>
          <w:rFonts w:ascii="Times New Roman" w:hAnsi="Times New Roman" w:eastAsia="仿宋_GB2312"/>
          <w:sz w:val="30"/>
          <w:szCs w:val="30"/>
        </w:rPr>
        <w:t>表1综合评分表</w:t>
      </w:r>
    </w:p>
    <w:p/>
    <w:p/>
    <w:tbl>
      <w:tblPr>
        <w:tblStyle w:val="22"/>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kern w:val="0"/>
                <w:sz w:val="22"/>
                <w:szCs w:val="22"/>
              </w:rPr>
            </w:pPr>
            <w:r>
              <w:rPr>
                <w:b/>
                <w:bCs/>
                <w:kern w:val="0"/>
                <w:sz w:val="22"/>
                <w:szCs w:val="22"/>
              </w:rPr>
              <w:t>一级指标</w:t>
            </w:r>
          </w:p>
        </w:tc>
        <w:tc>
          <w:tcPr>
            <w:tcW w:w="990" w:type="dxa"/>
            <w:shd w:val="clear" w:color="auto" w:fill="BFBFBF"/>
            <w:vAlign w:val="center"/>
          </w:tcPr>
          <w:p>
            <w:pPr>
              <w:widowControl/>
              <w:spacing w:line="0" w:lineRule="atLeast"/>
              <w:jc w:val="center"/>
              <w:rPr>
                <w:b/>
                <w:bCs/>
                <w:kern w:val="0"/>
                <w:sz w:val="22"/>
                <w:szCs w:val="22"/>
              </w:rPr>
            </w:pPr>
            <w:r>
              <w:rPr>
                <w:b/>
                <w:bCs/>
                <w:kern w:val="0"/>
                <w:sz w:val="22"/>
                <w:szCs w:val="22"/>
              </w:rPr>
              <w:t>分值</w:t>
            </w:r>
          </w:p>
        </w:tc>
        <w:tc>
          <w:tcPr>
            <w:tcW w:w="1283" w:type="dxa"/>
            <w:shd w:val="clear" w:color="auto" w:fill="BFBFBF"/>
            <w:vAlign w:val="center"/>
          </w:tcPr>
          <w:p>
            <w:pPr>
              <w:widowControl/>
              <w:spacing w:line="0" w:lineRule="atLeast"/>
              <w:jc w:val="center"/>
              <w:rPr>
                <w:b/>
                <w:bCs/>
                <w:kern w:val="0"/>
                <w:sz w:val="22"/>
                <w:szCs w:val="22"/>
              </w:rPr>
            </w:pPr>
            <w:r>
              <w:rPr>
                <w:b/>
                <w:bCs/>
                <w:kern w:val="0"/>
                <w:sz w:val="22"/>
                <w:szCs w:val="22"/>
              </w:rPr>
              <w:t>二级指标</w:t>
            </w:r>
          </w:p>
        </w:tc>
        <w:tc>
          <w:tcPr>
            <w:tcW w:w="1707" w:type="dxa"/>
            <w:shd w:val="clear" w:color="auto" w:fill="BFBFBF"/>
            <w:vAlign w:val="center"/>
          </w:tcPr>
          <w:p>
            <w:pPr>
              <w:widowControl/>
              <w:spacing w:line="0" w:lineRule="atLeast"/>
              <w:jc w:val="center"/>
              <w:rPr>
                <w:b/>
                <w:bCs/>
                <w:kern w:val="0"/>
                <w:sz w:val="22"/>
                <w:szCs w:val="22"/>
              </w:rPr>
            </w:pPr>
            <w:r>
              <w:rPr>
                <w:b/>
                <w:bCs/>
                <w:kern w:val="0"/>
                <w:sz w:val="22"/>
                <w:szCs w:val="22"/>
              </w:rPr>
              <w:t>三级指标</w:t>
            </w:r>
          </w:p>
        </w:tc>
        <w:tc>
          <w:tcPr>
            <w:tcW w:w="727" w:type="dxa"/>
            <w:shd w:val="clear" w:color="auto" w:fill="BFBFBF"/>
            <w:vAlign w:val="center"/>
          </w:tcPr>
          <w:p>
            <w:pPr>
              <w:widowControl/>
              <w:spacing w:line="0" w:lineRule="atLeast"/>
              <w:jc w:val="center"/>
              <w:rPr>
                <w:b/>
                <w:bCs/>
                <w:kern w:val="0"/>
                <w:sz w:val="22"/>
                <w:szCs w:val="22"/>
              </w:rPr>
            </w:pPr>
            <w:r>
              <w:rPr>
                <w:b/>
                <w:bCs/>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kern w:val="0"/>
                <w:sz w:val="22"/>
                <w:szCs w:val="22"/>
              </w:rPr>
            </w:pPr>
            <w:r>
              <w:rPr>
                <w:kern w:val="0"/>
                <w:sz w:val="22"/>
                <w:szCs w:val="22"/>
              </w:rPr>
              <w:t>决策　</w:t>
            </w:r>
          </w:p>
          <w:p>
            <w:pPr>
              <w:widowControl/>
              <w:spacing w:line="0" w:lineRule="atLeast"/>
              <w:jc w:val="center"/>
              <w:rPr>
                <w:kern w:val="0"/>
                <w:sz w:val="22"/>
                <w:szCs w:val="22"/>
              </w:rPr>
            </w:pPr>
            <w:r>
              <w:rPr>
                <w:kern w:val="0"/>
                <w:sz w:val="22"/>
                <w:szCs w:val="22"/>
              </w:rPr>
              <w:t>　</w:t>
            </w:r>
          </w:p>
          <w:p>
            <w:pPr>
              <w:spacing w:line="0" w:lineRule="atLeast"/>
              <w:jc w:val="center"/>
              <w:rPr>
                <w:kern w:val="0"/>
                <w:sz w:val="22"/>
                <w:szCs w:val="22"/>
              </w:rPr>
            </w:pPr>
            <w:r>
              <w:rPr>
                <w:kern w:val="0"/>
                <w:sz w:val="22"/>
                <w:szCs w:val="22"/>
              </w:rPr>
              <w:t>　</w:t>
            </w:r>
          </w:p>
          <w:p>
            <w:pPr>
              <w:widowControl/>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1707"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pPr>
              <w:widowControl/>
              <w:spacing w:line="0" w:lineRule="atLeast"/>
              <w:jc w:val="center"/>
              <w:rPr>
                <w:kern w:val="0"/>
                <w:sz w:val="22"/>
                <w:szCs w:val="22"/>
              </w:rPr>
            </w:pPr>
            <w:r>
              <w:rPr>
                <w:kern w:val="0"/>
                <w:sz w:val="22"/>
                <w:szCs w:val="22"/>
              </w:rPr>
              <w:t>充分</w:t>
            </w:r>
          </w:p>
        </w:tc>
        <w:tc>
          <w:tcPr>
            <w:tcW w:w="924" w:type="dxa"/>
            <w:shd w:val="clear" w:color="auto" w:fill="FFFFFF"/>
            <w:vAlign w:val="center"/>
          </w:tcPr>
          <w:p>
            <w:pPr>
              <w:widowControl/>
              <w:spacing w:line="0" w:lineRule="atLeast"/>
              <w:jc w:val="center"/>
              <w:rPr>
                <w:kern w:val="0"/>
                <w:sz w:val="22"/>
                <w:szCs w:val="22"/>
              </w:rPr>
            </w:pPr>
            <w:r>
              <w:rPr>
                <w:kern w:val="0"/>
                <w:sz w:val="22"/>
                <w:szCs w:val="22"/>
              </w:rPr>
              <w:t>充分</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pPr>
              <w:widowControl/>
              <w:spacing w:line="0" w:lineRule="atLeast"/>
              <w:jc w:val="center"/>
              <w:rPr>
                <w:kern w:val="0"/>
                <w:sz w:val="22"/>
                <w:szCs w:val="22"/>
              </w:rPr>
            </w:pPr>
            <w:r>
              <w:rPr>
                <w:kern w:val="0"/>
                <w:sz w:val="22"/>
                <w:szCs w:val="22"/>
              </w:rPr>
              <w:t>规范</w:t>
            </w:r>
          </w:p>
        </w:tc>
        <w:tc>
          <w:tcPr>
            <w:tcW w:w="924" w:type="dxa"/>
            <w:shd w:val="clear" w:color="auto" w:fill="FFFFFF"/>
            <w:vAlign w:val="center"/>
          </w:tcPr>
          <w:p>
            <w:pPr>
              <w:widowControl/>
              <w:spacing w:line="0" w:lineRule="atLeast"/>
              <w:jc w:val="center"/>
              <w:rPr>
                <w:kern w:val="0"/>
                <w:sz w:val="22"/>
                <w:szCs w:val="22"/>
              </w:rPr>
            </w:pPr>
            <w:r>
              <w:rPr>
                <w:kern w:val="0"/>
                <w:sz w:val="22"/>
                <w:szCs w:val="22"/>
              </w:rPr>
              <w:t>规范</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1707" w:type="dxa"/>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合理</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合理</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明确</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明确</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资金投入</w:t>
            </w:r>
          </w:p>
        </w:tc>
        <w:tc>
          <w:tcPr>
            <w:tcW w:w="1707" w:type="dxa"/>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pPr>
              <w:widowControl/>
              <w:spacing w:line="0" w:lineRule="atLeast"/>
              <w:jc w:val="center"/>
              <w:rPr>
                <w:kern w:val="0"/>
                <w:sz w:val="22"/>
                <w:szCs w:val="22"/>
              </w:rPr>
            </w:pPr>
            <w:r>
              <w:rPr>
                <w:kern w:val="0"/>
                <w:sz w:val="22"/>
                <w:szCs w:val="22"/>
              </w:rPr>
              <w:t>科学</w:t>
            </w:r>
          </w:p>
        </w:tc>
        <w:tc>
          <w:tcPr>
            <w:tcW w:w="924" w:type="dxa"/>
            <w:shd w:val="clear" w:color="auto" w:fill="FFFFFF"/>
            <w:vAlign w:val="center"/>
          </w:tcPr>
          <w:p>
            <w:pPr>
              <w:widowControl/>
              <w:spacing w:line="0" w:lineRule="atLeast"/>
              <w:jc w:val="center"/>
              <w:rPr>
                <w:kern w:val="0"/>
                <w:sz w:val="22"/>
                <w:szCs w:val="22"/>
              </w:rPr>
            </w:pPr>
            <w:r>
              <w:rPr>
                <w:kern w:val="0"/>
                <w:sz w:val="22"/>
                <w:szCs w:val="22"/>
              </w:rPr>
              <w:t>科学</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pPr>
              <w:widowControl/>
              <w:spacing w:line="0" w:lineRule="atLeast"/>
              <w:jc w:val="center"/>
              <w:rPr>
                <w:kern w:val="0"/>
                <w:sz w:val="22"/>
                <w:szCs w:val="22"/>
              </w:rPr>
            </w:pPr>
            <w:r>
              <w:rPr>
                <w:kern w:val="0"/>
                <w:sz w:val="22"/>
                <w:szCs w:val="22"/>
              </w:rPr>
              <w:t>合理</w:t>
            </w:r>
          </w:p>
        </w:tc>
        <w:tc>
          <w:tcPr>
            <w:tcW w:w="924" w:type="dxa"/>
            <w:shd w:val="clear" w:color="auto" w:fill="FFFFFF"/>
            <w:vAlign w:val="center"/>
          </w:tcPr>
          <w:p>
            <w:pPr>
              <w:widowControl/>
              <w:spacing w:line="0" w:lineRule="atLeast"/>
              <w:jc w:val="center"/>
              <w:rPr>
                <w:kern w:val="0"/>
                <w:sz w:val="22"/>
                <w:szCs w:val="22"/>
              </w:rPr>
            </w:pPr>
            <w:r>
              <w:rPr>
                <w:kern w:val="0"/>
                <w:sz w:val="22"/>
                <w:szCs w:val="22"/>
              </w:rPr>
              <w:t>合理</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kern w:val="0"/>
                <w:sz w:val="22"/>
                <w:szCs w:val="22"/>
              </w:rPr>
            </w:pPr>
            <w:r>
              <w:rPr>
                <w:kern w:val="0"/>
                <w:sz w:val="22"/>
                <w:szCs w:val="22"/>
              </w:rPr>
              <w:t>过程</w:t>
            </w:r>
          </w:p>
          <w:p>
            <w:pPr>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vMerge w:val="continue"/>
            <w:shd w:val="clear" w:color="auto" w:fill="FFFFFF"/>
            <w:vAlign w:val="center"/>
          </w:tcPr>
          <w:p>
            <w:pPr>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pPr>
              <w:widowControl/>
              <w:spacing w:line="0" w:lineRule="atLeast"/>
              <w:jc w:val="center"/>
              <w:rPr>
                <w:kern w:val="0"/>
                <w:sz w:val="22"/>
                <w:szCs w:val="22"/>
              </w:rPr>
            </w:pPr>
            <w:r>
              <w:rPr>
                <w:kern w:val="0"/>
                <w:sz w:val="22"/>
                <w:szCs w:val="22"/>
              </w:rPr>
              <w:t>100%</w:t>
            </w:r>
          </w:p>
        </w:tc>
        <w:tc>
          <w:tcPr>
            <w:tcW w:w="924" w:type="dxa"/>
            <w:shd w:val="clear" w:color="auto" w:fill="FFFFFF"/>
            <w:vAlign w:val="center"/>
          </w:tcPr>
          <w:p>
            <w:pPr>
              <w:widowControl/>
              <w:spacing w:line="0" w:lineRule="atLeast"/>
              <w:jc w:val="center"/>
              <w:rPr>
                <w:kern w:val="0"/>
                <w:sz w:val="22"/>
                <w:szCs w:val="22"/>
              </w:rPr>
            </w:pPr>
            <w:r>
              <w:rPr>
                <w:rFonts w:hint="eastAsia"/>
                <w:kern w:val="0"/>
                <w:sz w:val="22"/>
                <w:szCs w:val="22"/>
              </w:rPr>
              <w:t>99.05</w:t>
            </w:r>
            <w:r>
              <w:rPr>
                <w:kern w:val="0"/>
                <w:sz w:val="22"/>
                <w:szCs w:val="22"/>
              </w:rPr>
              <w:t>%</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99.05</w:t>
            </w:r>
            <w:r>
              <w:rPr>
                <w:kern w:val="0"/>
                <w:sz w:val="22"/>
                <w:szCs w:val="22"/>
              </w:rPr>
              <w:t>%</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3.96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shd w:val="clear" w:color="auto" w:fill="FFFFFF"/>
            <w:vAlign w:val="center"/>
          </w:tcPr>
          <w:p>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合格</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合格</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组织实施</w:t>
            </w:r>
          </w:p>
        </w:tc>
        <w:tc>
          <w:tcPr>
            <w:tcW w:w="1707" w:type="dxa"/>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健全</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健全</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有效</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有效</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1707"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shd w:val="clear" w:color="auto" w:fill="FFFFFF"/>
            <w:vAlign w:val="center"/>
          </w:tcPr>
          <w:p>
            <w:pPr>
              <w:widowControl/>
              <w:spacing w:line="0" w:lineRule="atLeast"/>
              <w:jc w:val="center"/>
              <w:rPr>
                <w:kern w:val="0"/>
                <w:sz w:val="22"/>
                <w:szCs w:val="22"/>
              </w:rPr>
            </w:pPr>
            <w:r>
              <w:rPr>
                <w:kern w:val="0"/>
                <w:sz w:val="22"/>
                <w:szCs w:val="22"/>
              </w:rPr>
              <w:t>产出质量</w:t>
            </w:r>
          </w:p>
        </w:tc>
        <w:tc>
          <w:tcPr>
            <w:tcW w:w="1707" w:type="dxa"/>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kern w:val="0"/>
                <w:sz w:val="22"/>
                <w:szCs w:val="22"/>
              </w:rPr>
            </w:pPr>
          </w:p>
        </w:tc>
        <w:tc>
          <w:tcPr>
            <w:tcW w:w="990" w:type="dxa"/>
            <w:vMerge w:val="continue"/>
            <w:shd w:val="clear" w:color="auto" w:fill="FFFFFF"/>
            <w:vAlign w:val="center"/>
          </w:tcPr>
          <w:p>
            <w:pPr>
              <w:spacing w:line="0" w:lineRule="atLeast"/>
              <w:jc w:val="center"/>
              <w:rPr>
                <w:kern w:val="0"/>
                <w:sz w:val="22"/>
                <w:szCs w:val="22"/>
              </w:rPr>
            </w:pPr>
          </w:p>
        </w:tc>
        <w:tc>
          <w:tcPr>
            <w:tcW w:w="1283" w:type="dxa"/>
            <w:shd w:val="clear" w:color="auto" w:fill="FFFFFF"/>
            <w:vAlign w:val="center"/>
          </w:tcPr>
          <w:p>
            <w:pPr>
              <w:spacing w:line="0" w:lineRule="atLeast"/>
              <w:jc w:val="center"/>
              <w:rPr>
                <w:kern w:val="0"/>
                <w:sz w:val="22"/>
                <w:szCs w:val="22"/>
              </w:rPr>
            </w:pPr>
            <w:r>
              <w:rPr>
                <w:kern w:val="0"/>
                <w:sz w:val="22"/>
                <w:szCs w:val="22"/>
              </w:rPr>
              <w:t>产出时效</w:t>
            </w:r>
          </w:p>
        </w:tc>
        <w:tc>
          <w:tcPr>
            <w:tcW w:w="1707" w:type="dxa"/>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及时</w:t>
            </w:r>
          </w:p>
        </w:tc>
        <w:tc>
          <w:tcPr>
            <w:tcW w:w="924" w:type="dxa"/>
            <w:shd w:val="clear" w:color="000000" w:fill="FFFFFF"/>
            <w:vAlign w:val="center"/>
          </w:tcPr>
          <w:p>
            <w:pPr>
              <w:widowControl/>
              <w:spacing w:line="0" w:lineRule="atLeast"/>
              <w:jc w:val="center"/>
              <w:rPr>
                <w:kern w:val="0"/>
                <w:sz w:val="22"/>
                <w:szCs w:val="22"/>
              </w:rPr>
            </w:pPr>
            <w:r>
              <w:rPr>
                <w:kern w:val="0"/>
                <w:sz w:val="22"/>
                <w:szCs w:val="22"/>
              </w:rPr>
              <w:t>及时</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shd w:val="clear" w:color="auto" w:fill="FFFFFF"/>
            <w:vAlign w:val="center"/>
          </w:tcPr>
          <w:p>
            <w:pPr>
              <w:widowControl/>
              <w:spacing w:line="0" w:lineRule="atLeast"/>
              <w:jc w:val="center"/>
              <w:rPr>
                <w:kern w:val="0"/>
                <w:sz w:val="22"/>
                <w:szCs w:val="22"/>
              </w:rPr>
            </w:pPr>
            <w:r>
              <w:rPr>
                <w:kern w:val="0"/>
                <w:sz w:val="22"/>
                <w:szCs w:val="22"/>
              </w:rPr>
              <w:t>产出成本</w:t>
            </w:r>
          </w:p>
        </w:tc>
        <w:tc>
          <w:tcPr>
            <w:tcW w:w="1707" w:type="dxa"/>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727" w:type="dxa"/>
            <w:shd w:val="clear" w:color="000000" w:fill="FFFFFF"/>
            <w:vAlign w:val="center"/>
          </w:tcPr>
          <w:p>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99.05</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990"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1707" w:type="dxa"/>
            <w:shd w:val="clear" w:color="auto" w:fill="FFFFFF"/>
            <w:vAlign w:val="center"/>
          </w:tcPr>
          <w:p>
            <w:pPr>
              <w:widowControl/>
              <w:spacing w:line="0" w:lineRule="atLeast"/>
              <w:jc w:val="center"/>
              <w:rPr>
                <w:kern w:val="0"/>
                <w:sz w:val="22"/>
                <w:szCs w:val="22"/>
              </w:rPr>
            </w:pPr>
            <w:r>
              <w:rPr>
                <w:kern w:val="0"/>
                <w:sz w:val="22"/>
                <w:szCs w:val="22"/>
              </w:rPr>
              <w:t>实施效益</w:t>
            </w:r>
          </w:p>
          <w:p>
            <w:pPr>
              <w:widowControl/>
              <w:spacing w:line="0" w:lineRule="atLeast"/>
              <w:jc w:val="center"/>
              <w:rPr>
                <w:kern w:val="0"/>
                <w:sz w:val="22"/>
                <w:szCs w:val="22"/>
              </w:rPr>
            </w:pPr>
            <w:r>
              <w:rPr>
                <w:kern w:val="0"/>
                <w:sz w:val="22"/>
                <w:szCs w:val="22"/>
              </w:rPr>
              <w:t>（社会效益、经济效益、</w:t>
            </w:r>
            <w:r>
              <w:rPr>
                <w:rFonts w:hint="eastAsia"/>
                <w:kern w:val="0"/>
                <w:sz w:val="22"/>
                <w:szCs w:val="22"/>
              </w:rPr>
              <w:t>生态</w:t>
            </w:r>
            <w:r>
              <w:rPr>
                <w:kern w:val="0"/>
                <w:sz w:val="22"/>
                <w:szCs w:val="22"/>
              </w:rPr>
              <w:t>效益）</w:t>
            </w:r>
          </w:p>
        </w:tc>
        <w:tc>
          <w:tcPr>
            <w:tcW w:w="727" w:type="dxa"/>
            <w:shd w:val="clear" w:color="auto" w:fill="FFFFFF"/>
            <w:vAlign w:val="center"/>
          </w:tcPr>
          <w:p>
            <w:pPr>
              <w:widowControl/>
              <w:spacing w:line="0" w:lineRule="atLeast"/>
              <w:jc w:val="center"/>
              <w:rPr>
                <w:kern w:val="0"/>
                <w:sz w:val="22"/>
                <w:szCs w:val="22"/>
              </w:rPr>
            </w:pPr>
            <w:r>
              <w:rPr>
                <w:rFonts w:hint="eastAsia"/>
                <w:kern w:val="0"/>
                <w:sz w:val="22"/>
                <w:szCs w:val="22"/>
              </w:rPr>
              <w:t>10</w:t>
            </w:r>
          </w:p>
        </w:tc>
        <w:tc>
          <w:tcPr>
            <w:tcW w:w="1044" w:type="dxa"/>
            <w:shd w:val="clear" w:color="auto" w:fill="FFFFFF"/>
            <w:vAlign w:val="center"/>
          </w:tcPr>
          <w:p>
            <w:pPr>
              <w:widowControl/>
              <w:spacing w:line="0" w:lineRule="atLeast"/>
              <w:jc w:val="center"/>
              <w:rPr>
                <w:kern w:val="0"/>
                <w:sz w:val="22"/>
                <w:szCs w:val="22"/>
              </w:rPr>
            </w:pPr>
            <w:r>
              <w:rPr>
                <w:kern w:val="0"/>
                <w:sz w:val="22"/>
                <w:szCs w:val="22"/>
              </w:rPr>
              <w:t>有效</w:t>
            </w:r>
          </w:p>
        </w:tc>
        <w:tc>
          <w:tcPr>
            <w:tcW w:w="924" w:type="dxa"/>
            <w:shd w:val="clear" w:color="auto" w:fill="FFFFFF"/>
            <w:vAlign w:val="center"/>
          </w:tcPr>
          <w:p>
            <w:pPr>
              <w:widowControl/>
              <w:spacing w:line="0" w:lineRule="atLeast"/>
              <w:jc w:val="center"/>
              <w:rPr>
                <w:kern w:val="0"/>
                <w:sz w:val="22"/>
                <w:szCs w:val="22"/>
              </w:rPr>
            </w:pPr>
            <w:r>
              <w:rPr>
                <w:kern w:val="0"/>
                <w:sz w:val="22"/>
                <w:szCs w:val="22"/>
              </w:rPr>
              <w:t>有效</w:t>
            </w:r>
          </w:p>
        </w:tc>
        <w:tc>
          <w:tcPr>
            <w:tcW w:w="1215" w:type="dxa"/>
            <w:shd w:val="clear" w:color="auto"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pPr>
              <w:widowControl/>
              <w:spacing w:line="0" w:lineRule="atLeast"/>
              <w:jc w:val="center"/>
              <w:rPr>
                <w:kern w:val="0"/>
                <w:sz w:val="22"/>
                <w:szCs w:val="22"/>
              </w:rPr>
            </w:pPr>
            <w:r>
              <w:rPr>
                <w:rFonts w:hint="eastAsia"/>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kern w:val="0"/>
                <w:sz w:val="22"/>
                <w:szCs w:val="22"/>
              </w:rPr>
            </w:pPr>
          </w:p>
        </w:tc>
        <w:tc>
          <w:tcPr>
            <w:tcW w:w="990" w:type="dxa"/>
            <w:vMerge w:val="continue"/>
            <w:shd w:val="clear" w:color="auto" w:fill="FFFFFF"/>
            <w:vAlign w:val="center"/>
          </w:tcPr>
          <w:p>
            <w:pPr>
              <w:widowControl/>
              <w:spacing w:line="0" w:lineRule="atLeast"/>
              <w:jc w:val="center"/>
              <w:rPr>
                <w:kern w:val="0"/>
                <w:sz w:val="22"/>
                <w:szCs w:val="22"/>
              </w:rPr>
            </w:pPr>
          </w:p>
        </w:tc>
        <w:tc>
          <w:tcPr>
            <w:tcW w:w="1283" w:type="dxa"/>
            <w:vMerge w:val="continue"/>
            <w:shd w:val="clear" w:color="auto" w:fill="FFFFFF"/>
            <w:vAlign w:val="center"/>
          </w:tcPr>
          <w:p>
            <w:pPr>
              <w:widowControl/>
              <w:spacing w:line="0" w:lineRule="atLeast"/>
              <w:jc w:val="center"/>
              <w:rPr>
                <w:kern w:val="0"/>
                <w:sz w:val="22"/>
                <w:szCs w:val="22"/>
              </w:rPr>
            </w:pPr>
          </w:p>
        </w:tc>
        <w:tc>
          <w:tcPr>
            <w:tcW w:w="1707" w:type="dxa"/>
            <w:shd w:val="clear" w:color="auto" w:fill="FFFFFF"/>
            <w:vAlign w:val="center"/>
          </w:tcPr>
          <w:p>
            <w:pPr>
              <w:widowControl/>
              <w:spacing w:line="0" w:lineRule="atLeast"/>
              <w:jc w:val="center"/>
              <w:rPr>
                <w:kern w:val="0"/>
                <w:sz w:val="22"/>
                <w:szCs w:val="22"/>
              </w:rPr>
            </w:pPr>
            <w:r>
              <w:rPr>
                <w:kern w:val="0"/>
                <w:sz w:val="22"/>
                <w:szCs w:val="22"/>
              </w:rPr>
              <w:t>满意度</w:t>
            </w:r>
          </w:p>
        </w:tc>
        <w:tc>
          <w:tcPr>
            <w:tcW w:w="727"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c>
          <w:tcPr>
            <w:tcW w:w="1044" w:type="dxa"/>
            <w:shd w:val="clear" w:color="000000" w:fill="FFFFFF"/>
            <w:vAlign w:val="center"/>
          </w:tcPr>
          <w:p>
            <w:pPr>
              <w:widowControl/>
              <w:spacing w:line="0" w:lineRule="atLeast"/>
              <w:jc w:val="center"/>
              <w:rPr>
                <w:kern w:val="0"/>
                <w:sz w:val="22"/>
                <w:szCs w:val="22"/>
              </w:rPr>
            </w:pPr>
            <w:r>
              <w:rPr>
                <w:kern w:val="0"/>
                <w:sz w:val="22"/>
                <w:szCs w:val="22"/>
              </w:rPr>
              <w:t>≥</w:t>
            </w:r>
            <w:r>
              <w:rPr>
                <w:rFonts w:hint="eastAsia"/>
                <w:kern w:val="0"/>
                <w:sz w:val="22"/>
                <w:szCs w:val="22"/>
              </w:rPr>
              <w:t>90</w:t>
            </w:r>
            <w:r>
              <w:rPr>
                <w:kern w:val="0"/>
                <w:sz w:val="22"/>
                <w:szCs w:val="22"/>
              </w:rPr>
              <w:t>%</w:t>
            </w:r>
          </w:p>
        </w:tc>
        <w:tc>
          <w:tcPr>
            <w:tcW w:w="924" w:type="dxa"/>
            <w:shd w:val="clear" w:color="000000" w:fill="FFFFFF"/>
            <w:vAlign w:val="center"/>
          </w:tcPr>
          <w:p>
            <w:pPr>
              <w:widowControl/>
              <w:spacing w:line="0" w:lineRule="atLeast"/>
              <w:jc w:val="center"/>
              <w:rPr>
                <w:kern w:val="0"/>
                <w:sz w:val="22"/>
                <w:szCs w:val="22"/>
              </w:rPr>
            </w:pPr>
            <w:r>
              <w:rPr>
                <w:rFonts w:hint="eastAsia"/>
                <w:kern w:val="0"/>
                <w:sz w:val="22"/>
                <w:szCs w:val="22"/>
              </w:rPr>
              <w:t>90</w:t>
            </w:r>
            <w:r>
              <w:rPr>
                <w:kern w:val="0"/>
                <w:sz w:val="22"/>
                <w:szCs w:val="22"/>
              </w:rPr>
              <w:t>%</w:t>
            </w:r>
          </w:p>
        </w:tc>
        <w:tc>
          <w:tcPr>
            <w:tcW w:w="1215" w:type="dxa"/>
            <w:shd w:val="clear" w:color="000000" w:fill="FFFFFF"/>
            <w:vAlign w:val="center"/>
          </w:tcPr>
          <w:p>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pPr>
              <w:widowControl/>
              <w:spacing w:line="0" w:lineRule="atLeast"/>
              <w:jc w:val="center"/>
              <w:rPr>
                <w:kern w:val="0"/>
                <w:sz w:val="22"/>
                <w:szCs w:val="22"/>
              </w:rPr>
            </w:pPr>
            <w:r>
              <w:rPr>
                <w:rFonts w:hint="eastAsia"/>
                <w:kern w:val="0"/>
                <w:sz w:val="22"/>
                <w:szCs w:val="22"/>
              </w:rPr>
              <w:t>10</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spacing w:before="0" w:after="0" w:line="56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项目过程类指标包括资金管理和组织实施两方面的内容，由5个三级指标构成，权重分值为20分，实际得分19.96分，得分率为99.80%。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本项目总投资44万元，财政资金及时足额到位，到位率100%，预算资金按计划进度执行。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预算编制较为详细，项目资金支出总体能够按照预算执行，预算资金支出43.58万元，预算执行率为99.05%。</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55"/>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2"/>
        <w:ind w:firstLine="321" w:firstLineChars="1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项目产出类指标包括产出数量、产出质量、产出时效、产出成本四方面的内容，由7个三级指标构成，权重分为40分，实际得分40分，得分率为100%。具体产出指标完成情况如下：</w:t>
      </w:r>
    </w:p>
    <w:p/>
    <w:p>
      <w:pPr>
        <w:spacing w:line="600" w:lineRule="exact"/>
        <w:ind w:firstLine="624" w:firstLineChars="200"/>
        <w:rPr>
          <w:rStyle w:val="24"/>
          <w:rFonts w:eastAsia="仿宋"/>
          <w:b w:val="0"/>
          <w:spacing w:val="-4"/>
          <w:sz w:val="32"/>
          <w:szCs w:val="32"/>
        </w:rPr>
      </w:pPr>
      <w:r>
        <w:rPr>
          <w:rStyle w:val="24"/>
          <w:rFonts w:eastAsia="仿宋"/>
          <w:b w:val="0"/>
          <w:spacing w:val="-4"/>
          <w:sz w:val="32"/>
          <w:szCs w:val="32"/>
        </w:rPr>
        <w:t>数量指标方面：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a.维护固体废物信息化平指标，指标值为≥2套，实际完成2套，完成率100%。</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b.开发固体废物应用数量指标，指标值为≥4个，实际完成4个，完成率100%。</w:t>
      </w:r>
    </w:p>
    <w:p>
      <w:pPr>
        <w:spacing w:line="600" w:lineRule="exact"/>
        <w:ind w:firstLine="640" w:firstLineChars="200"/>
        <w:rPr>
          <w:rStyle w:val="54"/>
          <w:rFonts w:ascii="Times New Roman" w:hAnsi="Times New Roman" w:cs="Times New Roman"/>
          <w:color w:val="auto"/>
        </w:rPr>
      </w:pPr>
      <w:r>
        <w:rPr>
          <w:rStyle w:val="54"/>
          <w:rFonts w:ascii="Times New Roman" w:hAnsi="Times New Roman" w:cs="Times New Roman"/>
          <w:color w:val="auto"/>
        </w:rPr>
        <w:t>质量指标方面：</w:t>
      </w:r>
    </w:p>
    <w:p>
      <w:pPr>
        <w:numPr>
          <w:ilvl w:val="255"/>
          <w:numId w:val="0"/>
        </w:num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a.系统故障率指标指标，指标值为</w:t>
      </w:r>
      <w:r>
        <w:rPr>
          <w:rStyle w:val="24"/>
          <w:rFonts w:eastAsia="仿宋"/>
          <w:b w:val="0"/>
          <w:spacing w:val="-4"/>
          <w:sz w:val="32"/>
          <w:szCs w:val="32"/>
        </w:rPr>
        <w:t>≤</w:t>
      </w:r>
      <w:r>
        <w:rPr>
          <w:rStyle w:val="24"/>
          <w:rFonts w:hint="eastAsia" w:eastAsia="仿宋"/>
          <w:b w:val="0"/>
          <w:spacing w:val="-4"/>
          <w:sz w:val="32"/>
          <w:szCs w:val="32"/>
        </w:rPr>
        <w:t>3%，实际完成3%，完成率100%。</w:t>
      </w:r>
    </w:p>
    <w:p>
      <w:pPr>
        <w:spacing w:line="600" w:lineRule="exact"/>
        <w:ind w:firstLine="640" w:firstLineChars="200"/>
        <w:rPr>
          <w:rStyle w:val="54"/>
          <w:rFonts w:ascii="Times New Roman" w:hAnsi="Times New Roman" w:cs="Times New Roman"/>
          <w:color w:val="auto"/>
        </w:rPr>
      </w:pPr>
      <w:r>
        <w:rPr>
          <w:rStyle w:val="54"/>
          <w:rFonts w:ascii="Times New Roman" w:hAnsi="Times New Roman" w:cs="Times New Roman"/>
          <w:color w:val="auto"/>
        </w:rPr>
        <w:t>时效指标方面：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a.系统故障修复处理时间指标，指标值为</w:t>
      </w:r>
      <w:r>
        <w:rPr>
          <w:rStyle w:val="24"/>
          <w:rFonts w:eastAsia="仿宋"/>
          <w:b w:val="0"/>
          <w:spacing w:val="-4"/>
          <w:sz w:val="32"/>
          <w:szCs w:val="32"/>
        </w:rPr>
        <w:t>≤</w:t>
      </w:r>
      <w:r>
        <w:rPr>
          <w:rStyle w:val="24"/>
          <w:rFonts w:hint="eastAsia" w:eastAsia="仿宋"/>
          <w:b w:val="0"/>
          <w:spacing w:val="-4"/>
          <w:sz w:val="32"/>
          <w:szCs w:val="32"/>
        </w:rPr>
        <w:t>1天，实际完成1天，完成率100%。</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b.系统运行维护响应时间指标，指标值为</w:t>
      </w:r>
      <w:r>
        <w:rPr>
          <w:rStyle w:val="24"/>
          <w:rFonts w:eastAsia="仿宋"/>
          <w:b w:val="0"/>
          <w:spacing w:val="-4"/>
          <w:sz w:val="32"/>
          <w:szCs w:val="32"/>
        </w:rPr>
        <w:t>≤</w:t>
      </w:r>
      <w:r>
        <w:rPr>
          <w:rStyle w:val="24"/>
          <w:rFonts w:hint="eastAsia" w:eastAsia="仿宋"/>
          <w:b w:val="0"/>
          <w:spacing w:val="-4"/>
          <w:sz w:val="32"/>
          <w:szCs w:val="32"/>
        </w:rPr>
        <w:t>6小时，实际完成6小时，完成率100%。</w:t>
      </w:r>
    </w:p>
    <w:p>
      <w:pPr>
        <w:pStyle w:val="2"/>
        <w:spacing w:before="0" w:after="0" w:line="600" w:lineRule="exact"/>
        <w:ind w:firstLine="640" w:firstLineChars="200"/>
        <w:jc w:val="both"/>
        <w:rPr>
          <w:rStyle w:val="54"/>
          <w:rFonts w:ascii="Times New Roman" w:hAnsi="Times New Roman" w:cs="Times New Roman"/>
          <w:b w:val="0"/>
          <w:bCs w:val="0"/>
          <w:color w:val="auto"/>
        </w:rPr>
      </w:pPr>
      <w:r>
        <w:rPr>
          <w:rStyle w:val="54"/>
          <w:rFonts w:ascii="Times New Roman" w:hAnsi="Times New Roman" w:cs="Times New Roman"/>
          <w:b w:val="0"/>
          <w:bCs w:val="0"/>
          <w:color w:val="auto"/>
        </w:rPr>
        <w:t>成本指标方面：</w:t>
      </w:r>
    </w:p>
    <w:p>
      <w:pPr>
        <w:numPr>
          <w:ilvl w:val="0"/>
          <w:numId w:val="6"/>
        </w:num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环境管理视频监控系统运维总成本指标，指标值为</w:t>
      </w:r>
      <w:r>
        <w:rPr>
          <w:rStyle w:val="24"/>
          <w:rFonts w:eastAsia="仿宋"/>
          <w:b w:val="0"/>
          <w:spacing w:val="-4"/>
          <w:sz w:val="32"/>
          <w:szCs w:val="32"/>
        </w:rPr>
        <w:t>≤</w:t>
      </w:r>
      <w:r>
        <w:rPr>
          <w:rStyle w:val="24"/>
          <w:rFonts w:hint="eastAsia" w:eastAsia="仿宋"/>
          <w:b w:val="0"/>
          <w:spacing w:val="-4"/>
          <w:sz w:val="32"/>
          <w:szCs w:val="32"/>
        </w:rPr>
        <w:t>19万元，实际完成18.8万元，完成率98.95%，偏差率1.05%，偏差原因是金额最终以实际招标价格为准。</w:t>
      </w:r>
    </w:p>
    <w:p>
      <w:pPr>
        <w:spacing w:line="600" w:lineRule="exact"/>
        <w:ind w:firstLine="624" w:firstLineChars="200"/>
        <w:rPr>
          <w:rStyle w:val="24"/>
          <w:b w:val="0"/>
          <w:spacing w:val="-4"/>
          <w:sz w:val="32"/>
          <w:szCs w:val="32"/>
        </w:rPr>
      </w:pPr>
      <w:r>
        <w:rPr>
          <w:rStyle w:val="24"/>
          <w:rFonts w:hint="eastAsia" w:eastAsia="仿宋"/>
          <w:b w:val="0"/>
          <w:spacing w:val="-4"/>
          <w:sz w:val="32"/>
          <w:szCs w:val="32"/>
        </w:rPr>
        <w:t>b.固体废物环境管理信息系统运维总成本指标，指标值为&lt;=25万元，实际完成24.78万元，完成率99.12%，偏差率0.98%，偏差原因是金额最终以实际招标价格为准。</w:t>
      </w:r>
    </w:p>
    <w:p>
      <w:pPr>
        <w:pStyle w:val="2"/>
        <w:ind w:firstLine="321" w:firstLineChars="1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600" w:lineRule="exact"/>
        <w:ind w:firstLine="640" w:firstLineChars="200"/>
        <w:rPr>
          <w:rStyle w:val="54"/>
          <w:rFonts w:ascii="Times New Roman" w:hAnsi="Times New Roman" w:cs="Times New Roman"/>
          <w:color w:val="auto"/>
        </w:rPr>
      </w:pPr>
      <w:r>
        <w:rPr>
          <w:rStyle w:val="54"/>
          <w:rFonts w:hint="eastAsia" w:cs="Times New Roman"/>
          <w:color w:val="auto"/>
        </w:rPr>
        <w:t>生态</w:t>
      </w:r>
      <w:r>
        <w:rPr>
          <w:rStyle w:val="54"/>
          <w:rFonts w:ascii="Times New Roman" w:hAnsi="Times New Roman" w:cs="Times New Roman"/>
          <w:color w:val="auto"/>
        </w:rPr>
        <w:t>效益指标方面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a.全区危险废物环境管理水平指标，指标值为提升，实际完成为提升，完成率100%。</w:t>
      </w:r>
    </w:p>
    <w:p>
      <w:pPr>
        <w:spacing w:line="600" w:lineRule="exact"/>
        <w:ind w:firstLine="640" w:firstLineChars="200"/>
        <w:rPr>
          <w:rStyle w:val="54"/>
          <w:rFonts w:ascii="Times New Roman" w:hAnsi="Times New Roman" w:cs="Times New Roman"/>
          <w:color w:val="auto"/>
        </w:rPr>
      </w:pPr>
      <w:r>
        <w:rPr>
          <w:rStyle w:val="54"/>
          <w:rFonts w:ascii="Times New Roman" w:hAnsi="Times New Roman" w:cs="Times New Roman"/>
          <w:color w:val="auto"/>
        </w:rPr>
        <w:t>满意度指标方面：</w:t>
      </w:r>
    </w:p>
    <w:p>
      <w:pPr>
        <w:spacing w:line="600" w:lineRule="exact"/>
        <w:ind w:firstLine="624" w:firstLineChars="200"/>
        <w:rPr>
          <w:rStyle w:val="24"/>
          <w:rFonts w:eastAsia="仿宋"/>
          <w:b w:val="0"/>
          <w:spacing w:val="-4"/>
          <w:sz w:val="32"/>
          <w:szCs w:val="32"/>
        </w:rPr>
      </w:pPr>
      <w:r>
        <w:rPr>
          <w:rStyle w:val="24"/>
          <w:rFonts w:hint="eastAsia" w:eastAsia="仿宋"/>
          <w:b w:val="0"/>
          <w:spacing w:val="-4"/>
          <w:sz w:val="32"/>
          <w:szCs w:val="32"/>
        </w:rPr>
        <w:t>a.使用人员满意度指标，指标值为≥90％，实际完成为</w:t>
      </w:r>
      <w:r>
        <w:rPr>
          <w:rStyle w:val="24"/>
          <w:rFonts w:eastAsia="仿宋"/>
          <w:b w:val="0"/>
          <w:spacing w:val="-4"/>
          <w:sz w:val="32"/>
          <w:szCs w:val="32"/>
        </w:rPr>
        <w:t>100</w:t>
      </w:r>
      <w:r>
        <w:rPr>
          <w:rStyle w:val="24"/>
          <w:rFonts w:hint="eastAsia" w:eastAsia="仿宋"/>
          <w:b w:val="0"/>
          <w:spacing w:val="-4"/>
          <w:sz w:val="32"/>
          <w:szCs w:val="32"/>
        </w:rPr>
        <w:t>%，完成率111.11，偏差率11.11%，实际在满意度调查过程中未发现不满意的相关反馈。</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spacing w:line="600" w:lineRule="exact"/>
        <w:ind w:firstLine="640" w:firstLineChars="200"/>
        <w:rPr>
          <w:rFonts w:eastAsia="仿宋_GB2312"/>
          <w:sz w:val="32"/>
          <w:szCs w:val="32"/>
        </w:rPr>
      </w:pPr>
      <w:r>
        <w:rPr>
          <w:rFonts w:hint="eastAsia" w:eastAsia="仿宋_GB2312"/>
          <w:sz w:val="32"/>
          <w:szCs w:val="32"/>
        </w:rPr>
        <w:t>新疆维吾尔自治区固体废物动态信息管理平台运维项目项目年初预算44万元，全年预算44万元，实际支出43.58万元，预算执行率为99.05%，项目绩效指标总体完成率为101.23%，</w:t>
      </w:r>
      <w:r>
        <w:rPr>
          <w:rFonts w:hint="eastAsia" w:eastAsia="仿宋_GB2312"/>
          <w:sz w:val="32"/>
          <w:szCs w:val="32"/>
          <w:lang w:eastAsia="zh-Hans"/>
        </w:rPr>
        <w:t>总体</w:t>
      </w:r>
      <w:r>
        <w:rPr>
          <w:rFonts w:hint="eastAsia" w:eastAsia="仿宋_GB2312"/>
          <w:sz w:val="32"/>
          <w:szCs w:val="32"/>
        </w:rPr>
        <w:t>偏差率为2.18%,</w:t>
      </w:r>
      <w:r>
        <w:rPr>
          <w:rFonts w:hint="eastAsia" w:eastAsia="仿宋_GB2312"/>
          <w:sz w:val="32"/>
          <w:szCs w:val="32"/>
          <w:lang w:eastAsia="zh-Hans"/>
        </w:rPr>
        <w:t>偏差</w:t>
      </w:r>
      <w:r>
        <w:rPr>
          <w:rFonts w:hint="eastAsia" w:eastAsia="仿宋_GB2312"/>
          <w:sz w:val="32"/>
          <w:szCs w:val="32"/>
        </w:rPr>
        <w:t>原因为项目资金执行率以项目招投标资金为准，</w:t>
      </w:r>
      <w:r>
        <w:rPr>
          <w:rFonts w:hint="eastAsia" w:eastAsia="仿宋_GB2312"/>
          <w:sz w:val="32"/>
          <w:szCs w:val="32"/>
          <w:lang w:eastAsia="zh-Hans"/>
        </w:rPr>
        <w:t>改进</w:t>
      </w:r>
      <w:r>
        <w:rPr>
          <w:rFonts w:hint="eastAsia" w:eastAsia="仿宋_GB2312"/>
          <w:sz w:val="32"/>
          <w:szCs w:val="32"/>
        </w:rPr>
        <w:t>措施，下年度严格执行招投标制度，尽可能选择资金最为接近的中标企业。</w:t>
      </w:r>
    </w:p>
    <w:p>
      <w:pPr>
        <w:spacing w:line="600" w:lineRule="exact"/>
        <w:ind w:firstLine="640" w:firstLineChars="200"/>
        <w:rPr>
          <w:rStyle w:val="54"/>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600" w:lineRule="exact"/>
        <w:ind w:firstLine="626" w:firstLineChars="200"/>
        <w:rPr>
          <w:rFonts w:eastAsia="楷体"/>
          <w:b/>
          <w:spacing w:val="-4"/>
          <w:sz w:val="32"/>
          <w:szCs w:val="32"/>
        </w:rPr>
      </w:pPr>
      <w:r>
        <w:rPr>
          <w:rFonts w:eastAsia="楷体"/>
          <w:b/>
          <w:spacing w:val="-4"/>
          <w:sz w:val="32"/>
          <w:szCs w:val="32"/>
        </w:rPr>
        <w:t>（一）主要经验及做法</w:t>
      </w:r>
    </w:p>
    <w:p>
      <w:pPr>
        <w:spacing w:line="60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600" w:lineRule="exact"/>
        <w:ind w:firstLine="626" w:firstLineChars="200"/>
        <w:rPr>
          <w:rFonts w:eastAsia="仿宋_GB2312"/>
        </w:rPr>
      </w:pPr>
      <w:r>
        <w:rPr>
          <w:rFonts w:eastAsia="楷体"/>
          <w:b/>
          <w:spacing w:val="-4"/>
          <w:sz w:val="32"/>
          <w:szCs w:val="32"/>
        </w:rPr>
        <w:t>（</w:t>
      </w:r>
      <w:r>
        <w:rPr>
          <w:rFonts w:hint="eastAsia" w:eastAsia="楷体"/>
          <w:b/>
          <w:spacing w:val="-4"/>
          <w:sz w:val="32"/>
          <w:szCs w:val="32"/>
        </w:rPr>
        <w:t>二</w:t>
      </w:r>
      <w:r>
        <w:rPr>
          <w:rFonts w:eastAsia="楷体"/>
          <w:b/>
          <w:spacing w:val="-4"/>
          <w:sz w:val="32"/>
          <w:szCs w:val="32"/>
        </w:rPr>
        <w:t>）</w:t>
      </w:r>
      <w:r>
        <w:rPr>
          <w:rFonts w:hint="eastAsia" w:eastAsia="楷体"/>
          <w:b/>
          <w:spacing w:val="-4"/>
          <w:sz w:val="32"/>
          <w:szCs w:val="32"/>
        </w:rPr>
        <w:t>存在的问题及原因分析</w:t>
      </w:r>
    </w:p>
    <w:p>
      <w:pPr>
        <w:pStyle w:val="2"/>
        <w:spacing w:before="0" w:after="0" w:line="600" w:lineRule="exact"/>
        <w:ind w:firstLine="640" w:firstLineChars="200"/>
        <w:jc w:val="both"/>
        <w:rPr>
          <w:rFonts w:hint="eastAsia"/>
        </w:rPr>
      </w:pPr>
      <w:r>
        <w:rPr>
          <w:rFonts w:hint="eastAsia" w:ascii="Times New Roman" w:hAnsi="Times New Roman" w:eastAsia="仿宋_GB2312"/>
          <w:b w:val="0"/>
          <w:bCs w:val="0"/>
          <w:kern w:val="2"/>
        </w:rPr>
        <w:t>本项目在执行的过程中由于招投标工作，实际中标金额与预算金额不能完全一致，导致在预算执行率方面存在一定的偏差</w:t>
      </w:r>
      <w:r>
        <w:rPr>
          <w:rFonts w:ascii="Times New Roman" w:hAnsi="Times New Roman" w:eastAsia="仿宋_GB2312"/>
          <w:b w:val="0"/>
          <w:bCs w:val="0"/>
          <w:kern w:val="2"/>
        </w:rPr>
        <w:t>。</w:t>
      </w:r>
      <w:r>
        <w:rPr>
          <w:rFonts w:hint="eastAsia" w:ascii="Times New Roman" w:hAnsi="Times New Roman" w:eastAsia="仿宋_GB2312"/>
          <w:b w:val="0"/>
          <w:bCs w:val="0"/>
          <w:kern w:val="2"/>
        </w:rPr>
        <w:t>同时在满意度调查方面，由于预期设置为满意度90%以上，而项目完成后在满意度调查时，未收到不满意的反馈，因此满意度达到了100%。</w:t>
      </w:r>
    </w:p>
    <w:p>
      <w:pPr>
        <w:numPr>
          <w:ilvl w:val="255"/>
          <w:numId w:val="0"/>
        </w:numPr>
        <w:spacing w:line="60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pPr>
        <w:spacing w:line="600" w:lineRule="exact"/>
        <w:ind w:firstLine="640" w:firstLineChars="200"/>
        <w:rPr>
          <w:rFonts w:ascii="仿宋_GB2312" w:hAnsi="仿宋_GB2312" w:eastAsia="仿宋_GB2312" w:cs="仿宋_GB2312"/>
          <w:sz w:val="32"/>
          <w:szCs w:val="28"/>
        </w:rPr>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w:t>
      </w:r>
    </w:p>
    <w:p>
      <w:pPr>
        <w:spacing w:line="600" w:lineRule="exact"/>
        <w:ind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下年度严格执行招投标制度，尽可能选择资金最为接近的中标企业。满意度指标设置时尽量切合实际，确保绩效考核过程中偏差率减少。</w:t>
      </w:r>
    </w:p>
    <w:p>
      <w:pPr>
        <w:spacing w:line="60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1" w:name="page8"/>
      <w:bookmarkEnd w:id="1"/>
      <w:r>
        <w:rPr>
          <w:rFonts w:eastAsia="黑体"/>
          <w:sz w:val="32"/>
          <w:szCs w:val="32"/>
        </w:rPr>
        <w:t>明的问题</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pStyle w:val="2"/>
        <w:rPr>
          <w:rFonts w:ascii="仿宋_GB2312" w:hAnsi="仿宋_GB2312" w:eastAsia="仿宋_GB2312" w:cs="仿宋_GB2312"/>
        </w:rPr>
      </w:pPr>
    </w:p>
    <w:p>
      <w:pPr>
        <w:rPr>
          <w:rFonts w:ascii="仿宋_GB2312" w:hAnsi="仿宋_GB2312" w:eastAsia="仿宋_GB2312" w:cs="仿宋_GB2312"/>
          <w:sz w:val="32"/>
          <w:szCs w:val="32"/>
        </w:rPr>
      </w:pPr>
    </w:p>
    <w:p>
      <w:pPr>
        <w:pStyle w:val="2"/>
        <w:rPr>
          <w:rFonts w:ascii="仿宋_GB2312" w:hAnsi="仿宋_GB2312" w:eastAsia="仿宋_GB2312" w:cs="仿宋_GB2312"/>
        </w:rPr>
      </w:pPr>
    </w:p>
    <w:p>
      <w:pPr>
        <w:rPr>
          <w:rFonts w:ascii="仿宋_GB2312" w:hAnsi="仿宋_GB2312" w:eastAsia="仿宋_GB2312" w:cs="仿宋_GB2312"/>
          <w:sz w:val="32"/>
          <w:szCs w:val="32"/>
        </w:rPr>
      </w:pPr>
    </w:p>
    <w:p>
      <w:pPr>
        <w:pStyle w:val="2"/>
        <w:rPr>
          <w:rFonts w:ascii="仿宋_GB2312" w:hAnsi="仿宋_GB2312" w:eastAsia="仿宋_GB2312" w:cs="仿宋_GB2312"/>
        </w:rPr>
      </w:pPr>
    </w:p>
    <w:p>
      <w:pPr>
        <w:rPr>
          <w:rFonts w:ascii="仿宋_GB2312" w:hAnsi="仿宋_GB2312" w:eastAsia="仿宋_GB2312" w:cs="仿宋_GB2312"/>
          <w:sz w:val="32"/>
          <w:szCs w:val="32"/>
        </w:rPr>
        <w:sectPr>
          <w:footerReference r:id="rId4" w:type="default"/>
          <w:pgSz w:w="11906" w:h="16838"/>
          <w:pgMar w:top="1440" w:right="1558" w:bottom="1440" w:left="1800" w:header="851" w:footer="992" w:gutter="0"/>
          <w:pgNumType w:fmt="decimal" w:start="1"/>
          <w:cols w:space="425" w:num="1"/>
          <w:docGrid w:type="lines" w:linePitch="312" w:charSpace="0"/>
        </w:sectPr>
      </w:pPr>
    </w:p>
    <w:tbl>
      <w:tblPr>
        <w:tblStyle w:val="22"/>
        <w:tblW w:w="14025" w:type="dxa"/>
        <w:tblInd w:w="93" w:type="dxa"/>
        <w:tblLayout w:type="autofit"/>
        <w:tblCellMar>
          <w:top w:w="0" w:type="dxa"/>
          <w:left w:w="108" w:type="dxa"/>
          <w:bottom w:w="0" w:type="dxa"/>
          <w:right w:w="108" w:type="dxa"/>
        </w:tblCellMar>
      </w:tblPr>
      <w:tblGrid>
        <w:gridCol w:w="815"/>
        <w:gridCol w:w="683"/>
        <w:gridCol w:w="1066"/>
        <w:gridCol w:w="1776"/>
        <w:gridCol w:w="968"/>
        <w:gridCol w:w="1014"/>
        <w:gridCol w:w="645"/>
        <w:gridCol w:w="885"/>
        <w:gridCol w:w="902"/>
        <w:gridCol w:w="1147"/>
        <w:gridCol w:w="981"/>
        <w:gridCol w:w="1097"/>
        <w:gridCol w:w="1081"/>
        <w:gridCol w:w="965"/>
      </w:tblGrid>
      <w:tr>
        <w:tblPrEx>
          <w:tblCellMar>
            <w:top w:w="0" w:type="dxa"/>
            <w:left w:w="108" w:type="dxa"/>
            <w:bottom w:w="0" w:type="dxa"/>
            <w:right w:w="108" w:type="dxa"/>
          </w:tblCellMar>
        </w:tblPrEx>
        <w:trPr>
          <w:trHeight w:val="405" w:hRule="atLeast"/>
        </w:trPr>
        <w:tc>
          <w:tcPr>
            <w:tcW w:w="14038"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sz w:val="22"/>
                <w:szCs w:val="22"/>
              </w:rPr>
            </w:pPr>
            <w:r>
              <w:rPr>
                <w:rFonts w:hint="eastAsia" w:ascii="宋体" w:hAnsi="宋体" w:cs="宋体"/>
                <w:b/>
                <w:bCs/>
                <w:kern w:val="0"/>
                <w:sz w:val="22"/>
                <w:szCs w:val="22"/>
                <w:lang w:bidi="ar"/>
              </w:rPr>
              <w:t>项目支出绩效自评表</w:t>
            </w:r>
          </w:p>
        </w:tc>
      </w:tr>
      <w:tr>
        <w:tblPrEx>
          <w:tblCellMar>
            <w:top w:w="0" w:type="dxa"/>
            <w:left w:w="108" w:type="dxa"/>
            <w:bottom w:w="0" w:type="dxa"/>
            <w:right w:w="108" w:type="dxa"/>
          </w:tblCellMar>
        </w:tblPrEx>
        <w:trPr>
          <w:trHeight w:val="380" w:hRule="atLeast"/>
        </w:trPr>
        <w:tc>
          <w:tcPr>
            <w:tcW w:w="1403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(2023年度)</w:t>
            </w:r>
          </w:p>
        </w:tc>
      </w:tr>
      <w:tr>
        <w:tblPrEx>
          <w:tblCellMar>
            <w:top w:w="0" w:type="dxa"/>
            <w:left w:w="108" w:type="dxa"/>
            <w:bottom w:w="0" w:type="dxa"/>
            <w:right w:w="108" w:type="dxa"/>
          </w:tblCellMar>
        </w:tblPrEx>
        <w:trPr>
          <w:trHeight w:val="380" w:hRule="atLeast"/>
        </w:trPr>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项目名称</w:t>
            </w:r>
          </w:p>
        </w:tc>
        <w:tc>
          <w:tcPr>
            <w:tcW w:w="1248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新疆维吾尔自治区固体废物动态信息管理平台运维项目</w:t>
            </w:r>
          </w:p>
        </w:tc>
      </w:tr>
      <w:tr>
        <w:tblPrEx>
          <w:tblCellMar>
            <w:top w:w="0" w:type="dxa"/>
            <w:left w:w="108" w:type="dxa"/>
            <w:bottom w:w="0" w:type="dxa"/>
            <w:right w:w="108" w:type="dxa"/>
          </w:tblCellMar>
        </w:tblPrEx>
        <w:trPr>
          <w:trHeight w:val="380" w:hRule="atLeast"/>
        </w:trPr>
        <w:tc>
          <w:tcPr>
            <w:tcW w:w="15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主管部门</w:t>
            </w:r>
          </w:p>
        </w:tc>
        <w:tc>
          <w:tcPr>
            <w:tcW w:w="51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新疆维吾尔自治区生态环境厅</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实施单位</w:t>
            </w:r>
          </w:p>
        </w:tc>
        <w:tc>
          <w:tcPr>
            <w:tcW w:w="54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新疆维吾尔自治区固体废物管理中心</w:t>
            </w:r>
          </w:p>
        </w:tc>
      </w:tr>
      <w:tr>
        <w:tblPrEx>
          <w:tblCellMar>
            <w:top w:w="0" w:type="dxa"/>
            <w:left w:w="108" w:type="dxa"/>
            <w:bottom w:w="0" w:type="dxa"/>
            <w:right w:w="108" w:type="dxa"/>
          </w:tblCellMar>
        </w:tblPrEx>
        <w:trPr>
          <w:trHeight w:val="380" w:hRule="atLeast"/>
        </w:trPr>
        <w:tc>
          <w:tcPr>
            <w:tcW w:w="15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项目资金</w:t>
            </w:r>
            <w:r>
              <w:rPr>
                <w:rFonts w:hint="eastAsia" w:ascii="宋体" w:hAnsi="宋体" w:cs="宋体"/>
                <w:b/>
                <w:bCs/>
                <w:kern w:val="0"/>
                <w:sz w:val="13"/>
                <w:szCs w:val="13"/>
                <w:lang w:bidi="ar"/>
              </w:rPr>
              <w:br w:type="textWrapping"/>
            </w:r>
            <w:r>
              <w:rPr>
                <w:rFonts w:hint="eastAsia" w:ascii="宋体" w:hAnsi="宋体" w:cs="宋体"/>
                <w:b/>
                <w:bCs/>
                <w:kern w:val="0"/>
                <w:sz w:val="13"/>
                <w:szCs w:val="13"/>
                <w:lang w:bidi="ar"/>
              </w:rPr>
              <w:t>（万元）</w:t>
            </w: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年初预算数</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全年预算数</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全年执行数</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分值</w:t>
            </w: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执行率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得分</w:t>
            </w:r>
          </w:p>
        </w:tc>
      </w:tr>
      <w:tr>
        <w:tblPrEx>
          <w:tblCellMar>
            <w:top w:w="0" w:type="dxa"/>
            <w:left w:w="108" w:type="dxa"/>
            <w:bottom w:w="0" w:type="dxa"/>
            <w:right w:w="108" w:type="dxa"/>
          </w:tblCellMar>
        </w:tblPrEx>
        <w:trPr>
          <w:trHeight w:val="380" w:hRule="atLeast"/>
        </w:trPr>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44</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43.58</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43.58</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10分</w:t>
            </w:r>
          </w:p>
        </w:tc>
      </w:tr>
      <w:tr>
        <w:tblPrEx>
          <w:tblCellMar>
            <w:top w:w="0" w:type="dxa"/>
            <w:left w:w="108" w:type="dxa"/>
            <w:bottom w:w="0" w:type="dxa"/>
            <w:right w:w="108" w:type="dxa"/>
          </w:tblCellMar>
        </w:tblPrEx>
        <w:trPr>
          <w:trHeight w:val="380" w:hRule="atLeast"/>
        </w:trPr>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44</w:t>
            </w: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 xml:space="preserve">43.58 </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 xml:space="preserve">43.58 </w:t>
            </w: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p>
        </w:tc>
      </w:tr>
      <w:tr>
        <w:tblPrEx>
          <w:tblCellMar>
            <w:top w:w="0" w:type="dxa"/>
            <w:left w:w="108" w:type="dxa"/>
            <w:bottom w:w="0" w:type="dxa"/>
            <w:right w:w="108" w:type="dxa"/>
          </w:tblCellMar>
        </w:tblPrEx>
        <w:trPr>
          <w:trHeight w:val="380" w:hRule="atLeast"/>
        </w:trPr>
        <w:tc>
          <w:tcPr>
            <w:tcW w:w="15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2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22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2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p>
        </w:tc>
      </w:tr>
      <w:tr>
        <w:tblPrEx>
          <w:tblCellMar>
            <w:top w:w="0" w:type="dxa"/>
            <w:left w:w="108" w:type="dxa"/>
            <w:bottom w:w="0" w:type="dxa"/>
            <w:right w:w="108" w:type="dxa"/>
          </w:tblCellMar>
        </w:tblPrEx>
        <w:trPr>
          <w:trHeight w:val="380" w:hRule="atLeast"/>
        </w:trPr>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年度总体目标</w:t>
            </w:r>
          </w:p>
        </w:tc>
        <w:tc>
          <w:tcPr>
            <w:tcW w:w="58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预期目标</w:t>
            </w:r>
          </w:p>
        </w:tc>
        <w:tc>
          <w:tcPr>
            <w:tcW w:w="73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实际完成情况</w:t>
            </w:r>
          </w:p>
        </w:tc>
      </w:tr>
      <w:tr>
        <w:tblPrEx>
          <w:tblCellMar>
            <w:top w:w="0" w:type="dxa"/>
            <w:left w:w="108" w:type="dxa"/>
            <w:bottom w:w="0" w:type="dxa"/>
            <w:right w:w="108" w:type="dxa"/>
          </w:tblCellMar>
        </w:tblPrEx>
        <w:trPr>
          <w:trHeight w:val="130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58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完成自治区固体废物信息管理平台的运行维护，确保系统正常稳定运行，不断提高全区危险废物息化管理水平。主要指标包括完成自治区固体废物环境管理信息系统、自治区土壤环境重点监管企业（危险废物经营单位）环境管理视频监控系统2套平台维护，使系统故障率低于3%，控制经济成本在44万元以内。</w:t>
            </w:r>
          </w:p>
        </w:tc>
        <w:tc>
          <w:tcPr>
            <w:tcW w:w="73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完成自治区固体废物环境管理信息系统、自治区土壤环境重点监管企业（危险废物经营单位）环境管理视频监控系统2套平台维护，系统全年故障率低于3%，经济成本为43.58万元。</w:t>
            </w:r>
          </w:p>
        </w:tc>
      </w:tr>
      <w:tr>
        <w:tblPrEx>
          <w:tblCellMar>
            <w:top w:w="0" w:type="dxa"/>
            <w:left w:w="108" w:type="dxa"/>
            <w:bottom w:w="0" w:type="dxa"/>
            <w:right w:w="108" w:type="dxa"/>
          </w:tblCellMar>
        </w:tblPrEx>
        <w:trPr>
          <w:trHeight w:val="312" w:hRule="atLeast"/>
        </w:trPr>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一级指标</w:t>
            </w:r>
          </w:p>
        </w:tc>
        <w:tc>
          <w:tcPr>
            <w:tcW w:w="11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二级指标</w:t>
            </w:r>
          </w:p>
        </w:tc>
        <w:tc>
          <w:tcPr>
            <w:tcW w:w="13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三级指标</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权重</w:t>
            </w: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目标值</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业绩值</w:t>
            </w:r>
          </w:p>
        </w:tc>
        <w:tc>
          <w:tcPr>
            <w:tcW w:w="8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完成率</w:t>
            </w:r>
          </w:p>
        </w:tc>
        <w:tc>
          <w:tcPr>
            <w:tcW w:w="9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指标得分</w:t>
            </w:r>
          </w:p>
        </w:tc>
        <w:tc>
          <w:tcPr>
            <w:tcW w:w="11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指标值设定依据</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上年完成情况</w:t>
            </w: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赋分规则</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佐证资料</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偏差原因分析及改进措施</w:t>
            </w:r>
          </w:p>
        </w:tc>
      </w:tr>
      <w:tr>
        <w:tblPrEx>
          <w:tblCellMar>
            <w:top w:w="0" w:type="dxa"/>
            <w:left w:w="108" w:type="dxa"/>
            <w:bottom w:w="0" w:type="dxa"/>
            <w:right w:w="108" w:type="dxa"/>
          </w:tblCellMar>
        </w:tblPrEx>
        <w:trPr>
          <w:trHeight w:val="66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3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8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9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r>
      <w:tr>
        <w:tblPrEx>
          <w:tblCellMar>
            <w:top w:w="0" w:type="dxa"/>
            <w:left w:w="108" w:type="dxa"/>
            <w:bottom w:w="0" w:type="dxa"/>
            <w:right w:w="108" w:type="dxa"/>
          </w:tblCellMar>
        </w:tblPrEx>
        <w:trPr>
          <w:trHeight w:val="680" w:hRule="atLeast"/>
        </w:trPr>
        <w:tc>
          <w:tcPr>
            <w:tcW w:w="8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年度绩效指标完成情况</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产出指标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数量指标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维护固体废物信息化平台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≥2套</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2套</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按照完成比例赋分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数量指标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开发固体废物应用数量</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≥4个</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4个</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按照完成比例赋分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sz w:val="13"/>
                <w:szCs w:val="13"/>
              </w:rPr>
            </w:pPr>
            <w:r>
              <w:rPr>
                <w:rFonts w:hint="eastAsia" w:ascii="宋体" w:hAnsi="宋体" w:cs="宋体"/>
                <w:kern w:val="0"/>
                <w:sz w:val="13"/>
                <w:szCs w:val="13"/>
                <w:lang w:bidi="ar"/>
              </w:rPr>
              <w:t>系统故障率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≤3%</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3%</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运维报告</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时效指标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系统故障修复处理时间</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1</w:t>
            </w:r>
            <w:r>
              <w:rPr>
                <w:rFonts w:ascii="仿宋_GB2312" w:hAnsi="宋体" w:eastAsia="仿宋_GB2312" w:cs="仿宋_GB2312"/>
                <w:kern w:val="0"/>
                <w:sz w:val="13"/>
                <w:szCs w:val="13"/>
                <w:lang w:bidi="ar"/>
              </w:rPr>
              <w:t>天</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1天</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运维报告</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时效指标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系统运行维护响应时间</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6</w:t>
            </w:r>
            <w:r>
              <w:rPr>
                <w:rFonts w:ascii="仿宋_GB2312" w:hAnsi="宋体" w:eastAsia="仿宋_GB2312" w:cs="仿宋_GB2312"/>
                <w:kern w:val="0"/>
                <w:sz w:val="13"/>
                <w:szCs w:val="13"/>
                <w:lang w:bidi="ar"/>
              </w:rPr>
              <w:t>小时</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6小时</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5</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运维报告</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成本指标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经济成本指标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环境管理视频监控系统运维总成本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19</w:t>
            </w:r>
            <w:r>
              <w:rPr>
                <w:rFonts w:ascii="仿宋_GB2312" w:hAnsi="宋体" w:eastAsia="仿宋_GB2312" w:cs="仿宋_GB2312"/>
                <w:kern w:val="0"/>
                <w:sz w:val="13"/>
                <w:szCs w:val="13"/>
                <w:lang w:bidi="ar"/>
              </w:rPr>
              <w:t>万元</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18.8</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预算支出标准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按照评判等级赋分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经济成本指标</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仿宋_GB2312" w:hAnsi="宋体" w:eastAsia="仿宋_GB2312" w:cs="仿宋_GB2312"/>
                <w:sz w:val="13"/>
                <w:szCs w:val="13"/>
              </w:rPr>
            </w:pPr>
            <w:r>
              <w:rPr>
                <w:rFonts w:ascii="仿宋_GB2312" w:hAnsi="宋体" w:eastAsia="仿宋_GB2312" w:cs="仿宋_GB2312"/>
                <w:kern w:val="0"/>
                <w:sz w:val="13"/>
                <w:szCs w:val="13"/>
                <w:lang w:bidi="ar"/>
              </w:rPr>
              <w:t>固体废物环境管理信息系统运维总成本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w:t>
            </w:r>
            <w:r>
              <w:rPr>
                <w:kern w:val="0"/>
                <w:sz w:val="13"/>
                <w:szCs w:val="13"/>
                <w:lang w:bidi="ar"/>
              </w:rPr>
              <w:t>25</w:t>
            </w:r>
            <w:r>
              <w:rPr>
                <w:rFonts w:ascii="仿宋_GB2312" w:hAnsi="宋体" w:eastAsia="仿宋_GB2312" w:cs="仿宋_GB2312"/>
                <w:kern w:val="0"/>
                <w:sz w:val="13"/>
                <w:szCs w:val="13"/>
                <w:lang w:bidi="ar"/>
              </w:rPr>
              <w:t>万元</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24.78</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预算支出标准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99.05%</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按照评判等级赋分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合同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效益指标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sz w:val="13"/>
                <w:szCs w:val="13"/>
              </w:rPr>
            </w:pPr>
            <w:r>
              <w:rPr>
                <w:rFonts w:hint="eastAsia" w:ascii="宋体" w:hAnsi="宋体" w:cs="宋体"/>
                <w:kern w:val="0"/>
                <w:sz w:val="13"/>
                <w:szCs w:val="13"/>
                <w:lang w:bidi="ar"/>
              </w:rPr>
              <w:t>全区危险废物环境管理水平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提升</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提升</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20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直接赋分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680" w:hRule="atLeast"/>
        </w:trPr>
        <w:tc>
          <w:tcPr>
            <w:tcW w:w="8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sz w:val="13"/>
                <w:szCs w:val="13"/>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满意度指标</w:t>
            </w:r>
          </w:p>
        </w:tc>
        <w:tc>
          <w:tcPr>
            <w:tcW w:w="11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cs="宋体"/>
                <w:sz w:val="13"/>
                <w:szCs w:val="13"/>
              </w:rPr>
            </w:pPr>
            <w:r>
              <w:rPr>
                <w:rFonts w:hint="eastAsia" w:ascii="宋体" w:hAnsi="宋体" w:cs="宋体"/>
                <w:kern w:val="0"/>
                <w:sz w:val="13"/>
                <w:szCs w:val="13"/>
                <w:lang w:bidi="ar"/>
              </w:rPr>
              <w:t>使用人员满意度</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≥90％</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111.11%</w:t>
            </w: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历史标准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w:t>
            </w: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满意度赋分</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r>
      <w:tr>
        <w:tblPrEx>
          <w:tblCellMar>
            <w:top w:w="0" w:type="dxa"/>
            <w:left w:w="108" w:type="dxa"/>
            <w:bottom w:w="0" w:type="dxa"/>
            <w:right w:w="108" w:type="dxa"/>
          </w:tblCellMar>
        </w:tblPrEx>
        <w:trPr>
          <w:trHeight w:val="380" w:hRule="atLeast"/>
        </w:trPr>
        <w:tc>
          <w:tcPr>
            <w:tcW w:w="4023"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cs="宋体"/>
                <w:b/>
                <w:bCs/>
                <w:sz w:val="13"/>
                <w:szCs w:val="13"/>
              </w:rPr>
            </w:pPr>
            <w:r>
              <w:rPr>
                <w:rFonts w:hint="eastAsia" w:ascii="宋体" w:hAnsi="宋体" w:cs="宋体"/>
                <w:b/>
                <w:bCs/>
                <w:kern w:val="0"/>
                <w:sz w:val="13"/>
                <w:szCs w:val="13"/>
                <w:lang w:bidi="ar"/>
              </w:rPr>
              <w:t>总分</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1041" w:type="dxa"/>
            <w:tcBorders>
              <w:top w:val="single" w:color="000000" w:sz="4" w:space="0"/>
              <w:left w:val="nil"/>
              <w:bottom w:val="single" w:color="000000" w:sz="4" w:space="0"/>
              <w:right w:val="single" w:color="000000" w:sz="4" w:space="0"/>
            </w:tcBorders>
            <w:shd w:val="clear" w:color="auto" w:fill="auto"/>
            <w:vAlign w:val="center"/>
          </w:tcPr>
          <w:p>
            <w:pPr>
              <w:rPr>
                <w:rFonts w:ascii="宋体" w:hAnsi="宋体" w:cs="宋体"/>
                <w:b/>
                <w:bCs/>
                <w:sz w:val="13"/>
                <w:szCs w:val="13"/>
              </w:rPr>
            </w:pP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3"/>
                <w:szCs w:val="13"/>
              </w:rPr>
            </w:pPr>
          </w:p>
        </w:tc>
        <w:tc>
          <w:tcPr>
            <w:tcW w:w="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3"/>
                <w:szCs w:val="13"/>
              </w:rPr>
            </w:pPr>
            <w:r>
              <w:rPr>
                <w:rFonts w:hint="eastAsia" w:ascii="宋体" w:hAnsi="宋体" w:cs="宋体"/>
                <w:kern w:val="0"/>
                <w:sz w:val="13"/>
                <w:szCs w:val="13"/>
                <w:lang w:bidi="ar"/>
              </w:rPr>
              <w:t>100分</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3"/>
                <w:szCs w:val="13"/>
              </w:rPr>
            </w:pPr>
          </w:p>
        </w:tc>
      </w:tr>
    </w:tbl>
    <w:p>
      <w:pPr>
        <w:pStyle w:val="2"/>
        <w:sectPr>
          <w:pgSz w:w="16838" w:h="11906" w:orient="landscape"/>
          <w:pgMar w:top="1800" w:right="1440" w:bottom="1558" w:left="1440" w:header="851" w:footer="992" w:gutter="0"/>
          <w:pgNumType w:fmt="decimal"/>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pStyle w:val="55"/>
        <w:ind w:firstLine="562"/>
        <w:jc w:val="center"/>
        <w:rPr>
          <w:sz w:val="28"/>
          <w:szCs w:val="40"/>
        </w:rPr>
      </w:pPr>
      <w:r>
        <w:rPr>
          <w:rFonts w:hint="eastAsia"/>
          <w:b/>
          <w:bCs/>
          <w:sz w:val="28"/>
          <w:szCs w:val="40"/>
        </w:rPr>
        <w:t>新疆维吾尔自治区固体废物动态信息管理平台运维项目绩效评价指标体系及综合评分表</w:t>
      </w:r>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9"/>
        <w:gridCol w:w="764"/>
        <w:gridCol w:w="873"/>
        <w:gridCol w:w="2353"/>
        <w:gridCol w:w="5201"/>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301" w:type="pct"/>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2049" w:type="pct"/>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项目立项是否符合国家法律法规、国民经济发展规划和相关政策；</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项目立项是否符合行业发展规划和政策要求；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项目立项是否与部门职责范围相符，属于部门履职所需；</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项目是否属于公共财政支持范围，是否符合中央、地方事权支出责任划分原则；</w:t>
            </w:r>
          </w:p>
          <w:p>
            <w:pPr>
              <w:widowControl/>
              <w:spacing w:line="0" w:lineRule="atLeast"/>
              <w:jc w:val="left"/>
              <w:rPr>
                <w:kern w:val="0"/>
                <w:sz w:val="22"/>
                <w:szCs w:val="22"/>
              </w:rPr>
            </w:pPr>
            <w:r>
              <w:rPr>
                <w:rFonts w:hint="eastAsia" w:ascii="宋体" w:hAnsi="宋体" w:cs="宋体"/>
                <w:kern w:val="0"/>
                <w:sz w:val="22"/>
                <w:szCs w:val="22"/>
              </w:rPr>
              <w:t>⑤</w:t>
            </w:r>
            <w:r>
              <w:rPr>
                <w:kern w:val="0"/>
                <w:sz w:val="22"/>
                <w:szCs w:val="22"/>
              </w:rPr>
              <w:t>项目是否与相关部门同类项目或部门内部相关项目重复。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项目是否按照规定的程序申请设立；</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审批文件、材料是否符合相关要求；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kern w:val="0"/>
                <w:sz w:val="22"/>
                <w:szCs w:val="22"/>
              </w:rPr>
              <w:t>（如未设定预算绩效目标，也可考核其他工作任务目标）</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项目是否有绩效目标；</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项目绩效目标与实际工作内容是否具有相关性；</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项目预期产出效益和效果是否符合正常的业绩水平；</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是否与预算确定的项目投资额或资金量相匹配。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是否将项目绩效目标细化分解为具体的绩效指标；</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是否通过清晰、可衡量的指标值予以体现；</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是否与项目目标任务数或计划数相对应。</w:t>
            </w:r>
          </w:p>
          <w:p>
            <w:pPr>
              <w:pStyle w:val="2"/>
            </w:pP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预算编制是否经过科学论证；</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预算内容与项目内容是否匹配；</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预算额度测算依据是否充分，是否按照标准编制；</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预算确定的项目投资额或资金量是否与工作任务相匹配。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预算资金分配依据是否充分；</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资金分配额度是否合理，与项目单位或地方实际是否相适应。</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9" w:type="pct"/>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2049" w:type="pct"/>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p>
          <w:p>
            <w:pPr>
              <w:widowControl/>
              <w:spacing w:line="0" w:lineRule="atLeast"/>
              <w:rPr>
                <w:kern w:val="0"/>
                <w:sz w:val="22"/>
                <w:szCs w:val="22"/>
              </w:rPr>
            </w:pPr>
            <w:r>
              <w:rPr>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rFonts w:hint="eastAsia"/>
                <w:b/>
                <w:bCs/>
                <w:kern w:val="0"/>
                <w:sz w:val="22"/>
                <w:szCs w:val="22"/>
              </w:rPr>
              <w:t>3.96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927" w:type="pct"/>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是否符合国家财经法规和财务管理制度以及有关专项资金管理办法的规定；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资金的拨付是否有完整的审批程序和手续；</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是否符合项目预算批复或合同规定的用途；</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是否存在截留、挤占、挪用、虚列支出等情况。</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是否已制定或具有相应的财务和业务管理制度；</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财务和业务管理制度是否合法、合规、完整。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是否遵守相关法律法规和相关管理规定；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项目调整及支出调整手续是否完备；</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项目合同书、验收报告、技术鉴定等资料是否齐全并及时归档；</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项目实施的人员条件、场地设备、信息支撑等是否落实到位。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实际完成率=（实际产出数/计划产出数）×100%。</w:t>
            </w:r>
          </w:p>
          <w:p>
            <w:pPr>
              <w:widowControl/>
              <w:spacing w:line="0" w:lineRule="atLeast"/>
              <w:rPr>
                <w:kern w:val="0"/>
                <w:sz w:val="22"/>
                <w:szCs w:val="22"/>
              </w:rPr>
            </w:pPr>
            <w:r>
              <w:rPr>
                <w:kern w:val="0"/>
                <w:sz w:val="22"/>
                <w:szCs w:val="22"/>
              </w:rPr>
              <w:t>实际产出数：一定时期（本年度或项目期）内项目实际产出的产品或提供的服务数量。</w:t>
            </w:r>
          </w:p>
          <w:p>
            <w:pPr>
              <w:widowControl/>
              <w:spacing w:line="0" w:lineRule="atLeast"/>
              <w:rPr>
                <w:kern w:val="0"/>
                <w:sz w:val="22"/>
                <w:szCs w:val="22"/>
              </w:rPr>
            </w:pP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spacing w:line="0" w:lineRule="atLeast"/>
              <w:jc w:val="center"/>
              <w:rPr>
                <w:kern w:val="0"/>
                <w:sz w:val="22"/>
                <w:szCs w:val="22"/>
              </w:rPr>
            </w:pPr>
            <w:r>
              <w:rPr>
                <w:kern w:val="0"/>
                <w:sz w:val="22"/>
                <w:szCs w:val="22"/>
              </w:rPr>
              <w:t>产出时效</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p>
          <w:p>
            <w:pPr>
              <w:widowControl/>
              <w:spacing w:line="0" w:lineRule="atLeast"/>
              <w:rPr>
                <w:kern w:val="0"/>
                <w:sz w:val="22"/>
                <w:szCs w:val="22"/>
              </w:rPr>
            </w:pPr>
            <w:r>
              <w:rPr>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pPr>
              <w:widowControl/>
              <w:spacing w:line="0" w:lineRule="atLeast"/>
              <w:rPr>
                <w:kern w:val="0"/>
                <w:sz w:val="22"/>
                <w:szCs w:val="22"/>
              </w:rPr>
            </w:pPr>
          </w:p>
          <w:p>
            <w:pPr>
              <w:widowControl/>
              <w:spacing w:line="0" w:lineRule="atLeast"/>
              <w:rPr>
                <w:kern w:val="0"/>
                <w:sz w:val="22"/>
                <w:szCs w:val="22"/>
              </w:rPr>
            </w:pPr>
            <w:r>
              <w:rPr>
                <w:kern w:val="0"/>
                <w:sz w:val="22"/>
                <w:szCs w:val="22"/>
              </w:rPr>
              <w:t>成本节约率=[（计划成本-实际成本）/计划成本]×100%。</w:t>
            </w:r>
          </w:p>
          <w:p>
            <w:pPr>
              <w:widowControl/>
              <w:spacing w:line="0" w:lineRule="atLeast"/>
              <w:rPr>
                <w:kern w:val="0"/>
                <w:sz w:val="22"/>
                <w:szCs w:val="22"/>
              </w:rPr>
            </w:pPr>
            <w:r>
              <w:rPr>
                <w:kern w:val="0"/>
                <w:sz w:val="22"/>
                <w:szCs w:val="22"/>
              </w:rPr>
              <w:t>实际成本：项目实施单位如期、保质、保量完成既定工作目标实际所耗费的支出。</w:t>
            </w:r>
          </w:p>
          <w:p>
            <w:pPr>
              <w:widowControl/>
              <w:spacing w:line="0" w:lineRule="atLeast"/>
              <w:rPr>
                <w:kern w:val="0"/>
                <w:sz w:val="22"/>
                <w:szCs w:val="22"/>
              </w:rPr>
            </w:pPr>
            <w:r>
              <w:rPr>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2049" w:type="pct"/>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2049" w:type="pct"/>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bl>
    <w:p>
      <w:pPr>
        <w:sectPr>
          <w:pgSz w:w="16838" w:h="11906" w:orient="landscape"/>
          <w:pgMar w:top="1800" w:right="1440" w:bottom="1558" w:left="1440" w:header="851" w:footer="992" w:gutter="0"/>
          <w:pgNumType w:fmt="decimal"/>
          <w:cols w:space="425" w:num="1"/>
          <w:docGrid w:type="lines" w:linePitch="312" w:charSpace="0"/>
        </w:sectPr>
      </w:pPr>
    </w:p>
    <w:p>
      <w:pPr>
        <w:spacing w:line="600" w:lineRule="exact"/>
        <w:rPr>
          <w:rFonts w:ascii="黑体" w:hAnsi="黑体" w:eastAsia="黑体" w:cs="黑体"/>
          <w:bCs/>
          <w:sz w:val="32"/>
          <w:szCs w:val="32"/>
        </w:rPr>
      </w:pPr>
      <w:bookmarkStart w:id="4" w:name="_GoBack"/>
      <w:bookmarkEnd w:id="4"/>
    </w:p>
    <w:p>
      <w:pPr>
        <w:spacing w:line="600" w:lineRule="exact"/>
        <w:rPr>
          <w:rFonts w:ascii="黑体" w:hAnsi="黑体" w:eastAsia="黑体" w:cs="黑体"/>
        </w:rPr>
      </w:pPr>
      <w:r>
        <w:rPr>
          <w:rFonts w:hint="eastAsia" w:ascii="黑体" w:hAnsi="黑体" w:eastAsia="黑体" w:cs="黑体"/>
          <w:bCs/>
          <w:sz w:val="32"/>
          <w:szCs w:val="32"/>
        </w:rPr>
        <w:t>附件1</w:t>
      </w:r>
    </w:p>
    <w:p>
      <w:pPr>
        <w:pStyle w:val="55"/>
        <w:ind w:firstLine="562"/>
        <w:jc w:val="center"/>
        <w:rPr>
          <w:sz w:val="28"/>
          <w:szCs w:val="40"/>
        </w:rPr>
      </w:pPr>
      <w:bookmarkStart w:id="2" w:name="_Toc30064_WPSOffice_Level1"/>
      <w:bookmarkStart w:id="3" w:name="_Toc26499_WPSOffice_Level2"/>
      <w:r>
        <w:rPr>
          <w:rFonts w:hint="eastAsia"/>
          <w:b/>
          <w:bCs/>
          <w:sz w:val="28"/>
          <w:szCs w:val="40"/>
        </w:rPr>
        <w:t>新疆维吾尔自治区固体废物动态信息管理平台运维项目绩效评价指标体系及综合评分表</w:t>
      </w:r>
      <w:bookmarkEnd w:id="2"/>
      <w:bookmarkEnd w:id="3"/>
    </w:p>
    <w:tbl>
      <w:tblPr>
        <w:tblStyle w:val="2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14"/>
        <w:gridCol w:w="842"/>
        <w:gridCol w:w="962"/>
        <w:gridCol w:w="2592"/>
        <w:gridCol w:w="5729"/>
        <w:gridCol w:w="1431"/>
        <w:gridCol w:w="15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301" w:type="pct"/>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2049" w:type="pct"/>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项目立项是否符合国家法律法规、国民经济发展规划和相关政策；</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项目立项是否符合行业发展规划和政策要求；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项目立项是否与部门职责范围相符，属于部门履职所需；</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项目是否属于公共财政支持范围，是否符合中央、地方事权支出责任划分原则；</w:t>
            </w:r>
          </w:p>
          <w:p>
            <w:pPr>
              <w:widowControl/>
              <w:spacing w:line="0" w:lineRule="atLeast"/>
              <w:jc w:val="left"/>
              <w:rPr>
                <w:kern w:val="0"/>
                <w:sz w:val="22"/>
                <w:szCs w:val="22"/>
              </w:rPr>
            </w:pPr>
            <w:r>
              <w:rPr>
                <w:rFonts w:hint="eastAsia" w:ascii="宋体" w:hAnsi="宋体" w:cs="宋体"/>
                <w:kern w:val="0"/>
                <w:sz w:val="22"/>
                <w:szCs w:val="22"/>
              </w:rPr>
              <w:t>⑤</w:t>
            </w:r>
            <w:r>
              <w:rPr>
                <w:kern w:val="0"/>
                <w:sz w:val="22"/>
                <w:szCs w:val="22"/>
              </w:rPr>
              <w:t>项目是否与相关部门同类项目或部门内部相关项目重复。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9" w:type="pct"/>
            <w:shd w:val="clear" w:color="auto"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项目是否按照规定的程序申请设立；</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审批文件、材料是否符合相关要求；</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pPr>
              <w:widowControl/>
              <w:spacing w:line="0" w:lineRule="atLeast"/>
              <w:jc w:val="left"/>
              <w:rPr>
                <w:kern w:val="0"/>
                <w:sz w:val="22"/>
                <w:szCs w:val="22"/>
              </w:rPr>
            </w:pPr>
            <w:r>
              <w:rPr>
                <w:kern w:val="0"/>
                <w:sz w:val="22"/>
                <w:szCs w:val="22"/>
              </w:rPr>
              <w:t>评价要点：</w:t>
            </w:r>
          </w:p>
          <w:p>
            <w:pPr>
              <w:widowControl/>
              <w:spacing w:line="0" w:lineRule="atLeast"/>
              <w:jc w:val="left"/>
              <w:rPr>
                <w:kern w:val="0"/>
                <w:sz w:val="22"/>
                <w:szCs w:val="22"/>
              </w:rPr>
            </w:pPr>
            <w:r>
              <w:rPr>
                <w:kern w:val="0"/>
                <w:sz w:val="22"/>
                <w:szCs w:val="22"/>
              </w:rPr>
              <w:t>（如未设定预算绩效目标，也可考核其他工作任务目标）</w:t>
            </w:r>
          </w:p>
          <w:p>
            <w:pPr>
              <w:widowControl/>
              <w:spacing w:line="0" w:lineRule="atLeast"/>
              <w:jc w:val="left"/>
              <w:rPr>
                <w:kern w:val="0"/>
                <w:sz w:val="22"/>
                <w:szCs w:val="22"/>
              </w:rPr>
            </w:pPr>
            <w:r>
              <w:rPr>
                <w:rFonts w:hint="eastAsia" w:ascii="宋体" w:hAnsi="宋体" w:cs="宋体"/>
                <w:kern w:val="0"/>
                <w:sz w:val="22"/>
                <w:szCs w:val="22"/>
              </w:rPr>
              <w:t>①</w:t>
            </w:r>
            <w:r>
              <w:rPr>
                <w:kern w:val="0"/>
                <w:sz w:val="22"/>
                <w:szCs w:val="22"/>
              </w:rPr>
              <w:t>项目是否有绩效目标；</w:t>
            </w:r>
          </w:p>
          <w:p>
            <w:pPr>
              <w:widowControl/>
              <w:spacing w:line="0" w:lineRule="atLeast"/>
              <w:jc w:val="left"/>
              <w:rPr>
                <w:kern w:val="0"/>
                <w:sz w:val="22"/>
                <w:szCs w:val="22"/>
              </w:rPr>
            </w:pPr>
            <w:r>
              <w:rPr>
                <w:rFonts w:hint="eastAsia" w:ascii="宋体" w:hAnsi="宋体" w:cs="宋体"/>
                <w:kern w:val="0"/>
                <w:sz w:val="22"/>
                <w:szCs w:val="22"/>
              </w:rPr>
              <w:t>②</w:t>
            </w:r>
            <w:r>
              <w:rPr>
                <w:kern w:val="0"/>
                <w:sz w:val="22"/>
                <w:szCs w:val="22"/>
              </w:rPr>
              <w:t>项目绩效目标与实际工作内容是否具有相关性；</w:t>
            </w:r>
          </w:p>
          <w:p>
            <w:pPr>
              <w:widowControl/>
              <w:spacing w:line="0" w:lineRule="atLeast"/>
              <w:jc w:val="left"/>
              <w:rPr>
                <w:kern w:val="0"/>
                <w:sz w:val="22"/>
                <w:szCs w:val="22"/>
              </w:rPr>
            </w:pPr>
            <w:r>
              <w:rPr>
                <w:rFonts w:hint="eastAsia" w:ascii="宋体" w:hAnsi="宋体" w:cs="宋体"/>
                <w:kern w:val="0"/>
                <w:sz w:val="22"/>
                <w:szCs w:val="22"/>
              </w:rPr>
              <w:t>③</w:t>
            </w:r>
            <w:r>
              <w:rPr>
                <w:kern w:val="0"/>
                <w:sz w:val="22"/>
                <w:szCs w:val="22"/>
              </w:rPr>
              <w:t>项目预期产出效益和效果是否符合正常的业绩水平；</w:t>
            </w:r>
          </w:p>
          <w:p>
            <w:pPr>
              <w:widowControl/>
              <w:spacing w:line="0" w:lineRule="atLeast"/>
              <w:jc w:val="left"/>
              <w:rPr>
                <w:kern w:val="0"/>
                <w:sz w:val="22"/>
                <w:szCs w:val="22"/>
              </w:rPr>
            </w:pPr>
            <w:r>
              <w:rPr>
                <w:rFonts w:hint="eastAsia" w:ascii="宋体" w:hAnsi="宋体" w:cs="宋体"/>
                <w:kern w:val="0"/>
                <w:sz w:val="22"/>
                <w:szCs w:val="22"/>
              </w:rPr>
              <w:t>④</w:t>
            </w:r>
            <w:r>
              <w:rPr>
                <w:kern w:val="0"/>
                <w:sz w:val="22"/>
                <w:szCs w:val="22"/>
              </w:rPr>
              <w:t>是否与预算确定的项目投资额或资金量相匹配。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是否将项目绩效目标细化分解为具体的绩效指标；</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是否通过清晰、可衡量的指标值予以体现；</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是否与项目目标任务数或计划数相对应。</w:t>
            </w:r>
          </w:p>
          <w:p>
            <w:pPr>
              <w:pStyle w:val="2"/>
            </w:pP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预算编制是否经过科学论证；</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预算内容与项目内容是否匹配；</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预算额度测算依据是否充分，是否按照标准编制；</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预算确定的项目投资额或资金量是否与工作任务相匹配。</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预算资金分配依据是否充分；</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资金分配额度是否合理，与项目单位或地方实际是否相适应。</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9" w:type="pct"/>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continue"/>
            <w:shd w:val="clear" w:color="auto" w:fill="FFFFFF"/>
            <w:vAlign w:val="center"/>
          </w:tcPr>
          <w:p>
            <w:pPr>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2049" w:type="pct"/>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p>
          <w:p>
            <w:pPr>
              <w:widowControl/>
              <w:spacing w:line="0" w:lineRule="atLeast"/>
              <w:rPr>
                <w:kern w:val="0"/>
                <w:sz w:val="22"/>
                <w:szCs w:val="22"/>
              </w:rPr>
            </w:pPr>
            <w:r>
              <w:rPr>
                <w:kern w:val="0"/>
                <w:sz w:val="22"/>
                <w:szCs w:val="22"/>
              </w:rPr>
              <w:t>实际支出资金：一定时期（本年度或项目期）内项目实际拨付的资金。</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pPr>
              <w:widowControl/>
              <w:spacing w:line="0" w:lineRule="atLeast"/>
              <w:jc w:val="center"/>
              <w:rPr>
                <w:b/>
                <w:bCs/>
                <w:kern w:val="0"/>
                <w:sz w:val="22"/>
                <w:szCs w:val="22"/>
              </w:rPr>
            </w:pPr>
            <w:r>
              <w:rPr>
                <w:rFonts w:hint="eastAsia"/>
                <w:b/>
                <w:bCs/>
                <w:kern w:val="0"/>
                <w:sz w:val="22"/>
                <w:szCs w:val="22"/>
              </w:rPr>
              <w:t>3.96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927" w:type="pct"/>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是否符合国家财经法规和财务管理制度以及有关专项资金管理办法的规定；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资金的拨付是否有完整的审批程序和手续；</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是否符合项目预算批复或合同规定的用途；</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是否存在截留、挤占、挪用、虚列支出等情况。</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344" w:type="pct"/>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是否已制定或具有相应的财务和业务管理制度；</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财务和业务管理制度是否合法、合规、完整。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9" w:type="pct"/>
            <w:shd w:val="clear" w:color="000000" w:fill="FFFFFF"/>
            <w:vAlign w:val="center"/>
          </w:tcPr>
          <w:p>
            <w:pPr>
              <w:widowControl/>
              <w:spacing w:line="0" w:lineRule="atLeast"/>
              <w:rPr>
                <w:kern w:val="0"/>
                <w:sz w:val="22"/>
                <w:szCs w:val="22"/>
              </w:rPr>
            </w:pPr>
            <w:r>
              <w:rPr>
                <w:kern w:val="0"/>
                <w:sz w:val="22"/>
                <w:szCs w:val="22"/>
              </w:rPr>
              <w:t>评价要点：</w:t>
            </w:r>
          </w:p>
          <w:p>
            <w:pPr>
              <w:widowControl/>
              <w:spacing w:line="0" w:lineRule="atLeast"/>
              <w:rPr>
                <w:kern w:val="0"/>
                <w:sz w:val="22"/>
                <w:szCs w:val="22"/>
              </w:rPr>
            </w:pPr>
            <w:r>
              <w:rPr>
                <w:rFonts w:hint="eastAsia" w:ascii="宋体" w:hAnsi="宋体" w:cs="宋体"/>
                <w:kern w:val="0"/>
                <w:sz w:val="22"/>
                <w:szCs w:val="22"/>
              </w:rPr>
              <w:t>①</w:t>
            </w:r>
            <w:r>
              <w:rPr>
                <w:kern w:val="0"/>
                <w:sz w:val="22"/>
                <w:szCs w:val="22"/>
              </w:rPr>
              <w:t>是否遵守相关法律法规和相关管理规定；</w:t>
            </w:r>
          </w:p>
          <w:p>
            <w:pPr>
              <w:widowControl/>
              <w:spacing w:line="0" w:lineRule="atLeast"/>
              <w:rPr>
                <w:kern w:val="0"/>
                <w:sz w:val="22"/>
                <w:szCs w:val="22"/>
              </w:rPr>
            </w:pPr>
            <w:r>
              <w:rPr>
                <w:rFonts w:hint="eastAsia" w:ascii="宋体" w:hAnsi="宋体" w:cs="宋体"/>
                <w:kern w:val="0"/>
                <w:sz w:val="22"/>
                <w:szCs w:val="22"/>
              </w:rPr>
              <w:t>②</w:t>
            </w:r>
            <w:r>
              <w:rPr>
                <w:kern w:val="0"/>
                <w:sz w:val="22"/>
                <w:szCs w:val="22"/>
              </w:rPr>
              <w:t>项目调整及支出调整手续是否完备；</w:t>
            </w:r>
          </w:p>
          <w:p>
            <w:pPr>
              <w:widowControl/>
              <w:spacing w:line="0" w:lineRule="atLeast"/>
              <w:rPr>
                <w:kern w:val="0"/>
                <w:sz w:val="22"/>
                <w:szCs w:val="22"/>
              </w:rPr>
            </w:pPr>
            <w:r>
              <w:rPr>
                <w:rFonts w:hint="eastAsia" w:ascii="宋体" w:hAnsi="宋体" w:cs="宋体"/>
                <w:kern w:val="0"/>
                <w:sz w:val="22"/>
                <w:szCs w:val="22"/>
              </w:rPr>
              <w:t>③</w:t>
            </w:r>
            <w:r>
              <w:rPr>
                <w:kern w:val="0"/>
                <w:sz w:val="22"/>
                <w:szCs w:val="22"/>
              </w:rPr>
              <w:t>项目合同书、验收报告、技术鉴定等资料是否齐全并及时归档；</w:t>
            </w:r>
          </w:p>
          <w:p>
            <w:pPr>
              <w:widowControl/>
              <w:spacing w:line="0" w:lineRule="atLeast"/>
              <w:rPr>
                <w:kern w:val="0"/>
                <w:sz w:val="22"/>
                <w:szCs w:val="22"/>
              </w:rPr>
            </w:pPr>
            <w:r>
              <w:rPr>
                <w:rFonts w:hint="eastAsia" w:ascii="宋体" w:hAnsi="宋体" w:cs="宋体"/>
                <w:kern w:val="0"/>
                <w:sz w:val="22"/>
                <w:szCs w:val="22"/>
              </w:rPr>
              <w:t>④</w:t>
            </w:r>
            <w:r>
              <w:rPr>
                <w:kern w:val="0"/>
                <w:sz w:val="22"/>
                <w:szCs w:val="22"/>
              </w:rPr>
              <w:t>项目实施的人员条件、场地设备、信息支撑等是否落实到位。</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实际完成率=（实际产出数/计划产出数）×100%。</w:t>
            </w:r>
          </w:p>
          <w:p>
            <w:pPr>
              <w:widowControl/>
              <w:spacing w:line="0" w:lineRule="atLeast"/>
              <w:rPr>
                <w:kern w:val="0"/>
                <w:sz w:val="22"/>
                <w:szCs w:val="22"/>
              </w:rPr>
            </w:pPr>
            <w:r>
              <w:rPr>
                <w:kern w:val="0"/>
                <w:sz w:val="22"/>
                <w:szCs w:val="22"/>
              </w:rPr>
              <w:t>实际产出数：一定时期（本年度或项目期）内项目实际产出的产品或提供的服务数量。</w:t>
            </w:r>
          </w:p>
          <w:p>
            <w:pPr>
              <w:widowControl/>
              <w:spacing w:line="0" w:lineRule="atLeast"/>
              <w:rPr>
                <w:kern w:val="0"/>
                <w:sz w:val="22"/>
                <w:szCs w:val="22"/>
              </w:rPr>
            </w:pP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pPr>
              <w:spacing w:line="0" w:lineRule="atLeast"/>
              <w:jc w:val="center"/>
              <w:rPr>
                <w:kern w:val="0"/>
                <w:sz w:val="22"/>
                <w:szCs w:val="22"/>
              </w:rPr>
            </w:pPr>
          </w:p>
        </w:tc>
        <w:tc>
          <w:tcPr>
            <w:tcW w:w="301" w:type="pct"/>
            <w:shd w:val="clear" w:color="auto" w:fill="FFFFFF"/>
            <w:vAlign w:val="center"/>
          </w:tcPr>
          <w:p>
            <w:pPr>
              <w:spacing w:line="0" w:lineRule="atLeast"/>
              <w:jc w:val="center"/>
              <w:rPr>
                <w:kern w:val="0"/>
                <w:sz w:val="22"/>
                <w:szCs w:val="22"/>
              </w:rPr>
            </w:pPr>
            <w:r>
              <w:rPr>
                <w:kern w:val="0"/>
                <w:sz w:val="22"/>
                <w:szCs w:val="22"/>
              </w:rPr>
              <w:t>产出时效</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9" w:type="pct"/>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p>
          <w:p>
            <w:pPr>
              <w:widowControl/>
              <w:spacing w:line="0" w:lineRule="atLeast"/>
              <w:rPr>
                <w:kern w:val="0"/>
                <w:sz w:val="22"/>
                <w:szCs w:val="22"/>
              </w:rPr>
            </w:pPr>
            <w:r>
              <w:rPr>
                <w:kern w:val="0"/>
                <w:sz w:val="22"/>
                <w:szCs w:val="22"/>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shd w:val="clear" w:color="auto" w:fill="FFFFFF"/>
            <w:vAlign w:val="center"/>
          </w:tcPr>
          <w:p>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pPr>
              <w:widowControl/>
              <w:spacing w:line="0" w:lineRule="atLeast"/>
              <w:rPr>
                <w:kern w:val="0"/>
                <w:sz w:val="22"/>
                <w:szCs w:val="22"/>
              </w:rPr>
            </w:pPr>
          </w:p>
          <w:p>
            <w:pPr>
              <w:widowControl/>
              <w:spacing w:line="0" w:lineRule="atLeast"/>
              <w:rPr>
                <w:kern w:val="0"/>
                <w:sz w:val="22"/>
                <w:szCs w:val="22"/>
              </w:rPr>
            </w:pPr>
            <w:r>
              <w:rPr>
                <w:kern w:val="0"/>
                <w:sz w:val="22"/>
                <w:szCs w:val="22"/>
              </w:rPr>
              <w:t>成本节约率=[（计划成本-实际成本）/计划成本]×100%。</w:t>
            </w:r>
          </w:p>
          <w:p>
            <w:pPr>
              <w:widowControl/>
              <w:spacing w:line="0" w:lineRule="atLeast"/>
              <w:rPr>
                <w:kern w:val="0"/>
                <w:sz w:val="22"/>
                <w:szCs w:val="22"/>
              </w:rPr>
            </w:pPr>
            <w:r>
              <w:rPr>
                <w:kern w:val="0"/>
                <w:sz w:val="22"/>
                <w:szCs w:val="22"/>
              </w:rPr>
              <w:t>实际成本：项目实施单位如期、保质、保量完成既定工作目标实际所耗费的支出。</w:t>
            </w:r>
          </w:p>
          <w:p>
            <w:pPr>
              <w:widowControl/>
              <w:spacing w:line="0" w:lineRule="atLeast"/>
              <w:rPr>
                <w:kern w:val="0"/>
                <w:sz w:val="22"/>
                <w:szCs w:val="22"/>
              </w:rPr>
            </w:pPr>
            <w:r>
              <w:rPr>
                <w:kern w:val="0"/>
                <w:sz w:val="22"/>
                <w:szCs w:val="22"/>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301" w:type="pct"/>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2049" w:type="pct"/>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pPr>
              <w:widowControl/>
              <w:spacing w:line="0" w:lineRule="atLeast"/>
              <w:jc w:val="center"/>
              <w:rPr>
                <w:kern w:val="0"/>
                <w:sz w:val="22"/>
                <w:szCs w:val="22"/>
              </w:rPr>
            </w:pPr>
          </w:p>
        </w:tc>
        <w:tc>
          <w:tcPr>
            <w:tcW w:w="301" w:type="pct"/>
            <w:vMerge w:val="continue"/>
            <w:shd w:val="clear" w:color="auto" w:fill="FFFFFF"/>
            <w:vAlign w:val="center"/>
          </w:tcPr>
          <w:p>
            <w:pPr>
              <w:widowControl/>
              <w:spacing w:line="0" w:lineRule="atLeast"/>
              <w:jc w:val="center"/>
              <w:rPr>
                <w:kern w:val="0"/>
                <w:sz w:val="22"/>
                <w:szCs w:val="22"/>
              </w:rPr>
            </w:pPr>
          </w:p>
        </w:tc>
        <w:tc>
          <w:tcPr>
            <w:tcW w:w="344" w:type="pct"/>
            <w:shd w:val="clear" w:color="auto" w:fill="FFFFFF"/>
            <w:vAlign w:val="center"/>
          </w:tcPr>
          <w:p>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2049" w:type="pct"/>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pPr>
              <w:widowControl/>
              <w:spacing w:line="0" w:lineRule="atLeast"/>
              <w:jc w:val="center"/>
              <w:rPr>
                <w:b/>
                <w:bCs/>
                <w:kern w:val="0"/>
                <w:sz w:val="22"/>
                <w:szCs w:val="22"/>
              </w:rPr>
            </w:pPr>
            <w:r>
              <w:rPr>
                <w:b/>
                <w:bCs/>
                <w:kern w:val="0"/>
                <w:sz w:val="22"/>
                <w:szCs w:val="22"/>
              </w:rPr>
              <w:t>10</w:t>
            </w:r>
          </w:p>
        </w:tc>
      </w:tr>
    </w:tbl>
    <w:p/>
    <w:p/>
    <w:p/>
    <w:sectPr>
      <w:pgSz w:w="16838" w:h="11906" w:orient="landscape"/>
      <w:pgMar w:top="720" w:right="720" w:bottom="720" w:left="72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微软简标宋">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sdt>
      <w:sdtPr>
        <w:id w:val="422003363"/>
      </w:sdtPr>
      <w:sdtContent/>
    </w:sdt>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A7A2BEE"/>
    <w:multiLevelType w:val="singleLevel"/>
    <w:tmpl w:val="2A7A2BEE"/>
    <w:lvl w:ilvl="0" w:tentative="0">
      <w:start w:val="1"/>
      <w:numFmt w:val="lowerLetter"/>
      <w:lvlText w:val="%1."/>
      <w:lvlJc w:val="left"/>
      <w:pPr>
        <w:tabs>
          <w:tab w:val="left" w:pos="312"/>
        </w:tabs>
      </w:p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mZmOTI4ZDU0NGVmOTY2MDgyMDNlZDcxZTFiMzMifQ=="/>
    <w:docVar w:name="KSO_WPS_MARK_KEY" w:val="2dea7e58-811a-4aaf-92c4-e634121d4566"/>
  </w:docVars>
  <w:rsids>
    <w:rsidRoot w:val="00CA6457"/>
    <w:rsid w:val="00056465"/>
    <w:rsid w:val="000E50F0"/>
    <w:rsid w:val="000E586C"/>
    <w:rsid w:val="0010369D"/>
    <w:rsid w:val="001053A9"/>
    <w:rsid w:val="00121AE4"/>
    <w:rsid w:val="00146AAD"/>
    <w:rsid w:val="00194ED3"/>
    <w:rsid w:val="001A1EB5"/>
    <w:rsid w:val="001B3A40"/>
    <w:rsid w:val="00200850"/>
    <w:rsid w:val="002659F1"/>
    <w:rsid w:val="00277FEC"/>
    <w:rsid w:val="0031000F"/>
    <w:rsid w:val="00322AE6"/>
    <w:rsid w:val="003555EA"/>
    <w:rsid w:val="003748BB"/>
    <w:rsid w:val="003C18BC"/>
    <w:rsid w:val="003E09CB"/>
    <w:rsid w:val="00430B95"/>
    <w:rsid w:val="004366A8"/>
    <w:rsid w:val="00464900"/>
    <w:rsid w:val="0050203C"/>
    <w:rsid w:val="00502BA7"/>
    <w:rsid w:val="0050496E"/>
    <w:rsid w:val="005162F1"/>
    <w:rsid w:val="00535153"/>
    <w:rsid w:val="00554F82"/>
    <w:rsid w:val="0056390D"/>
    <w:rsid w:val="005719B0"/>
    <w:rsid w:val="005D10D6"/>
    <w:rsid w:val="007806A5"/>
    <w:rsid w:val="0080026B"/>
    <w:rsid w:val="00855E3A"/>
    <w:rsid w:val="00922CB9"/>
    <w:rsid w:val="009E5CD9"/>
    <w:rsid w:val="00A26421"/>
    <w:rsid w:val="00A4293B"/>
    <w:rsid w:val="00A67D50"/>
    <w:rsid w:val="00A76C52"/>
    <w:rsid w:val="00A84E0F"/>
    <w:rsid w:val="00A8691A"/>
    <w:rsid w:val="00AC1946"/>
    <w:rsid w:val="00B40063"/>
    <w:rsid w:val="00B41F61"/>
    <w:rsid w:val="00B95EC4"/>
    <w:rsid w:val="00BA46E6"/>
    <w:rsid w:val="00C20F12"/>
    <w:rsid w:val="00C56C72"/>
    <w:rsid w:val="00CA6457"/>
    <w:rsid w:val="00CC5472"/>
    <w:rsid w:val="00D17F2E"/>
    <w:rsid w:val="00D30354"/>
    <w:rsid w:val="00DD06F7"/>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B0F58D6"/>
    <w:rsid w:val="0F8D41CB"/>
    <w:rsid w:val="0FEE2F21"/>
    <w:rsid w:val="11C75270"/>
    <w:rsid w:val="12637CC3"/>
    <w:rsid w:val="12E657C5"/>
    <w:rsid w:val="133C6E2A"/>
    <w:rsid w:val="167C7687"/>
    <w:rsid w:val="168B3546"/>
    <w:rsid w:val="1A2374E0"/>
    <w:rsid w:val="1C317CE2"/>
    <w:rsid w:val="1DD45808"/>
    <w:rsid w:val="1DED42AC"/>
    <w:rsid w:val="20005763"/>
    <w:rsid w:val="20FB313D"/>
    <w:rsid w:val="220B4804"/>
    <w:rsid w:val="278B653F"/>
    <w:rsid w:val="282475E3"/>
    <w:rsid w:val="29E421D9"/>
    <w:rsid w:val="2C6100C1"/>
    <w:rsid w:val="30337A7C"/>
    <w:rsid w:val="3235157C"/>
    <w:rsid w:val="3264220D"/>
    <w:rsid w:val="32A83563"/>
    <w:rsid w:val="34821EA6"/>
    <w:rsid w:val="38646CFB"/>
    <w:rsid w:val="38872456"/>
    <w:rsid w:val="3963178C"/>
    <w:rsid w:val="3BA5236D"/>
    <w:rsid w:val="3C733E14"/>
    <w:rsid w:val="3CED0699"/>
    <w:rsid w:val="3CEF440A"/>
    <w:rsid w:val="3EB02FD6"/>
    <w:rsid w:val="41CC2676"/>
    <w:rsid w:val="46B21672"/>
    <w:rsid w:val="4AB658EA"/>
    <w:rsid w:val="4F552460"/>
    <w:rsid w:val="4FCC6863"/>
    <w:rsid w:val="500A214A"/>
    <w:rsid w:val="506F14E1"/>
    <w:rsid w:val="507D0FEC"/>
    <w:rsid w:val="522D604D"/>
    <w:rsid w:val="5297585E"/>
    <w:rsid w:val="52AD7D6F"/>
    <w:rsid w:val="53D35BCE"/>
    <w:rsid w:val="5549519D"/>
    <w:rsid w:val="5557596B"/>
    <w:rsid w:val="56F66E3B"/>
    <w:rsid w:val="5B596DFC"/>
    <w:rsid w:val="5DAE6D00"/>
    <w:rsid w:val="5DF03945"/>
    <w:rsid w:val="5F03526B"/>
    <w:rsid w:val="62E515AF"/>
    <w:rsid w:val="637C2815"/>
    <w:rsid w:val="666B4FDC"/>
    <w:rsid w:val="67FF13C8"/>
    <w:rsid w:val="682144B7"/>
    <w:rsid w:val="6B503F77"/>
    <w:rsid w:val="6E311968"/>
    <w:rsid w:val="70525F01"/>
    <w:rsid w:val="7A353D0B"/>
    <w:rsid w:val="7B5C51DA"/>
    <w:rsid w:val="7CB927D8"/>
    <w:rsid w:val="7D3A5E2F"/>
    <w:rsid w:val="7DBC0ABE"/>
    <w:rsid w:val="FBF836E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30"/>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Normal Indent"/>
    <w:basedOn w:val="1"/>
    <w:semiHidden/>
    <w:unhideWhenUsed/>
    <w:qFormat/>
    <w:uiPriority w:val="99"/>
    <w:pPr>
      <w:ind w:firstLine="420" w:firstLineChars="200"/>
    </w:pPr>
  </w:style>
  <w:style w:type="paragraph" w:styleId="13">
    <w:name w:val="annotation text"/>
    <w:basedOn w:val="1"/>
    <w:qFormat/>
    <w:uiPriority w:val="0"/>
    <w:pPr>
      <w:jc w:val="left"/>
    </w:pPr>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rPr>
      <w:rFonts w:ascii="Calibri" w:hAnsi="Calibri"/>
    </w:rPr>
  </w:style>
  <w:style w:type="paragraph" w:styleId="16">
    <w:name w:val="Balloon Text"/>
    <w:basedOn w:val="1"/>
    <w:link w:val="52"/>
    <w:semiHidden/>
    <w:unhideWhenUsed/>
    <w:qFormat/>
    <w:uiPriority w:val="99"/>
    <w:rPr>
      <w:sz w:val="18"/>
      <w:szCs w:val="18"/>
    </w:rPr>
  </w:style>
  <w:style w:type="paragraph" w:styleId="17">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20">
    <w:name w:val="Body Text First Indent"/>
    <w:basedOn w:val="14"/>
    <w:qFormat/>
    <w:uiPriority w:val="0"/>
    <w:pPr>
      <w:spacing w:after="0"/>
      <w:ind w:firstLine="200" w:firstLineChars="200"/>
    </w:pPr>
  </w:style>
  <w:style w:type="paragraph" w:styleId="21">
    <w:name w:val="Body Text First Indent 2"/>
    <w:basedOn w:val="15"/>
    <w:qFormat/>
    <w:uiPriority w:val="0"/>
    <w:pPr>
      <w:ind w:firstLine="420" w:firstLineChars="200"/>
    </w:pPr>
  </w:style>
  <w:style w:type="character" w:styleId="24">
    <w:name w:val="Strong"/>
    <w:basedOn w:val="23"/>
    <w:qFormat/>
    <w:uiPriority w:val="0"/>
    <w:rPr>
      <w:b/>
      <w:bCs/>
    </w:rPr>
  </w:style>
  <w:style w:type="character" w:styleId="25">
    <w:name w:val="Emphasis"/>
    <w:basedOn w:val="23"/>
    <w:qFormat/>
    <w:uiPriority w:val="20"/>
    <w:rPr>
      <w:rFonts w:asciiTheme="minorHAnsi" w:hAnsiTheme="minorHAnsi"/>
      <w:b/>
      <w:i/>
      <w:iCs/>
    </w:rPr>
  </w:style>
  <w:style w:type="character" w:styleId="26">
    <w:name w:val="annotation reference"/>
    <w:basedOn w:val="23"/>
    <w:semiHidden/>
    <w:unhideWhenUsed/>
    <w:qFormat/>
    <w:uiPriority w:val="99"/>
    <w:rPr>
      <w:sz w:val="21"/>
      <w:szCs w:val="21"/>
    </w:rPr>
  </w:style>
  <w:style w:type="character" w:customStyle="1" w:styleId="27">
    <w:name w:val="标题 1 字符"/>
    <w:basedOn w:val="23"/>
    <w:link w:val="3"/>
    <w:qFormat/>
    <w:uiPriority w:val="9"/>
    <w:rPr>
      <w:rFonts w:asciiTheme="majorHAnsi" w:hAnsiTheme="majorHAnsi" w:eastAsiaTheme="majorEastAsia"/>
      <w:b/>
      <w:bCs/>
      <w:kern w:val="32"/>
      <w:sz w:val="32"/>
      <w:szCs w:val="32"/>
    </w:rPr>
  </w:style>
  <w:style w:type="character" w:customStyle="1" w:styleId="28">
    <w:name w:val="标题 2 字符"/>
    <w:basedOn w:val="23"/>
    <w:link w:val="4"/>
    <w:semiHidden/>
    <w:qFormat/>
    <w:uiPriority w:val="9"/>
    <w:rPr>
      <w:rFonts w:asciiTheme="majorHAnsi" w:hAnsiTheme="majorHAnsi" w:eastAsiaTheme="majorEastAsia"/>
      <w:b/>
      <w:bCs/>
      <w:i/>
      <w:iCs/>
      <w:sz w:val="28"/>
      <w:szCs w:val="28"/>
    </w:rPr>
  </w:style>
  <w:style w:type="character" w:customStyle="1" w:styleId="29">
    <w:name w:val="标题 3 字符"/>
    <w:basedOn w:val="23"/>
    <w:link w:val="5"/>
    <w:semiHidden/>
    <w:qFormat/>
    <w:uiPriority w:val="9"/>
    <w:rPr>
      <w:rFonts w:asciiTheme="majorHAnsi" w:hAnsiTheme="majorHAnsi" w:eastAsiaTheme="majorEastAsia"/>
      <w:b/>
      <w:bCs/>
      <w:sz w:val="26"/>
      <w:szCs w:val="26"/>
    </w:rPr>
  </w:style>
  <w:style w:type="character" w:customStyle="1" w:styleId="30">
    <w:name w:val="标题 4 字符"/>
    <w:basedOn w:val="23"/>
    <w:link w:val="6"/>
    <w:semiHidden/>
    <w:qFormat/>
    <w:uiPriority w:val="9"/>
    <w:rPr>
      <w:b/>
      <w:bCs/>
      <w:sz w:val="28"/>
      <w:szCs w:val="28"/>
    </w:rPr>
  </w:style>
  <w:style w:type="character" w:customStyle="1" w:styleId="31">
    <w:name w:val="标题 5 字符"/>
    <w:basedOn w:val="23"/>
    <w:link w:val="7"/>
    <w:semiHidden/>
    <w:qFormat/>
    <w:uiPriority w:val="9"/>
    <w:rPr>
      <w:b/>
      <w:bCs/>
      <w:i/>
      <w:iCs/>
      <w:sz w:val="26"/>
      <w:szCs w:val="26"/>
    </w:rPr>
  </w:style>
  <w:style w:type="character" w:customStyle="1" w:styleId="32">
    <w:name w:val="标题 6 字符"/>
    <w:basedOn w:val="23"/>
    <w:link w:val="8"/>
    <w:semiHidden/>
    <w:qFormat/>
    <w:uiPriority w:val="9"/>
    <w:rPr>
      <w:b/>
      <w:bCs/>
    </w:rPr>
  </w:style>
  <w:style w:type="character" w:customStyle="1" w:styleId="33">
    <w:name w:val="标题 7 字符"/>
    <w:basedOn w:val="23"/>
    <w:link w:val="9"/>
    <w:semiHidden/>
    <w:qFormat/>
    <w:uiPriority w:val="9"/>
    <w:rPr>
      <w:sz w:val="24"/>
      <w:szCs w:val="24"/>
    </w:rPr>
  </w:style>
  <w:style w:type="character" w:customStyle="1" w:styleId="34">
    <w:name w:val="标题 8 字符"/>
    <w:basedOn w:val="23"/>
    <w:link w:val="10"/>
    <w:semiHidden/>
    <w:qFormat/>
    <w:uiPriority w:val="9"/>
    <w:rPr>
      <w:i/>
      <w:iCs/>
      <w:sz w:val="24"/>
      <w:szCs w:val="24"/>
    </w:rPr>
  </w:style>
  <w:style w:type="character" w:customStyle="1" w:styleId="35">
    <w:name w:val="标题 9 字符"/>
    <w:basedOn w:val="23"/>
    <w:link w:val="11"/>
    <w:semiHidden/>
    <w:qFormat/>
    <w:uiPriority w:val="9"/>
    <w:rPr>
      <w:rFonts w:asciiTheme="majorHAnsi" w:hAnsiTheme="majorHAnsi" w:eastAsiaTheme="majorEastAsia"/>
    </w:rPr>
  </w:style>
  <w:style w:type="character" w:customStyle="1" w:styleId="36">
    <w:name w:val="标题 字符"/>
    <w:basedOn w:val="23"/>
    <w:link w:val="2"/>
    <w:qFormat/>
    <w:uiPriority w:val="10"/>
    <w:rPr>
      <w:rFonts w:asciiTheme="majorHAnsi" w:hAnsiTheme="majorHAnsi" w:eastAsiaTheme="majorEastAsia"/>
      <w:b/>
      <w:bCs/>
      <w:kern w:val="28"/>
      <w:sz w:val="32"/>
      <w:szCs w:val="32"/>
    </w:rPr>
  </w:style>
  <w:style w:type="character" w:customStyle="1" w:styleId="37">
    <w:name w:val="副标题 字符"/>
    <w:basedOn w:val="23"/>
    <w:link w:val="19"/>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字符"/>
    <w:basedOn w:val="23"/>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字符"/>
    <w:basedOn w:val="23"/>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3"/>
    <w:qFormat/>
    <w:uiPriority w:val="21"/>
    <w:rPr>
      <w:b/>
      <w:i/>
      <w:sz w:val="24"/>
      <w:szCs w:val="24"/>
      <w:u w:val="single"/>
    </w:rPr>
  </w:style>
  <w:style w:type="character" w:customStyle="1" w:styleId="46">
    <w:name w:val="不明显参考1"/>
    <w:basedOn w:val="23"/>
    <w:qFormat/>
    <w:uiPriority w:val="31"/>
    <w:rPr>
      <w:sz w:val="24"/>
      <w:szCs w:val="24"/>
      <w:u w:val="single"/>
    </w:rPr>
  </w:style>
  <w:style w:type="character" w:customStyle="1" w:styleId="47">
    <w:name w:val="明显参考1"/>
    <w:basedOn w:val="23"/>
    <w:qFormat/>
    <w:uiPriority w:val="32"/>
    <w:rPr>
      <w:b/>
      <w:sz w:val="24"/>
      <w:u w:val="single"/>
    </w:rPr>
  </w:style>
  <w:style w:type="character" w:customStyle="1" w:styleId="48">
    <w:name w:val="书籍标题1"/>
    <w:basedOn w:val="23"/>
    <w:qFormat/>
    <w:uiPriority w:val="33"/>
    <w:rPr>
      <w:rFonts w:asciiTheme="majorHAnsi" w:hAnsiTheme="majorHAnsi" w:eastAsiaTheme="majorEastAsia"/>
      <w:b/>
      <w:i/>
      <w:sz w:val="24"/>
      <w:szCs w:val="24"/>
    </w:rPr>
  </w:style>
  <w:style w:type="paragraph" w:customStyle="1" w:styleId="49">
    <w:name w:val="TOC 标题1"/>
    <w:basedOn w:val="3"/>
    <w:next w:val="1"/>
    <w:semiHidden/>
    <w:unhideWhenUsed/>
    <w:qFormat/>
    <w:uiPriority w:val="39"/>
    <w:pPr>
      <w:outlineLvl w:val="9"/>
    </w:pPr>
    <w:rPr>
      <w:lang w:eastAsia="en-US" w:bidi="en-US"/>
    </w:rPr>
  </w:style>
  <w:style w:type="character" w:customStyle="1" w:styleId="50">
    <w:name w:val="页眉 字符"/>
    <w:basedOn w:val="23"/>
    <w:link w:val="18"/>
    <w:qFormat/>
    <w:uiPriority w:val="99"/>
    <w:rPr>
      <w:rFonts w:ascii="Calibri" w:hAnsi="Calibri" w:eastAsia="宋体"/>
      <w:kern w:val="2"/>
      <w:sz w:val="18"/>
      <w:szCs w:val="18"/>
    </w:rPr>
  </w:style>
  <w:style w:type="character" w:customStyle="1" w:styleId="51">
    <w:name w:val="页脚 字符"/>
    <w:basedOn w:val="23"/>
    <w:link w:val="17"/>
    <w:qFormat/>
    <w:uiPriority w:val="99"/>
    <w:rPr>
      <w:rFonts w:ascii="Calibri" w:hAnsi="Calibri" w:eastAsia="宋体"/>
      <w:kern w:val="2"/>
      <w:sz w:val="18"/>
      <w:szCs w:val="18"/>
    </w:rPr>
  </w:style>
  <w:style w:type="character" w:customStyle="1" w:styleId="52">
    <w:name w:val="批注框文本 字符"/>
    <w:basedOn w:val="23"/>
    <w:link w:val="16"/>
    <w:semiHidden/>
    <w:qFormat/>
    <w:uiPriority w:val="99"/>
    <w:rPr>
      <w:rFonts w:ascii="Times New Roman" w:hAnsi="Times New Roman" w:eastAsia="宋体"/>
      <w:kern w:val="2"/>
      <w:sz w:val="18"/>
      <w:szCs w:val="18"/>
    </w:rPr>
  </w:style>
  <w:style w:type="paragraph" w:customStyle="1" w:styleId="53">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4">
    <w:name w:val="fontstyle01"/>
    <w:qFormat/>
    <w:uiPriority w:val="0"/>
    <w:rPr>
      <w:rFonts w:ascii="仿宋_GB2312" w:hAnsi="仿宋_GB2312" w:eastAsia="仿宋_GB2312" w:cs="仿宋_GB2312"/>
      <w:color w:val="000000"/>
      <w:sz w:val="32"/>
      <w:szCs w:val="32"/>
    </w:rPr>
  </w:style>
  <w:style w:type="paragraph" w:customStyle="1" w:styleId="55">
    <w:name w:val="闻政-正文段落文字"/>
    <w:basedOn w:val="1"/>
    <w:qFormat/>
    <w:uiPriority w:val="3"/>
    <w:pPr>
      <w:spacing w:line="500" w:lineRule="exact"/>
      <w:ind w:firstLine="200"/>
    </w:pPr>
    <w:rPr>
      <w:kern w:val="0"/>
      <w:szCs w:val="28"/>
    </w:rPr>
  </w:style>
  <w:style w:type="character" w:customStyle="1" w:styleId="56">
    <w:name w:val="font41"/>
    <w:basedOn w:val="23"/>
    <w:qFormat/>
    <w:uiPriority w:val="0"/>
    <w:rPr>
      <w:rFonts w:hint="default" w:ascii="仿宋_GB2312" w:eastAsia="仿宋_GB2312" w:cs="仿宋_GB2312"/>
      <w:color w:val="000000"/>
      <w:sz w:val="18"/>
      <w:szCs w:val="18"/>
      <w:u w:val="none"/>
    </w:rPr>
  </w:style>
  <w:style w:type="character" w:customStyle="1" w:styleId="57">
    <w:name w:val="font31"/>
    <w:basedOn w:val="23"/>
    <w:qFormat/>
    <w:uiPriority w:val="0"/>
    <w:rPr>
      <w:rFonts w:hint="eastAsia" w:ascii="宋体" w:hAnsi="宋体" w:eastAsia="宋体" w:cs="宋体"/>
      <w:color w:val="000000"/>
      <w:sz w:val="18"/>
      <w:szCs w:val="18"/>
      <w:u w:val="none"/>
    </w:rPr>
  </w:style>
  <w:style w:type="character" w:customStyle="1" w:styleId="58">
    <w:name w:val="font61"/>
    <w:basedOn w:val="23"/>
    <w:qFormat/>
    <w:uiPriority w:val="0"/>
    <w:rPr>
      <w:rFonts w:hint="eastAsia" w:ascii="宋体" w:hAnsi="宋体" w:eastAsia="宋体" w:cs="宋体"/>
      <w:color w:val="000000"/>
      <w:sz w:val="18"/>
      <w:szCs w:val="18"/>
      <w:u w:val="none"/>
    </w:rPr>
  </w:style>
  <w:style w:type="character" w:customStyle="1" w:styleId="59">
    <w:name w:val="font101"/>
    <w:basedOn w:val="23"/>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1545</Words>
  <Characters>8809</Characters>
  <Lines>73</Lines>
  <Paragraphs>20</Paragraphs>
  <TotalTime>6</TotalTime>
  <ScaleCrop>false</ScaleCrop>
  <LinksUpToDate>false</LinksUpToDate>
  <CharactersWithSpaces>10334</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2020-07-05T00:35:00Z</dcterms:created>
  <dc:creator>赵 恺（预算处）</dc:creator>
  <cp:lastModifiedBy>user</cp:lastModifiedBy>
  <cp:lastPrinted>2024-04-09T12:50:00Z</cp:lastPrinted>
  <dcterms:modified xsi:type="dcterms:W3CDTF">2024-08-26T12:41:55Z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C50F65526F054A61BD16C96E3334789F_13</vt:lpwstr>
  </property>
  <property fmtid="{D5CDD505-2E9C-101B-9397-08002B2CF9AE}" pid="4" name="KSOSaveFontToCloudKey">
    <vt:lpwstr>0_btnclosed</vt:lpwstr>
  </property>
</Properties>
</file>