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3441EB">
      <w:pPr>
        <w:spacing w:line="540" w:lineRule="exact"/>
        <w:rPr>
          <w:rFonts w:hint="eastAsia" w:eastAsia="华文中宋"/>
          <w:b/>
          <w:kern w:val="0"/>
          <w:sz w:val="72"/>
          <w:szCs w:val="72"/>
          <w:lang w:val="en-US" w:eastAsia="zh-CN"/>
        </w:rPr>
      </w:pPr>
    </w:p>
    <w:p w14:paraId="7C645C85">
      <w:pPr>
        <w:spacing w:line="540" w:lineRule="exact"/>
        <w:jc w:val="center"/>
        <w:rPr>
          <w:rFonts w:eastAsia="华文中宋"/>
          <w:b/>
          <w:kern w:val="0"/>
          <w:sz w:val="52"/>
          <w:szCs w:val="52"/>
        </w:rPr>
      </w:pPr>
    </w:p>
    <w:p w14:paraId="772B861D">
      <w:pPr>
        <w:spacing w:line="540" w:lineRule="exact"/>
        <w:jc w:val="center"/>
        <w:rPr>
          <w:rFonts w:eastAsia="华文中宋"/>
          <w:b/>
          <w:kern w:val="0"/>
          <w:sz w:val="52"/>
          <w:szCs w:val="52"/>
        </w:rPr>
      </w:pPr>
    </w:p>
    <w:p w14:paraId="7A575265">
      <w:pPr>
        <w:spacing w:line="540" w:lineRule="exact"/>
        <w:jc w:val="center"/>
        <w:rPr>
          <w:rFonts w:eastAsia="方正小标宋_GBK"/>
          <w:kern w:val="0"/>
          <w:sz w:val="48"/>
          <w:szCs w:val="48"/>
        </w:rPr>
      </w:pPr>
      <w:r>
        <w:rPr>
          <w:rFonts w:hint="eastAsia" w:eastAsia="方正小标宋_GBK"/>
          <w:kern w:val="0"/>
          <w:sz w:val="48"/>
          <w:szCs w:val="48"/>
          <w:lang w:eastAsia="zh-CN"/>
        </w:rPr>
        <w:t>自治区本级财政</w:t>
      </w:r>
      <w:r>
        <w:rPr>
          <w:rFonts w:eastAsia="方正小标宋_GBK"/>
          <w:kern w:val="0"/>
          <w:sz w:val="48"/>
          <w:szCs w:val="48"/>
        </w:rPr>
        <w:t>资金项目支出绩效评价</w:t>
      </w:r>
    </w:p>
    <w:p w14:paraId="07E7B742">
      <w:pPr>
        <w:spacing w:line="540" w:lineRule="exact"/>
        <w:jc w:val="center"/>
        <w:rPr>
          <w:rFonts w:eastAsia="方正小标宋_GBK"/>
          <w:kern w:val="0"/>
          <w:sz w:val="48"/>
          <w:szCs w:val="48"/>
        </w:rPr>
      </w:pPr>
      <w:r>
        <w:rPr>
          <w:rFonts w:eastAsia="方正小标宋_GBK"/>
          <w:kern w:val="0"/>
          <w:sz w:val="48"/>
          <w:szCs w:val="48"/>
        </w:rPr>
        <w:t>报告</w:t>
      </w:r>
    </w:p>
    <w:p w14:paraId="406CBB68">
      <w:pPr>
        <w:spacing w:line="540" w:lineRule="exact"/>
        <w:jc w:val="center"/>
        <w:rPr>
          <w:rFonts w:eastAsia="华文中宋"/>
          <w:b/>
          <w:kern w:val="0"/>
          <w:sz w:val="52"/>
          <w:szCs w:val="52"/>
        </w:rPr>
      </w:pPr>
    </w:p>
    <w:p w14:paraId="55EE2027">
      <w:pPr>
        <w:spacing w:line="540" w:lineRule="exact"/>
        <w:jc w:val="center"/>
        <w:rPr>
          <w:rFonts w:eastAsia="仿宋_GB2312"/>
          <w:kern w:val="0"/>
          <w:sz w:val="36"/>
          <w:szCs w:val="36"/>
        </w:rPr>
      </w:pPr>
      <w:r>
        <w:rPr>
          <w:rFonts w:eastAsia="仿宋_GB2312"/>
          <w:kern w:val="0"/>
          <w:sz w:val="36"/>
          <w:szCs w:val="36"/>
        </w:rPr>
        <w:t xml:space="preserve">（ </w:t>
      </w:r>
      <w:r>
        <w:rPr>
          <w:rFonts w:hint="eastAsia" w:eastAsia="仿宋_GB2312"/>
          <w:kern w:val="0"/>
          <w:sz w:val="36"/>
          <w:szCs w:val="36"/>
          <w:lang w:eastAsia="zh-CN"/>
        </w:rPr>
        <w:t>2023</w:t>
      </w:r>
      <w:r>
        <w:rPr>
          <w:rFonts w:eastAsia="仿宋_GB2312"/>
          <w:kern w:val="0"/>
          <w:sz w:val="36"/>
          <w:szCs w:val="36"/>
        </w:rPr>
        <w:t>年度）</w:t>
      </w:r>
    </w:p>
    <w:p w14:paraId="447DFC66">
      <w:pPr>
        <w:spacing w:line="540" w:lineRule="exact"/>
        <w:jc w:val="center"/>
        <w:rPr>
          <w:rFonts w:eastAsia="仿宋_GB2312"/>
          <w:kern w:val="0"/>
          <w:sz w:val="30"/>
          <w:szCs w:val="30"/>
        </w:rPr>
      </w:pPr>
    </w:p>
    <w:p w14:paraId="54B48EB3">
      <w:pPr>
        <w:spacing w:line="540" w:lineRule="exact"/>
        <w:jc w:val="center"/>
        <w:rPr>
          <w:rFonts w:eastAsia="仿宋_GB2312"/>
          <w:kern w:val="0"/>
          <w:sz w:val="30"/>
          <w:szCs w:val="30"/>
        </w:rPr>
      </w:pPr>
    </w:p>
    <w:p w14:paraId="677B79FD">
      <w:pPr>
        <w:spacing w:line="540" w:lineRule="exact"/>
        <w:jc w:val="center"/>
        <w:rPr>
          <w:rFonts w:eastAsia="仿宋_GB2312"/>
          <w:kern w:val="0"/>
          <w:sz w:val="30"/>
          <w:szCs w:val="30"/>
        </w:rPr>
      </w:pPr>
    </w:p>
    <w:p w14:paraId="5181B388">
      <w:pPr>
        <w:spacing w:line="540" w:lineRule="exact"/>
        <w:jc w:val="center"/>
        <w:rPr>
          <w:rFonts w:eastAsia="仿宋_GB2312"/>
          <w:kern w:val="0"/>
          <w:sz w:val="30"/>
          <w:szCs w:val="30"/>
        </w:rPr>
      </w:pPr>
    </w:p>
    <w:p w14:paraId="26B9E0B2">
      <w:pPr>
        <w:spacing w:line="540" w:lineRule="exact"/>
        <w:rPr>
          <w:rFonts w:eastAsia="仿宋_GB2312"/>
          <w:kern w:val="0"/>
          <w:sz w:val="30"/>
          <w:szCs w:val="30"/>
        </w:rPr>
      </w:pPr>
    </w:p>
    <w:p w14:paraId="35A25C29">
      <w:pPr>
        <w:spacing w:line="700" w:lineRule="exact"/>
        <w:ind w:left="3236" w:leftChars="684" w:hanging="1800" w:hangingChars="5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2023年克拉玛依生态环境质量监测专项</w:t>
      </w:r>
    </w:p>
    <w:p w14:paraId="15F143BD">
      <w:pPr>
        <w:spacing w:line="700" w:lineRule="exact"/>
        <w:ind w:left="3236" w:leftChars="684" w:hanging="1800" w:hangingChars="5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新疆维吾尔自治区克拉玛依生态环境监测站</w:t>
      </w:r>
    </w:p>
    <w:p w14:paraId="56AB3601">
      <w:pPr>
        <w:spacing w:line="700" w:lineRule="exact"/>
        <w:ind w:left="3596" w:leftChars="684" w:hanging="2160" w:hangingChars="6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新疆维吾尔自治区生态环境厅</w:t>
      </w:r>
    </w:p>
    <w:p w14:paraId="18F6BDF3">
      <w:pPr>
        <w:spacing w:line="700" w:lineRule="exact"/>
        <w:ind w:firstLine="1440" w:firstLineChars="400"/>
        <w:jc w:val="both"/>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李立人</w:t>
      </w:r>
    </w:p>
    <w:p w14:paraId="439229B2">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24</w:t>
      </w:r>
      <w:r>
        <w:rPr>
          <w:rFonts w:eastAsia="仿宋_GB2312"/>
          <w:kern w:val="0"/>
          <w:sz w:val="36"/>
          <w:szCs w:val="36"/>
        </w:rPr>
        <w:t>日</w:t>
      </w:r>
    </w:p>
    <w:p w14:paraId="2A7B6962">
      <w:pPr>
        <w:spacing w:line="540" w:lineRule="exact"/>
        <w:rPr>
          <w:rStyle w:val="23"/>
          <w:rFonts w:eastAsia="黑体"/>
          <w:b w:val="0"/>
          <w:spacing w:val="-4"/>
          <w:sz w:val="32"/>
          <w:szCs w:val="32"/>
        </w:rPr>
      </w:pPr>
    </w:p>
    <w:p w14:paraId="2B28614A">
      <w:pPr>
        <w:spacing w:line="600" w:lineRule="exact"/>
        <w:rPr>
          <w:rFonts w:eastAsia="黑体"/>
          <w:bCs/>
          <w:sz w:val="32"/>
          <w:szCs w:val="32"/>
        </w:rPr>
      </w:pPr>
    </w:p>
    <w:p w14:paraId="4255A564">
      <w:pPr>
        <w:spacing w:line="600" w:lineRule="exact"/>
        <w:rPr>
          <w:rFonts w:eastAsia="黑体"/>
          <w:bCs/>
          <w:sz w:val="32"/>
          <w:szCs w:val="32"/>
        </w:rPr>
      </w:pPr>
    </w:p>
    <w:p w14:paraId="2FAA18E4">
      <w:pPr>
        <w:spacing w:line="560" w:lineRule="exact"/>
        <w:ind w:firstLine="640" w:firstLineChars="200"/>
        <w:rPr>
          <w:rFonts w:eastAsia="黑体"/>
          <w:bCs/>
          <w:sz w:val="32"/>
          <w:szCs w:val="32"/>
        </w:rPr>
      </w:pPr>
      <w:r>
        <w:rPr>
          <w:rFonts w:eastAsia="黑体"/>
          <w:bCs/>
          <w:sz w:val="32"/>
          <w:szCs w:val="32"/>
        </w:rPr>
        <w:t>一、基本情况</w:t>
      </w:r>
    </w:p>
    <w:p w14:paraId="114BE81D">
      <w:pPr>
        <w:spacing w:line="560" w:lineRule="exact"/>
        <w:ind w:firstLine="643" w:firstLineChars="200"/>
        <w:rPr>
          <w:rFonts w:eastAsia="楷体_GB2312"/>
          <w:b/>
          <w:bCs/>
          <w:sz w:val="32"/>
          <w:szCs w:val="32"/>
        </w:rPr>
      </w:pPr>
      <w:r>
        <w:rPr>
          <w:rFonts w:eastAsia="楷体_GB2312"/>
          <w:b/>
          <w:bCs/>
          <w:sz w:val="32"/>
          <w:szCs w:val="32"/>
        </w:rPr>
        <w:t>（一）项目概况</w:t>
      </w:r>
    </w:p>
    <w:p w14:paraId="5A69C58D">
      <w:pPr>
        <w:spacing w:line="560" w:lineRule="exact"/>
        <w:ind w:firstLine="640" w:firstLineChars="200"/>
        <w:rPr>
          <w:rFonts w:eastAsia="仿宋_GB2312"/>
          <w:b w:val="0"/>
          <w:bCs w:val="0"/>
          <w:sz w:val="32"/>
          <w:szCs w:val="32"/>
        </w:rPr>
      </w:pPr>
      <w:r>
        <w:rPr>
          <w:rFonts w:eastAsia="仿宋_GB2312"/>
          <w:b w:val="0"/>
          <w:bCs w:val="0"/>
          <w:sz w:val="32"/>
          <w:szCs w:val="32"/>
        </w:rPr>
        <w:t>1</w:t>
      </w:r>
      <w:r>
        <w:rPr>
          <w:rFonts w:hint="eastAsia" w:eastAsia="仿宋_GB2312"/>
          <w:b w:val="0"/>
          <w:bCs w:val="0"/>
          <w:sz w:val="32"/>
          <w:szCs w:val="32"/>
          <w:lang w:eastAsia="zh-CN"/>
        </w:rPr>
        <w:t>.</w:t>
      </w:r>
      <w:r>
        <w:rPr>
          <w:rFonts w:eastAsia="仿宋_GB2312"/>
          <w:b w:val="0"/>
          <w:bCs w:val="0"/>
          <w:sz w:val="32"/>
          <w:szCs w:val="32"/>
        </w:rPr>
        <w:t>项目背景</w:t>
      </w:r>
    </w:p>
    <w:p w14:paraId="4D3CEBAE">
      <w:pPr>
        <w:pStyle w:val="2"/>
        <w:numPr>
          <w:ilvl w:val="0"/>
          <w:numId w:val="0"/>
        </w:numPr>
        <w:spacing w:before="0" w:after="0" w:line="560" w:lineRule="exact"/>
        <w:ind w:firstLine="640" w:firstLineChars="200"/>
        <w:jc w:val="both"/>
        <w:rPr>
          <w:rFonts w:hint="eastAsia" w:ascii="Times New Roman" w:hAnsi="Times New Roman" w:eastAsia="仿宋_GB2312"/>
          <w:b w:val="0"/>
          <w:bCs w:val="0"/>
          <w:kern w:val="2"/>
        </w:rPr>
      </w:pPr>
      <w:r>
        <w:rPr>
          <w:rFonts w:hint="eastAsia" w:ascii="Times New Roman" w:hAnsi="Times New Roman" w:eastAsia="仿宋_GB2312"/>
          <w:b w:val="0"/>
          <w:bCs w:val="0"/>
          <w:kern w:val="2"/>
        </w:rPr>
        <w:t>生态环境监测是生态环境保护的基础工作，是推进生态文明建设的重要支撑。党的十八大以来，党中央、国务院高度重视生态环境监测工作</w:t>
      </w:r>
      <w:r>
        <w:rPr>
          <w:rFonts w:hint="eastAsia" w:ascii="Times New Roman" w:hAnsi="Times New Roman" w:eastAsia="仿宋_GB2312"/>
          <w:b w:val="0"/>
          <w:bCs w:val="0"/>
          <w:kern w:val="2"/>
          <w:lang w:eastAsia="zh-CN"/>
        </w:rPr>
        <w:t>，</w:t>
      </w:r>
      <w:r>
        <w:rPr>
          <w:rFonts w:hint="eastAsia" w:ascii="Times New Roman" w:hAnsi="Times New Roman" w:eastAsia="仿宋_GB2312"/>
          <w:b w:val="0"/>
          <w:bCs w:val="0"/>
          <w:kern w:val="2"/>
        </w:rPr>
        <w:t>中共中央、国务院陆续印发《关于全面加强生态环境保护</w:t>
      </w:r>
      <w:r>
        <w:rPr>
          <w:rFonts w:ascii="Times New Roman" w:hAnsi="Times New Roman" w:eastAsia="仿宋_GB2312"/>
          <w:b w:val="0"/>
          <w:bCs w:val="0"/>
          <w:kern w:val="2"/>
        </w:rPr>
        <w:t xml:space="preserve"> </w:t>
      </w:r>
      <w:r>
        <w:rPr>
          <w:rFonts w:hint="eastAsia" w:ascii="Times New Roman" w:hAnsi="Times New Roman" w:eastAsia="仿宋_GB2312"/>
          <w:b w:val="0"/>
          <w:bCs w:val="0"/>
          <w:kern w:val="2"/>
        </w:rPr>
        <w:t>坚决打好污染防治攻坚战的意见》《中共中央</w:t>
      </w:r>
      <w:r>
        <w:rPr>
          <w:rFonts w:ascii="Times New Roman" w:hAnsi="Times New Roman" w:eastAsia="仿宋_GB2312"/>
          <w:b w:val="0"/>
          <w:bCs w:val="0"/>
          <w:kern w:val="2"/>
        </w:rPr>
        <w:t xml:space="preserve">  </w:t>
      </w:r>
      <w:r>
        <w:rPr>
          <w:rFonts w:hint="eastAsia" w:ascii="Times New Roman" w:hAnsi="Times New Roman" w:eastAsia="仿宋_GB2312"/>
          <w:b w:val="0"/>
          <w:bCs w:val="0"/>
          <w:kern w:val="2"/>
        </w:rPr>
        <w:t>国务院关于深入打好污染防治攻坚战的意见》等重要文件。</w:t>
      </w:r>
    </w:p>
    <w:p w14:paraId="5733E11E">
      <w:pPr>
        <w:pStyle w:val="2"/>
        <w:numPr>
          <w:ilvl w:val="0"/>
          <w:numId w:val="0"/>
        </w:numPr>
        <w:spacing w:before="0" w:after="0" w:line="56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生态环境监测的目的是实现“三个说清”，为生态环境保护管理、决策及满足人民群众环境知情权等提供技术支撑。生态环境监测工作主要包含生态环境质量监测、污染源执法监测和质控抽测、生态状况监测、突发环境事件应急监测及生态环境监测质量管理等内容。</w:t>
      </w:r>
    </w:p>
    <w:p w14:paraId="22120F33">
      <w:pPr>
        <w:pStyle w:val="2"/>
        <w:numPr>
          <w:ilvl w:val="0"/>
          <w:numId w:val="0"/>
        </w:numPr>
        <w:spacing w:before="0" w:after="0" w:line="560" w:lineRule="exact"/>
        <w:ind w:firstLine="640" w:firstLineChars="200"/>
        <w:jc w:val="both"/>
        <w:rPr>
          <w:rFonts w:ascii="Times New Roman" w:hAnsi="Times New Roman" w:eastAsia="仿宋_GB2312"/>
          <w:kern w:val="2"/>
          <w:lang w:val="en-US"/>
        </w:rPr>
      </w:pPr>
      <w:r>
        <w:rPr>
          <w:rFonts w:hint="eastAsia" w:ascii="Times New Roman" w:hAnsi="Times New Roman" w:eastAsia="仿宋_GB2312"/>
          <w:b w:val="0"/>
          <w:bCs w:val="0"/>
          <w:kern w:val="2"/>
        </w:rPr>
        <w:t>生态环境监测是生态环境保护管理的“顶梁柱”和“生命线”。组织开展生态环境监测工作是生态环境保护重要基础性工作之一，是贯彻落实习近平生态文明思想和党中央、国务院及自治区党委关于加强生态环境保护有关精神，落实国家和自治区新时期加强生态文明建设、深入打好污染防治攻坚战的必然要求。</w:t>
      </w:r>
    </w:p>
    <w:p w14:paraId="3341421D">
      <w:pPr>
        <w:pStyle w:val="2"/>
        <w:numPr>
          <w:ilvl w:val="0"/>
          <w:numId w:val="0"/>
        </w:numPr>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w:t>
      </w:r>
      <w:r>
        <w:rPr>
          <w:rFonts w:ascii="Times New Roman" w:hAnsi="Times New Roman" w:eastAsia="仿宋_GB2312"/>
          <w:b w:val="0"/>
          <w:bCs w:val="0"/>
          <w:kern w:val="2"/>
        </w:rPr>
        <w:t>项目主要内容</w:t>
      </w:r>
    </w:p>
    <w:p w14:paraId="34401DC3">
      <w:pPr>
        <w:spacing w:line="560" w:lineRule="exact"/>
        <w:ind w:firstLine="640" w:firstLineChars="200"/>
        <w:rPr>
          <w:rFonts w:eastAsia="仿宋_GB2312"/>
          <w:sz w:val="32"/>
          <w:szCs w:val="32"/>
        </w:rPr>
      </w:pPr>
      <w:r>
        <w:rPr>
          <w:rFonts w:hint="eastAsia" w:eastAsia="仿宋_GB2312"/>
          <w:sz w:val="32"/>
          <w:szCs w:val="32"/>
          <w:lang w:eastAsia="zh-CN"/>
        </w:rPr>
        <w:t>按照</w:t>
      </w:r>
      <w:r>
        <w:rPr>
          <w:rFonts w:hint="eastAsia" w:eastAsia="仿宋_GB2312"/>
          <w:sz w:val="32"/>
          <w:szCs w:val="32"/>
        </w:rPr>
        <w:t>自治区生态环境厅工作部署，建立大气、水、土壤、声环境等各要素的环境质量监测网络，按照统一的标准规范开展监测和评价，客观、准确反映环境质量状况。具体内容如下：</w:t>
      </w:r>
    </w:p>
    <w:p w14:paraId="1C906658">
      <w:pPr>
        <w:spacing w:line="560" w:lineRule="exact"/>
        <w:ind w:firstLine="640" w:firstLineChars="200"/>
        <w:rPr>
          <w:rFonts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1</w:t>
      </w:r>
      <w:r>
        <w:rPr>
          <w:rFonts w:hint="eastAsia" w:eastAsia="仿宋_GB2312"/>
          <w:sz w:val="32"/>
          <w:szCs w:val="32"/>
          <w:lang w:eastAsia="zh-CN"/>
        </w:rPr>
        <w:t>）</w:t>
      </w:r>
      <w:r>
        <w:rPr>
          <w:rFonts w:hint="eastAsia" w:eastAsia="仿宋_GB2312"/>
          <w:sz w:val="32"/>
          <w:szCs w:val="32"/>
        </w:rPr>
        <w:t>环境空气质量监测。国控六参数监测站点</w:t>
      </w:r>
      <w:r>
        <w:rPr>
          <w:rFonts w:eastAsia="仿宋_GB2312"/>
          <w:sz w:val="32"/>
          <w:szCs w:val="32"/>
        </w:rPr>
        <w:t>5</w:t>
      </w:r>
      <w:r>
        <w:rPr>
          <w:rFonts w:hint="eastAsia" w:eastAsia="仿宋_GB2312"/>
          <w:sz w:val="32"/>
          <w:szCs w:val="32"/>
        </w:rPr>
        <w:t>个，国控</w:t>
      </w:r>
      <w:r>
        <w:rPr>
          <w:rFonts w:eastAsia="仿宋_GB2312"/>
          <w:sz w:val="32"/>
          <w:szCs w:val="32"/>
        </w:rPr>
        <w:t>VOC</w:t>
      </w:r>
      <w:r>
        <w:rPr>
          <w:rFonts w:hint="eastAsia" w:eastAsia="仿宋_GB2312"/>
          <w:sz w:val="32"/>
          <w:szCs w:val="32"/>
        </w:rPr>
        <w:t>组分监测站点</w:t>
      </w:r>
      <w:r>
        <w:rPr>
          <w:rFonts w:eastAsia="仿宋_GB2312"/>
          <w:sz w:val="32"/>
          <w:szCs w:val="32"/>
        </w:rPr>
        <w:t>1</w:t>
      </w:r>
      <w:r>
        <w:rPr>
          <w:rFonts w:hint="eastAsia" w:eastAsia="仿宋_GB2312"/>
          <w:sz w:val="32"/>
          <w:szCs w:val="32"/>
        </w:rPr>
        <w:t>个，自治区区控</w:t>
      </w:r>
      <w:r>
        <w:rPr>
          <w:rFonts w:eastAsia="仿宋_GB2312"/>
          <w:sz w:val="32"/>
          <w:szCs w:val="32"/>
        </w:rPr>
        <w:t>VOC</w:t>
      </w:r>
      <w:r>
        <w:rPr>
          <w:rFonts w:hint="eastAsia" w:eastAsia="仿宋_GB2312"/>
          <w:sz w:val="32"/>
          <w:szCs w:val="32"/>
        </w:rPr>
        <w:t>组分监测站点</w:t>
      </w:r>
      <w:r>
        <w:rPr>
          <w:rFonts w:eastAsia="仿宋_GB2312"/>
          <w:sz w:val="32"/>
          <w:szCs w:val="32"/>
        </w:rPr>
        <w:t>2</w:t>
      </w:r>
      <w:r>
        <w:rPr>
          <w:rFonts w:hint="eastAsia" w:eastAsia="仿宋_GB2312"/>
          <w:sz w:val="32"/>
          <w:szCs w:val="32"/>
        </w:rPr>
        <w:t>个；自治区区控非甲烷总烃监测站点</w:t>
      </w:r>
      <w:r>
        <w:rPr>
          <w:rFonts w:eastAsia="仿宋_GB2312"/>
          <w:sz w:val="32"/>
          <w:szCs w:val="32"/>
        </w:rPr>
        <w:t>2</w:t>
      </w:r>
      <w:r>
        <w:rPr>
          <w:rFonts w:hint="eastAsia" w:eastAsia="仿宋_GB2312"/>
          <w:sz w:val="32"/>
          <w:szCs w:val="32"/>
        </w:rPr>
        <w:t>个</w:t>
      </w:r>
      <w:bookmarkStart w:id="0" w:name="_Toc3246_WPSOffice_Level2"/>
      <w:bookmarkStart w:id="1" w:name="_Toc14385"/>
      <w:r>
        <w:rPr>
          <w:rFonts w:hint="eastAsia" w:eastAsia="仿宋_GB2312"/>
          <w:sz w:val="32"/>
          <w:szCs w:val="32"/>
        </w:rPr>
        <w:t>，市控六参数监测站点</w:t>
      </w:r>
      <w:r>
        <w:rPr>
          <w:rFonts w:eastAsia="仿宋_GB2312"/>
          <w:sz w:val="32"/>
          <w:szCs w:val="32"/>
        </w:rPr>
        <w:t>2</w:t>
      </w:r>
      <w:r>
        <w:rPr>
          <w:rFonts w:hint="eastAsia" w:eastAsia="仿宋_GB2312"/>
          <w:sz w:val="32"/>
          <w:szCs w:val="32"/>
        </w:rPr>
        <w:t>个；</w:t>
      </w:r>
      <w:bookmarkEnd w:id="0"/>
      <w:bookmarkEnd w:id="1"/>
      <w:bookmarkStart w:id="2" w:name="_Toc4725_WPSOffice_Level2"/>
      <w:bookmarkStart w:id="3" w:name="_Toc10047"/>
      <w:r>
        <w:rPr>
          <w:rFonts w:hint="eastAsia" w:eastAsia="仿宋_GB2312"/>
          <w:sz w:val="32"/>
          <w:szCs w:val="32"/>
        </w:rPr>
        <w:t>沙尘天气影响环境空气质量监测</w:t>
      </w:r>
      <w:bookmarkEnd w:id="2"/>
      <w:bookmarkEnd w:id="3"/>
      <w:r>
        <w:rPr>
          <w:rFonts w:hint="eastAsia" w:eastAsia="仿宋_GB2312"/>
          <w:sz w:val="32"/>
          <w:szCs w:val="32"/>
        </w:rPr>
        <w:t>，使用当地国控</w:t>
      </w:r>
      <w:r>
        <w:rPr>
          <w:rFonts w:eastAsia="仿宋_GB2312"/>
          <w:sz w:val="32"/>
          <w:szCs w:val="32"/>
        </w:rPr>
        <w:t>/</w:t>
      </w:r>
      <w:r>
        <w:rPr>
          <w:rFonts w:hint="eastAsia" w:eastAsia="仿宋_GB2312"/>
          <w:sz w:val="32"/>
          <w:szCs w:val="32"/>
        </w:rPr>
        <w:t>区控城市环境空气质量自动监测站数据。</w:t>
      </w:r>
      <w:bookmarkStart w:id="4" w:name="_Toc25941_WPSOffice_Level2"/>
      <w:bookmarkStart w:id="5" w:name="_Toc30825"/>
      <w:r>
        <w:rPr>
          <w:rFonts w:hint="eastAsia" w:eastAsia="仿宋_GB2312"/>
          <w:sz w:val="32"/>
          <w:szCs w:val="32"/>
        </w:rPr>
        <w:t>降尘监测</w:t>
      </w:r>
      <w:bookmarkEnd w:id="4"/>
      <w:bookmarkEnd w:id="5"/>
      <w:r>
        <w:rPr>
          <w:rFonts w:hint="eastAsia" w:eastAsia="仿宋_GB2312"/>
          <w:sz w:val="32"/>
          <w:szCs w:val="32"/>
        </w:rPr>
        <w:t>全市</w:t>
      </w:r>
      <w:r>
        <w:rPr>
          <w:rFonts w:eastAsia="仿宋_GB2312"/>
          <w:sz w:val="32"/>
          <w:szCs w:val="32"/>
        </w:rPr>
        <w:t>4</w:t>
      </w:r>
      <w:r>
        <w:rPr>
          <w:rFonts w:hint="eastAsia" w:eastAsia="仿宋_GB2312"/>
          <w:sz w:val="32"/>
          <w:szCs w:val="32"/>
        </w:rPr>
        <w:t>个区共</w:t>
      </w:r>
      <w:r>
        <w:rPr>
          <w:rFonts w:eastAsia="仿宋_GB2312"/>
          <w:sz w:val="32"/>
          <w:szCs w:val="32"/>
        </w:rPr>
        <w:t>10</w:t>
      </w:r>
      <w:r>
        <w:rPr>
          <w:rFonts w:hint="eastAsia" w:eastAsia="仿宋_GB2312"/>
          <w:sz w:val="32"/>
          <w:szCs w:val="32"/>
        </w:rPr>
        <w:t>个监测点位</w:t>
      </w:r>
      <w:bookmarkStart w:id="6" w:name="_Toc10109"/>
      <w:bookmarkStart w:id="7" w:name="_Toc8044_WPSOffice_Level2"/>
      <w:r>
        <w:rPr>
          <w:rFonts w:hint="eastAsia" w:eastAsia="仿宋_GB2312"/>
          <w:sz w:val="32"/>
          <w:szCs w:val="32"/>
        </w:rPr>
        <w:t>；酸雨监测</w:t>
      </w:r>
      <w:bookmarkEnd w:id="6"/>
      <w:bookmarkEnd w:id="7"/>
      <w:r>
        <w:rPr>
          <w:rFonts w:eastAsia="仿宋_GB2312"/>
          <w:sz w:val="32"/>
          <w:szCs w:val="32"/>
        </w:rPr>
        <w:t>2</w:t>
      </w:r>
      <w:r>
        <w:rPr>
          <w:rFonts w:hint="eastAsia" w:eastAsia="仿宋_GB2312"/>
          <w:sz w:val="32"/>
          <w:szCs w:val="32"/>
        </w:rPr>
        <w:t>个监测点位。</w:t>
      </w:r>
    </w:p>
    <w:p w14:paraId="25474D0F">
      <w:pPr>
        <w:spacing w:line="560" w:lineRule="exact"/>
        <w:ind w:firstLine="640" w:firstLineChars="200"/>
        <w:rPr>
          <w:rFonts w:eastAsia="仿宋_GB2312"/>
          <w:sz w:val="32"/>
          <w:szCs w:val="32"/>
        </w:rPr>
      </w:pPr>
      <w:bookmarkStart w:id="8" w:name="_Toc32429"/>
      <w:r>
        <w:rPr>
          <w:rFonts w:hint="eastAsia" w:eastAsia="仿宋_GB2312"/>
          <w:sz w:val="32"/>
          <w:szCs w:val="32"/>
          <w:lang w:eastAsia="zh-CN"/>
        </w:rPr>
        <w:t>（</w:t>
      </w:r>
      <w:r>
        <w:rPr>
          <w:rFonts w:hint="eastAsia" w:eastAsia="仿宋_GB2312"/>
          <w:sz w:val="32"/>
          <w:szCs w:val="32"/>
          <w:lang w:val="en-US" w:eastAsia="zh-CN"/>
        </w:rPr>
        <w:t>2</w:t>
      </w:r>
      <w:r>
        <w:rPr>
          <w:rFonts w:hint="eastAsia" w:eastAsia="仿宋_GB2312"/>
          <w:sz w:val="32"/>
          <w:szCs w:val="32"/>
          <w:lang w:eastAsia="zh-CN"/>
        </w:rPr>
        <w:t>）</w:t>
      </w:r>
      <w:r>
        <w:rPr>
          <w:rFonts w:hint="eastAsia" w:eastAsia="仿宋_GB2312"/>
          <w:sz w:val="32"/>
          <w:szCs w:val="32"/>
        </w:rPr>
        <w:t>水环境质量监测</w:t>
      </w:r>
      <w:bookmarkEnd w:id="8"/>
      <w:bookmarkStart w:id="9" w:name="_Toc19952"/>
      <w:bookmarkStart w:id="10" w:name="_Toc509330189"/>
      <w:r>
        <w:rPr>
          <w:rFonts w:hint="eastAsia" w:eastAsia="仿宋_GB2312"/>
          <w:sz w:val="32"/>
          <w:szCs w:val="32"/>
        </w:rPr>
        <w:t>。地表水水质监测</w:t>
      </w:r>
      <w:bookmarkEnd w:id="9"/>
      <w:bookmarkEnd w:id="10"/>
      <w:r>
        <w:rPr>
          <w:rFonts w:hint="eastAsia" w:eastAsia="仿宋_GB2312"/>
          <w:sz w:val="32"/>
          <w:szCs w:val="32"/>
        </w:rPr>
        <w:t>断面</w:t>
      </w:r>
      <w:r>
        <w:rPr>
          <w:rFonts w:eastAsia="仿宋_GB2312"/>
          <w:sz w:val="32"/>
          <w:szCs w:val="32"/>
        </w:rPr>
        <w:t>12</w:t>
      </w:r>
      <w:r>
        <w:rPr>
          <w:rFonts w:hint="eastAsia" w:eastAsia="仿宋_GB2312"/>
          <w:sz w:val="32"/>
          <w:szCs w:val="32"/>
        </w:rPr>
        <w:t>个，其中国家考核采测分离监测断面</w:t>
      </w:r>
      <w:r>
        <w:rPr>
          <w:rFonts w:eastAsia="仿宋_GB2312"/>
          <w:sz w:val="32"/>
          <w:szCs w:val="32"/>
        </w:rPr>
        <w:t>2</w:t>
      </w:r>
      <w:r>
        <w:rPr>
          <w:rFonts w:hint="eastAsia" w:eastAsia="仿宋_GB2312"/>
          <w:sz w:val="32"/>
          <w:szCs w:val="32"/>
        </w:rPr>
        <w:t>个；</w:t>
      </w:r>
      <w:bookmarkStart w:id="11" w:name="_Toc217706202"/>
      <w:bookmarkStart w:id="12" w:name="_Toc509330190"/>
      <w:bookmarkStart w:id="13" w:name="_Toc4701"/>
      <w:bookmarkStart w:id="14" w:name="_Toc474227971"/>
      <w:r>
        <w:rPr>
          <w:rFonts w:hint="eastAsia" w:eastAsia="仿宋_GB2312"/>
          <w:sz w:val="32"/>
          <w:szCs w:val="32"/>
        </w:rPr>
        <w:t>集中式生活饮用水水源地水质监测</w:t>
      </w:r>
      <w:bookmarkEnd w:id="11"/>
      <w:bookmarkEnd w:id="12"/>
      <w:bookmarkEnd w:id="13"/>
      <w:bookmarkEnd w:id="14"/>
      <w:r>
        <w:rPr>
          <w:rFonts w:hint="eastAsia" w:eastAsia="仿宋_GB2312"/>
          <w:sz w:val="32"/>
          <w:szCs w:val="32"/>
        </w:rPr>
        <w:t>点位</w:t>
      </w:r>
      <w:r>
        <w:rPr>
          <w:rFonts w:eastAsia="仿宋_GB2312"/>
          <w:sz w:val="32"/>
          <w:szCs w:val="32"/>
        </w:rPr>
        <w:t>6</w:t>
      </w:r>
      <w:r>
        <w:rPr>
          <w:rFonts w:hint="eastAsia" w:eastAsia="仿宋_GB2312"/>
          <w:sz w:val="32"/>
          <w:szCs w:val="32"/>
        </w:rPr>
        <w:t>个</w:t>
      </w:r>
      <w:bookmarkStart w:id="15" w:name="_Toc27746"/>
      <w:r>
        <w:rPr>
          <w:rFonts w:hint="eastAsia" w:eastAsia="仿宋_GB2312"/>
          <w:sz w:val="32"/>
          <w:szCs w:val="32"/>
        </w:rPr>
        <w:t>；</w:t>
      </w:r>
      <w:bookmarkEnd w:id="15"/>
      <w:r>
        <w:rPr>
          <w:rFonts w:hint="eastAsia" w:eastAsia="仿宋_GB2312"/>
          <w:sz w:val="32"/>
          <w:szCs w:val="32"/>
        </w:rPr>
        <w:t>“十四五”国家地下水环境质量考核点位</w:t>
      </w:r>
      <w:r>
        <w:rPr>
          <w:rFonts w:eastAsia="仿宋_GB2312"/>
          <w:sz w:val="32"/>
          <w:szCs w:val="32"/>
        </w:rPr>
        <w:t>3</w:t>
      </w:r>
      <w:r>
        <w:rPr>
          <w:rFonts w:hint="eastAsia" w:eastAsia="仿宋_GB2312"/>
          <w:sz w:val="32"/>
          <w:szCs w:val="32"/>
        </w:rPr>
        <w:t>个。</w:t>
      </w:r>
    </w:p>
    <w:p w14:paraId="4FCB5B2A">
      <w:pPr>
        <w:spacing w:line="560" w:lineRule="exact"/>
        <w:ind w:firstLine="640" w:firstLineChars="200"/>
        <w:rPr>
          <w:rFonts w:eastAsia="仿宋_GB2312"/>
          <w:sz w:val="32"/>
          <w:szCs w:val="32"/>
        </w:rPr>
      </w:pPr>
      <w:bookmarkStart w:id="16" w:name="_Toc17677"/>
      <w:bookmarkStart w:id="17" w:name="_Toc16953_WPSOffice_Level1"/>
      <w:bookmarkStart w:id="18" w:name="_Toc509330199"/>
      <w:bookmarkStart w:id="19" w:name="_Toc30953"/>
      <w:r>
        <w:rPr>
          <w:rFonts w:hint="eastAsia" w:eastAsia="仿宋_GB2312"/>
          <w:sz w:val="32"/>
          <w:szCs w:val="32"/>
          <w:lang w:eastAsia="zh-CN"/>
        </w:rPr>
        <w:t>（</w:t>
      </w:r>
      <w:r>
        <w:rPr>
          <w:rFonts w:hint="eastAsia" w:eastAsia="仿宋_GB2312"/>
          <w:sz w:val="32"/>
          <w:szCs w:val="32"/>
          <w:lang w:val="en-US" w:eastAsia="zh-CN"/>
        </w:rPr>
        <w:t>3</w:t>
      </w:r>
      <w:r>
        <w:rPr>
          <w:rFonts w:hint="eastAsia" w:eastAsia="仿宋_GB2312"/>
          <w:sz w:val="32"/>
          <w:szCs w:val="32"/>
          <w:lang w:eastAsia="zh-CN"/>
        </w:rPr>
        <w:t>）</w:t>
      </w:r>
      <w:r>
        <w:rPr>
          <w:rFonts w:hint="eastAsia" w:eastAsia="仿宋_GB2312"/>
          <w:sz w:val="32"/>
          <w:szCs w:val="32"/>
        </w:rPr>
        <w:t>土壤环境质量监测</w:t>
      </w:r>
      <w:bookmarkEnd w:id="16"/>
      <w:bookmarkEnd w:id="17"/>
      <w:r>
        <w:rPr>
          <w:rFonts w:hint="eastAsia" w:eastAsia="仿宋_GB2312"/>
          <w:sz w:val="32"/>
          <w:szCs w:val="32"/>
        </w:rPr>
        <w:t>。监测点位依据国家土壤环境质量监测方案确定。</w:t>
      </w:r>
    </w:p>
    <w:bookmarkEnd w:id="18"/>
    <w:p w14:paraId="1BE55B55">
      <w:pPr>
        <w:spacing w:line="560" w:lineRule="exact"/>
        <w:ind w:firstLine="640" w:firstLineChars="200"/>
        <w:rPr>
          <w:rFonts w:eastAsia="仿宋_GB2312"/>
          <w:sz w:val="32"/>
          <w:szCs w:val="32"/>
        </w:rPr>
      </w:pPr>
      <w:bookmarkStart w:id="20" w:name="_Toc2794"/>
      <w:r>
        <w:rPr>
          <w:rFonts w:hint="eastAsia" w:eastAsia="仿宋_GB2312"/>
          <w:sz w:val="32"/>
          <w:szCs w:val="32"/>
          <w:lang w:eastAsia="zh-CN"/>
        </w:rPr>
        <w:t>（</w:t>
      </w:r>
      <w:r>
        <w:rPr>
          <w:rFonts w:hint="eastAsia" w:eastAsia="仿宋_GB2312"/>
          <w:sz w:val="32"/>
          <w:szCs w:val="32"/>
          <w:lang w:val="en-US" w:eastAsia="zh-CN"/>
        </w:rPr>
        <w:t>4</w:t>
      </w:r>
      <w:r>
        <w:rPr>
          <w:rFonts w:hint="eastAsia" w:eastAsia="仿宋_GB2312"/>
          <w:sz w:val="32"/>
          <w:szCs w:val="32"/>
          <w:lang w:eastAsia="zh-CN"/>
        </w:rPr>
        <w:t>）</w:t>
      </w:r>
      <w:r>
        <w:rPr>
          <w:rFonts w:hint="eastAsia" w:eastAsia="仿宋_GB2312"/>
          <w:sz w:val="32"/>
          <w:szCs w:val="32"/>
        </w:rPr>
        <w:t>声环境质量监测</w:t>
      </w:r>
      <w:bookmarkEnd w:id="19"/>
      <w:bookmarkEnd w:id="20"/>
      <w:r>
        <w:rPr>
          <w:rFonts w:hint="eastAsia" w:eastAsia="仿宋_GB2312"/>
          <w:sz w:val="32"/>
          <w:szCs w:val="32"/>
        </w:rPr>
        <w:t>。全市</w:t>
      </w:r>
      <w:r>
        <w:rPr>
          <w:rFonts w:eastAsia="仿宋_GB2312"/>
          <w:sz w:val="32"/>
          <w:szCs w:val="32"/>
        </w:rPr>
        <w:t>4</w:t>
      </w:r>
      <w:r>
        <w:rPr>
          <w:rFonts w:hint="eastAsia" w:eastAsia="仿宋_GB2312"/>
          <w:sz w:val="32"/>
          <w:szCs w:val="32"/>
        </w:rPr>
        <w:t>个区，包括城市区域噪声监测点位</w:t>
      </w:r>
      <w:r>
        <w:rPr>
          <w:rFonts w:eastAsia="仿宋_GB2312"/>
          <w:sz w:val="32"/>
          <w:szCs w:val="32"/>
        </w:rPr>
        <w:t>117</w:t>
      </w:r>
      <w:r>
        <w:rPr>
          <w:rFonts w:hint="eastAsia" w:eastAsia="仿宋_GB2312"/>
          <w:sz w:val="32"/>
          <w:szCs w:val="32"/>
        </w:rPr>
        <w:t>个、环境功能区噪声监测点位</w:t>
      </w:r>
      <w:r>
        <w:rPr>
          <w:rFonts w:eastAsia="仿宋_GB2312"/>
          <w:sz w:val="32"/>
          <w:szCs w:val="32"/>
        </w:rPr>
        <w:t>16</w:t>
      </w:r>
      <w:r>
        <w:rPr>
          <w:rFonts w:hint="eastAsia" w:eastAsia="仿宋_GB2312"/>
          <w:sz w:val="32"/>
          <w:szCs w:val="32"/>
        </w:rPr>
        <w:t>个、道路交通干线噪声监测</w:t>
      </w:r>
      <w:r>
        <w:rPr>
          <w:rFonts w:eastAsia="仿宋_GB2312"/>
          <w:sz w:val="32"/>
          <w:szCs w:val="32"/>
        </w:rPr>
        <w:t>40</w:t>
      </w:r>
      <w:r>
        <w:rPr>
          <w:rFonts w:hint="eastAsia" w:eastAsia="仿宋_GB2312"/>
          <w:sz w:val="32"/>
          <w:szCs w:val="32"/>
        </w:rPr>
        <w:t>个点位。</w:t>
      </w:r>
    </w:p>
    <w:p w14:paraId="5C88DE6E">
      <w:pPr>
        <w:spacing w:line="560" w:lineRule="exact"/>
        <w:ind w:firstLine="640" w:firstLineChars="200"/>
        <w:rPr>
          <w:rFonts w:eastAsia="仿宋_GB2312"/>
          <w:sz w:val="32"/>
          <w:szCs w:val="32"/>
        </w:rPr>
      </w:pPr>
      <w:bookmarkStart w:id="21" w:name="_Toc919"/>
      <w:r>
        <w:rPr>
          <w:rFonts w:hint="eastAsia" w:eastAsia="仿宋_GB2312"/>
          <w:sz w:val="32"/>
          <w:szCs w:val="32"/>
          <w:lang w:eastAsia="zh-CN"/>
        </w:rPr>
        <w:t>（</w:t>
      </w:r>
      <w:r>
        <w:rPr>
          <w:rFonts w:hint="eastAsia" w:eastAsia="仿宋_GB2312"/>
          <w:sz w:val="32"/>
          <w:szCs w:val="32"/>
          <w:lang w:val="en-US" w:eastAsia="zh-CN"/>
        </w:rPr>
        <w:t>5</w:t>
      </w:r>
      <w:r>
        <w:rPr>
          <w:rFonts w:hint="eastAsia" w:eastAsia="仿宋_GB2312"/>
          <w:sz w:val="32"/>
          <w:szCs w:val="32"/>
          <w:lang w:eastAsia="zh-CN"/>
        </w:rPr>
        <w:t>）</w:t>
      </w:r>
      <w:r>
        <w:rPr>
          <w:rFonts w:hint="eastAsia" w:eastAsia="仿宋_GB2312"/>
          <w:sz w:val="32"/>
          <w:szCs w:val="32"/>
        </w:rPr>
        <w:t>生态环境监测</w:t>
      </w:r>
      <w:bookmarkEnd w:id="21"/>
      <w:bookmarkStart w:id="22" w:name="_Toc7448"/>
      <w:bookmarkStart w:id="23" w:name="_Toc17932"/>
      <w:bookmarkStart w:id="24" w:name="_Toc5322"/>
      <w:r>
        <w:rPr>
          <w:rFonts w:hint="eastAsia" w:eastAsia="仿宋_GB2312"/>
          <w:sz w:val="32"/>
          <w:szCs w:val="32"/>
        </w:rPr>
        <w:t>。生态状况监测</w:t>
      </w:r>
      <w:bookmarkEnd w:id="22"/>
      <w:bookmarkEnd w:id="23"/>
      <w:bookmarkEnd w:id="24"/>
      <w:bookmarkStart w:id="25" w:name="_Toc20182"/>
      <w:bookmarkStart w:id="26" w:name="_Toc509330204"/>
      <w:bookmarkStart w:id="27" w:name="_Toc15596"/>
      <w:bookmarkStart w:id="28" w:name="_Toc3520"/>
      <w:r>
        <w:rPr>
          <w:rFonts w:hint="eastAsia" w:eastAsia="仿宋_GB2312"/>
          <w:sz w:val="32"/>
          <w:szCs w:val="32"/>
        </w:rPr>
        <w:t>克拉玛依市辖区范围</w:t>
      </w:r>
      <w:r>
        <w:rPr>
          <w:rFonts w:eastAsia="仿宋_GB2312"/>
          <w:sz w:val="32"/>
          <w:szCs w:val="32"/>
        </w:rPr>
        <w:t>9</w:t>
      </w:r>
      <w:r>
        <w:rPr>
          <w:rFonts w:hint="eastAsia" w:eastAsia="仿宋_GB2312"/>
          <w:sz w:val="32"/>
          <w:szCs w:val="32"/>
        </w:rPr>
        <w:t>个点位</w:t>
      </w:r>
      <w:bookmarkStart w:id="29" w:name="_Toc15688"/>
      <w:r>
        <w:rPr>
          <w:rFonts w:hint="eastAsia" w:eastAsia="仿宋_GB2312"/>
          <w:sz w:val="32"/>
          <w:szCs w:val="32"/>
        </w:rPr>
        <w:t>（断面）；</w:t>
      </w:r>
      <w:bookmarkEnd w:id="29"/>
      <w:bookmarkStart w:id="30" w:name="_Toc19537"/>
      <w:bookmarkStart w:id="31" w:name="_Toc373508194"/>
      <w:r>
        <w:rPr>
          <w:rFonts w:hint="eastAsia" w:eastAsia="仿宋_GB2312"/>
          <w:sz w:val="32"/>
          <w:szCs w:val="32"/>
        </w:rPr>
        <w:t>农村环境质量监测</w:t>
      </w:r>
      <w:bookmarkEnd w:id="30"/>
      <w:bookmarkEnd w:id="31"/>
      <w:r>
        <w:rPr>
          <w:rFonts w:eastAsia="仿宋_GB2312"/>
          <w:sz w:val="32"/>
          <w:szCs w:val="32"/>
        </w:rPr>
        <w:t>1</w:t>
      </w:r>
      <w:r>
        <w:rPr>
          <w:rFonts w:hint="eastAsia" w:eastAsia="仿宋_GB2312"/>
          <w:sz w:val="32"/>
          <w:szCs w:val="32"/>
        </w:rPr>
        <w:t>个重点监控村庄、</w:t>
      </w:r>
      <w:r>
        <w:rPr>
          <w:rFonts w:eastAsia="仿宋_GB2312"/>
          <w:sz w:val="32"/>
          <w:szCs w:val="32"/>
        </w:rPr>
        <w:t>1</w:t>
      </w:r>
      <w:r>
        <w:rPr>
          <w:rFonts w:hint="eastAsia" w:eastAsia="仿宋_GB2312"/>
          <w:sz w:val="32"/>
          <w:szCs w:val="32"/>
        </w:rPr>
        <w:t>个一般监控村庄</w:t>
      </w:r>
      <w:bookmarkStart w:id="32" w:name="_Toc31001"/>
      <w:bookmarkStart w:id="33" w:name="_Toc23599"/>
      <w:r>
        <w:rPr>
          <w:rFonts w:hint="eastAsia" w:eastAsia="仿宋_GB2312"/>
          <w:sz w:val="32"/>
          <w:szCs w:val="32"/>
        </w:rPr>
        <w:t>（其中农村生态环境空气</w:t>
      </w:r>
      <w:r>
        <w:rPr>
          <w:rFonts w:eastAsia="仿宋_GB2312"/>
          <w:sz w:val="32"/>
          <w:szCs w:val="32"/>
        </w:rPr>
        <w:t>2</w:t>
      </w:r>
      <w:r>
        <w:rPr>
          <w:rFonts w:hint="eastAsia" w:eastAsia="仿宋_GB2312"/>
          <w:sz w:val="32"/>
          <w:szCs w:val="32"/>
        </w:rPr>
        <w:t>个监测点位、农村地表水水质</w:t>
      </w:r>
      <w:r>
        <w:rPr>
          <w:rFonts w:eastAsia="仿宋_GB2312"/>
          <w:sz w:val="32"/>
          <w:szCs w:val="32"/>
        </w:rPr>
        <w:t>3</w:t>
      </w:r>
      <w:r>
        <w:rPr>
          <w:rFonts w:hint="eastAsia" w:eastAsia="仿宋_GB2312"/>
          <w:sz w:val="32"/>
          <w:szCs w:val="32"/>
        </w:rPr>
        <w:t>个监测断面）；</w:t>
      </w:r>
      <w:bookmarkEnd w:id="32"/>
      <w:bookmarkEnd w:id="33"/>
      <w:bookmarkStart w:id="34" w:name="_Toc17174"/>
      <w:bookmarkStart w:id="35" w:name="_Toc31362"/>
      <w:bookmarkStart w:id="36" w:name="_Toc16765"/>
      <w:r>
        <w:rPr>
          <w:rFonts w:hint="eastAsia" w:eastAsia="仿宋_GB2312"/>
          <w:sz w:val="32"/>
          <w:szCs w:val="32"/>
        </w:rPr>
        <w:t>农田灌溉水质监测</w:t>
      </w:r>
      <w:bookmarkEnd w:id="34"/>
      <w:bookmarkEnd w:id="35"/>
      <w:bookmarkEnd w:id="36"/>
      <w:r>
        <w:rPr>
          <w:rFonts w:hint="eastAsia" w:eastAsia="仿宋_GB2312"/>
          <w:sz w:val="32"/>
          <w:szCs w:val="32"/>
        </w:rPr>
        <w:t>灌溉规模在</w:t>
      </w:r>
      <w:r>
        <w:rPr>
          <w:rFonts w:eastAsia="仿宋_GB2312"/>
          <w:sz w:val="32"/>
          <w:szCs w:val="32"/>
        </w:rPr>
        <w:t>10</w:t>
      </w:r>
      <w:r>
        <w:rPr>
          <w:rFonts w:hint="eastAsia" w:eastAsia="仿宋_GB2312"/>
          <w:sz w:val="32"/>
          <w:szCs w:val="32"/>
        </w:rPr>
        <w:t>万亩及以上的</w:t>
      </w:r>
      <w:r>
        <w:rPr>
          <w:rFonts w:eastAsia="仿宋_GB2312"/>
          <w:sz w:val="32"/>
          <w:szCs w:val="32"/>
        </w:rPr>
        <w:t>1</w:t>
      </w:r>
      <w:r>
        <w:rPr>
          <w:rFonts w:hint="eastAsia" w:eastAsia="仿宋_GB2312"/>
          <w:sz w:val="32"/>
          <w:szCs w:val="32"/>
        </w:rPr>
        <w:t>个农田灌区</w:t>
      </w:r>
      <w:bookmarkStart w:id="37" w:name="_Toc6441"/>
      <w:r>
        <w:rPr>
          <w:rFonts w:hint="eastAsia" w:eastAsia="仿宋_GB2312"/>
          <w:sz w:val="32"/>
          <w:szCs w:val="32"/>
        </w:rPr>
        <w:t>；设计日处理能力</w:t>
      </w:r>
      <w:r>
        <w:rPr>
          <w:rFonts w:eastAsia="仿宋_GB2312"/>
          <w:sz w:val="32"/>
          <w:szCs w:val="32"/>
        </w:rPr>
        <w:t>20</w:t>
      </w:r>
      <w:r>
        <w:rPr>
          <w:rFonts w:hint="eastAsia" w:eastAsia="仿宋_GB2312"/>
          <w:sz w:val="32"/>
          <w:szCs w:val="32"/>
        </w:rPr>
        <w:t>吨生活污水处理设施出水水质监测</w:t>
      </w:r>
      <w:bookmarkEnd w:id="37"/>
      <w:r>
        <w:rPr>
          <w:rFonts w:eastAsia="仿宋_GB2312"/>
          <w:sz w:val="32"/>
          <w:szCs w:val="32"/>
        </w:rPr>
        <w:t>3</w:t>
      </w:r>
      <w:r>
        <w:rPr>
          <w:rFonts w:hint="eastAsia" w:eastAsia="仿宋_GB2312"/>
          <w:sz w:val="32"/>
          <w:szCs w:val="32"/>
        </w:rPr>
        <w:t>个农村生活污水处理设施。</w:t>
      </w:r>
    </w:p>
    <w:bookmarkEnd w:id="25"/>
    <w:bookmarkEnd w:id="26"/>
    <w:bookmarkEnd w:id="27"/>
    <w:bookmarkEnd w:id="28"/>
    <w:p w14:paraId="043D6730">
      <w:pPr>
        <w:spacing w:line="560" w:lineRule="exact"/>
        <w:ind w:firstLine="640" w:firstLineChars="200"/>
        <w:rPr>
          <w:rFonts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6</w:t>
      </w:r>
      <w:r>
        <w:rPr>
          <w:rFonts w:hint="eastAsia" w:eastAsia="仿宋_GB2312"/>
          <w:sz w:val="32"/>
          <w:szCs w:val="32"/>
          <w:lang w:eastAsia="zh-CN"/>
        </w:rPr>
        <w:t>）</w:t>
      </w:r>
      <w:r>
        <w:rPr>
          <w:rFonts w:hint="eastAsia" w:eastAsia="仿宋_GB2312"/>
          <w:sz w:val="32"/>
          <w:szCs w:val="32"/>
        </w:rPr>
        <w:t>辐射环境质量监测。全市有辐射环境空气自动监测站</w:t>
      </w:r>
      <w:r>
        <w:rPr>
          <w:rFonts w:eastAsia="仿宋_GB2312"/>
          <w:sz w:val="32"/>
          <w:szCs w:val="32"/>
        </w:rPr>
        <w:t>1</w:t>
      </w:r>
      <w:r>
        <w:rPr>
          <w:rFonts w:hint="eastAsia" w:eastAsia="仿宋_GB2312"/>
          <w:sz w:val="32"/>
          <w:szCs w:val="32"/>
        </w:rPr>
        <w:t>个，为准噶尔路基本站，每月</w:t>
      </w:r>
      <w:bookmarkStart w:id="38" w:name="_Toc23670"/>
      <w:bookmarkStart w:id="39" w:name="_Toc30758"/>
      <w:bookmarkStart w:id="40" w:name="_Toc30558"/>
      <w:r>
        <w:rPr>
          <w:rFonts w:hint="eastAsia" w:eastAsia="仿宋_GB2312"/>
          <w:sz w:val="32"/>
          <w:szCs w:val="32"/>
        </w:rPr>
        <w:t>对该辐射站点开展巡检工作。</w:t>
      </w:r>
    </w:p>
    <w:p w14:paraId="2F67138D">
      <w:pPr>
        <w:spacing w:line="560" w:lineRule="exact"/>
        <w:ind w:firstLine="640" w:firstLineChars="200"/>
        <w:rPr>
          <w:rFonts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7</w:t>
      </w:r>
      <w:r>
        <w:rPr>
          <w:rFonts w:hint="eastAsia" w:eastAsia="仿宋_GB2312"/>
          <w:sz w:val="32"/>
          <w:szCs w:val="32"/>
          <w:lang w:eastAsia="zh-CN"/>
        </w:rPr>
        <w:t>）</w:t>
      </w:r>
      <w:r>
        <w:rPr>
          <w:rFonts w:hint="eastAsia" w:eastAsia="仿宋_GB2312"/>
          <w:sz w:val="32"/>
          <w:szCs w:val="32"/>
        </w:rPr>
        <w:t>污染源监测</w:t>
      </w:r>
      <w:bookmarkEnd w:id="38"/>
      <w:bookmarkEnd w:id="39"/>
      <w:bookmarkEnd w:id="40"/>
      <w:r>
        <w:rPr>
          <w:rFonts w:hint="eastAsia" w:eastAsia="仿宋_GB2312"/>
          <w:sz w:val="32"/>
          <w:szCs w:val="32"/>
        </w:rPr>
        <w:t>及应急监测。根据《自治区关于深入打好污染防治攻坚战的实施方案》《自治区“十四五”生态环境监测规划》《自治区生态环境监测工作要点》《自治区生态环境监测方案》相关要求，支持驻地行政区域内生态环境保护执法监测和生态环境应急监测。</w:t>
      </w:r>
    </w:p>
    <w:p w14:paraId="281CE6FA">
      <w:pPr>
        <w:spacing w:line="560" w:lineRule="exact"/>
        <w:ind w:firstLine="640" w:firstLineChars="200"/>
        <w:rPr>
          <w:rFonts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8</w:t>
      </w:r>
      <w:r>
        <w:rPr>
          <w:rFonts w:hint="eastAsia" w:eastAsia="仿宋_GB2312"/>
          <w:sz w:val="32"/>
          <w:szCs w:val="32"/>
          <w:lang w:eastAsia="zh-CN"/>
        </w:rPr>
        <w:t>）</w:t>
      </w:r>
      <w:r>
        <w:rPr>
          <w:rFonts w:hint="eastAsia" w:eastAsia="仿宋_GB2312"/>
          <w:sz w:val="32"/>
          <w:szCs w:val="32"/>
        </w:rPr>
        <w:t>环境质量报告编制及基础能力信息更新。定期编制克拉玛依市环境空气质量日报、月报、通报，沙尘天气简报；污染源监测年报；水环境监测月度分析；克拉玛依市生态环境质量报告书（每年）；水环境、声环境、污染源监测数据定期录入自治区、国家数据平台。</w:t>
      </w:r>
    </w:p>
    <w:p w14:paraId="0DCB288A">
      <w:pPr>
        <w:spacing w:line="560" w:lineRule="exact"/>
        <w:ind w:firstLine="640" w:firstLineChars="200"/>
        <w:rPr>
          <w:rFonts w:eastAsia="仿宋_GB2312"/>
          <w:sz w:val="32"/>
          <w:szCs w:val="32"/>
        </w:rPr>
      </w:pPr>
      <w:bookmarkStart w:id="41" w:name="_Toc66704523"/>
      <w:bookmarkStart w:id="42" w:name="_Toc19867"/>
      <w:bookmarkStart w:id="43" w:name="_Toc96509242"/>
      <w:r>
        <w:rPr>
          <w:rFonts w:hint="eastAsia" w:eastAsia="仿宋_GB2312"/>
          <w:sz w:val="32"/>
          <w:szCs w:val="32"/>
          <w:lang w:eastAsia="zh-CN"/>
        </w:rPr>
        <w:t>（</w:t>
      </w:r>
      <w:r>
        <w:rPr>
          <w:rFonts w:hint="eastAsia" w:eastAsia="仿宋_GB2312"/>
          <w:sz w:val="32"/>
          <w:szCs w:val="32"/>
          <w:lang w:val="en-US" w:eastAsia="zh-CN"/>
        </w:rPr>
        <w:t>9</w:t>
      </w:r>
      <w:r>
        <w:rPr>
          <w:rFonts w:hint="eastAsia" w:eastAsia="仿宋_GB2312"/>
          <w:sz w:val="32"/>
          <w:szCs w:val="32"/>
          <w:lang w:eastAsia="zh-CN"/>
        </w:rPr>
        <w:t>）</w:t>
      </w:r>
      <w:r>
        <w:rPr>
          <w:rFonts w:hint="eastAsia" w:eastAsia="仿宋_GB2312"/>
          <w:sz w:val="32"/>
          <w:szCs w:val="32"/>
        </w:rPr>
        <w:t>实验室资质认定、能力验证及上岗证考核</w:t>
      </w:r>
      <w:bookmarkEnd w:id="41"/>
      <w:bookmarkEnd w:id="42"/>
      <w:bookmarkEnd w:id="43"/>
      <w:r>
        <w:rPr>
          <w:rFonts w:hint="eastAsia" w:eastAsia="仿宋_GB2312"/>
          <w:sz w:val="32"/>
          <w:szCs w:val="32"/>
        </w:rPr>
        <w:t>。参加由中国环境监测总站、国家认监委组织的实验室能力考核，以及自治区生态环境厅组织的上岗证考核，促进本站监测能力和技术水平的提升，促进质量管理体系有效提升和持续改进，并根据《实验室资质认定评审准则》的要求，开展实验室资质认定复审及扩项工作。</w:t>
      </w:r>
    </w:p>
    <w:p w14:paraId="3217F5DF">
      <w:pPr>
        <w:spacing w:line="560" w:lineRule="exact"/>
        <w:ind w:firstLine="640" w:firstLineChars="200"/>
        <w:rPr>
          <w:rFonts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10</w:t>
      </w:r>
      <w:r>
        <w:rPr>
          <w:rFonts w:hint="eastAsia" w:eastAsia="仿宋_GB2312"/>
          <w:sz w:val="32"/>
          <w:szCs w:val="32"/>
          <w:lang w:eastAsia="zh-CN"/>
        </w:rPr>
        <w:t>）</w:t>
      </w:r>
      <w:r>
        <w:rPr>
          <w:rFonts w:hint="eastAsia" w:eastAsia="仿宋_GB2312"/>
          <w:sz w:val="32"/>
          <w:szCs w:val="32"/>
        </w:rPr>
        <w:t>环境监测质量控制与质量监督。配合市生态环境局开展生态环境监测机构“双随机、一公开”监督抽查工作，规范监测机构行为，不断提升监测技术人员能力水平。进一步理顺各区生态环境监测机构三级环境监测质控体系运行机制，充分发挥各级监测部门质控作用，强化生态环境监测活动全要素全过程质量控制。</w:t>
      </w:r>
    </w:p>
    <w:p w14:paraId="64B6857F">
      <w:pPr>
        <w:spacing w:line="560" w:lineRule="exact"/>
        <w:ind w:firstLine="640" w:firstLineChars="200"/>
        <w:rPr>
          <w:highlight w:val="yellow"/>
        </w:rPr>
      </w:pPr>
      <w:r>
        <w:rPr>
          <w:rFonts w:eastAsia="仿宋_GB2312"/>
          <w:sz w:val="32"/>
          <w:szCs w:val="32"/>
        </w:rPr>
        <w:t>项目实施情况：</w:t>
      </w:r>
      <w:r>
        <w:rPr>
          <w:rFonts w:eastAsia="仿宋_GB2312"/>
          <w:sz w:val="32"/>
          <w:szCs w:val="32"/>
          <w:highlight w:val="none"/>
        </w:rPr>
        <w:t>项目目前已经完成实际设立的目标，项目在实施过程中严格按照目标设立的各阶段任务进行开展工作，在前期立项过程中严格把质量关，建立安全防护机制，保证项目实施各阶段安全顺利进行。</w:t>
      </w:r>
    </w:p>
    <w:p w14:paraId="65E15A73">
      <w:pPr>
        <w:spacing w:line="560" w:lineRule="exact"/>
        <w:ind w:firstLine="640" w:firstLineChars="200"/>
        <w:rPr>
          <w:rFonts w:eastAsia="仿宋_GB2312"/>
          <w:sz w:val="32"/>
          <w:szCs w:val="32"/>
          <w:highlight w:val="none"/>
        </w:rPr>
      </w:pPr>
      <w:r>
        <w:rPr>
          <w:rFonts w:eastAsia="仿宋_GB2312"/>
          <w:sz w:val="32"/>
          <w:szCs w:val="32"/>
          <w:highlight w:val="none"/>
        </w:rPr>
        <w:t>本项目总投资</w:t>
      </w:r>
      <w:r>
        <w:rPr>
          <w:rFonts w:hint="eastAsia" w:eastAsia="仿宋_GB2312"/>
          <w:sz w:val="32"/>
          <w:szCs w:val="32"/>
          <w:highlight w:val="none"/>
          <w:lang w:val="en-US" w:eastAsia="zh-CN"/>
        </w:rPr>
        <w:t>152.50</w:t>
      </w:r>
      <w:r>
        <w:rPr>
          <w:rFonts w:eastAsia="仿宋_GB2312"/>
          <w:sz w:val="32"/>
          <w:szCs w:val="32"/>
          <w:highlight w:val="none"/>
        </w:rPr>
        <w:t>万元，其中：财政本级资金</w:t>
      </w:r>
      <w:r>
        <w:rPr>
          <w:rFonts w:hint="eastAsia" w:eastAsia="仿宋_GB2312"/>
          <w:sz w:val="32"/>
          <w:szCs w:val="32"/>
          <w:highlight w:val="none"/>
          <w:lang w:val="en-US" w:eastAsia="zh-CN"/>
        </w:rPr>
        <w:t>152.50</w:t>
      </w:r>
      <w:r>
        <w:rPr>
          <w:rFonts w:eastAsia="仿宋_GB2312"/>
          <w:sz w:val="32"/>
          <w:szCs w:val="32"/>
          <w:highlight w:val="none"/>
        </w:rPr>
        <w:t>万元。项目实际支出</w:t>
      </w:r>
      <w:r>
        <w:rPr>
          <w:rFonts w:hint="eastAsia" w:eastAsia="仿宋_GB2312"/>
          <w:sz w:val="32"/>
          <w:szCs w:val="32"/>
          <w:highlight w:val="none"/>
          <w:lang w:val="en-US" w:eastAsia="zh-CN"/>
        </w:rPr>
        <w:t>150.73</w:t>
      </w:r>
      <w:r>
        <w:rPr>
          <w:rFonts w:eastAsia="仿宋_GB2312"/>
          <w:sz w:val="32"/>
          <w:szCs w:val="32"/>
          <w:highlight w:val="none"/>
        </w:rPr>
        <w:t>万元，支出率为</w:t>
      </w:r>
      <w:r>
        <w:rPr>
          <w:rFonts w:hint="eastAsia" w:eastAsia="仿宋_GB2312"/>
          <w:sz w:val="32"/>
          <w:szCs w:val="32"/>
          <w:highlight w:val="none"/>
          <w:lang w:val="en-US" w:eastAsia="zh-CN"/>
        </w:rPr>
        <w:t>98.8</w:t>
      </w:r>
      <w:r>
        <w:rPr>
          <w:rFonts w:eastAsia="仿宋_GB2312"/>
          <w:sz w:val="32"/>
          <w:szCs w:val="32"/>
          <w:highlight w:val="none"/>
        </w:rPr>
        <w:t>%。</w:t>
      </w:r>
    </w:p>
    <w:p w14:paraId="758F2CE8">
      <w:pPr>
        <w:spacing w:line="560" w:lineRule="exact"/>
        <w:ind w:firstLine="640" w:firstLineChars="200"/>
        <w:rPr>
          <w:rFonts w:eastAsia="仿宋_GB2312"/>
          <w:b w:val="0"/>
          <w:bCs w:val="0"/>
          <w:sz w:val="32"/>
          <w:szCs w:val="32"/>
        </w:rPr>
      </w:pPr>
      <w:r>
        <w:rPr>
          <w:rFonts w:eastAsia="仿宋_GB2312"/>
          <w:b w:val="0"/>
          <w:bCs w:val="0"/>
          <w:sz w:val="32"/>
          <w:szCs w:val="32"/>
        </w:rPr>
        <w:t>3</w:t>
      </w:r>
      <w:r>
        <w:rPr>
          <w:rFonts w:hint="eastAsia" w:eastAsia="仿宋_GB2312"/>
          <w:b w:val="0"/>
          <w:bCs w:val="0"/>
          <w:sz w:val="32"/>
          <w:szCs w:val="32"/>
          <w:lang w:eastAsia="zh-CN"/>
        </w:rPr>
        <w:t>.</w:t>
      </w:r>
      <w:r>
        <w:rPr>
          <w:rFonts w:eastAsia="仿宋_GB2312"/>
          <w:b w:val="0"/>
          <w:bCs w:val="0"/>
          <w:sz w:val="32"/>
          <w:szCs w:val="32"/>
        </w:rPr>
        <w:t>资金投入和使用情况</w:t>
      </w:r>
    </w:p>
    <w:p w14:paraId="075A6CB5">
      <w:pPr>
        <w:spacing w:line="560" w:lineRule="exact"/>
        <w:ind w:firstLine="640" w:firstLineChars="200"/>
        <w:rPr>
          <w:rFonts w:eastAsia="仿宋_GB2312"/>
          <w:sz w:val="20"/>
          <w:szCs w:val="20"/>
        </w:rPr>
      </w:pPr>
      <w:r>
        <w:rPr>
          <w:rFonts w:eastAsia="仿宋_GB2312"/>
          <w:sz w:val="32"/>
          <w:szCs w:val="32"/>
        </w:rPr>
        <w:t>（1）资金安排</w:t>
      </w:r>
    </w:p>
    <w:p w14:paraId="5725DEE2">
      <w:pPr>
        <w:spacing w:line="56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highlight w:val="none"/>
          <w:lang w:val="en-US" w:eastAsia="zh-CN"/>
        </w:rPr>
        <w:t>152.50</w:t>
      </w:r>
      <w:r>
        <w:rPr>
          <w:rFonts w:eastAsia="仿宋_GB2312"/>
          <w:sz w:val="32"/>
          <w:szCs w:val="32"/>
        </w:rPr>
        <w:t>万元，按照单位财务制度等相关规定，资金支出符合</w:t>
      </w:r>
      <w:r>
        <w:rPr>
          <w:rFonts w:hint="eastAsia" w:eastAsia="仿宋_GB2312"/>
          <w:sz w:val="32"/>
          <w:szCs w:val="32"/>
        </w:rPr>
        <w:t>2023年克拉玛依生态环境质量监测</w:t>
      </w:r>
      <w:r>
        <w:rPr>
          <w:rFonts w:eastAsia="仿宋_GB2312"/>
          <w:sz w:val="32"/>
          <w:szCs w:val="32"/>
        </w:rPr>
        <w:t>专项资金费用范围，做到了专款专用。在项目资金拨付和使用过程中，为确保项目资金的安全性，提高项目资金使用效率，严格遵循</w:t>
      </w:r>
      <w:r>
        <w:rPr>
          <w:rFonts w:hint="eastAsia" w:eastAsia="仿宋_GB2312"/>
          <w:sz w:val="32"/>
          <w:szCs w:val="32"/>
          <w:highlight w:val="none"/>
          <w:lang w:eastAsia="zh-CN"/>
        </w:rPr>
        <w:t>自治区本级财政</w:t>
      </w:r>
      <w:r>
        <w:rPr>
          <w:rFonts w:eastAsia="仿宋_GB2312"/>
          <w:sz w:val="32"/>
          <w:szCs w:val="32"/>
        </w:rPr>
        <w:t>资金的拨付程序，认真审核项目实施各阶段的相关材料和手续，根据项目实施进展情况拨付资金。</w:t>
      </w:r>
    </w:p>
    <w:p w14:paraId="24002D7D">
      <w:pPr>
        <w:spacing w:line="560" w:lineRule="exact"/>
        <w:ind w:firstLine="640" w:firstLineChars="200"/>
        <w:rPr>
          <w:rFonts w:eastAsia="仿宋_GB2312"/>
          <w:sz w:val="32"/>
          <w:szCs w:val="32"/>
        </w:rPr>
      </w:pPr>
      <w:r>
        <w:rPr>
          <w:rFonts w:eastAsia="仿宋_GB2312"/>
          <w:sz w:val="32"/>
          <w:szCs w:val="32"/>
        </w:rPr>
        <w:t>（2）预算资金来源及使用情况</w:t>
      </w:r>
      <w:bookmarkStart w:id="44" w:name="page10"/>
      <w:bookmarkEnd w:id="44"/>
    </w:p>
    <w:p w14:paraId="26FC980F">
      <w:pPr>
        <w:pStyle w:val="2"/>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highlight w:val="none"/>
        </w:rPr>
        <w:t>项目预算资金来源于</w:t>
      </w:r>
      <w:r>
        <w:rPr>
          <w:rFonts w:hint="eastAsia" w:ascii="Times New Roman" w:hAnsi="Times New Roman" w:eastAsia="仿宋_GB2312"/>
          <w:b w:val="0"/>
          <w:bCs w:val="0"/>
          <w:kern w:val="2"/>
          <w:highlight w:val="none"/>
          <w:lang w:eastAsia="zh-CN"/>
        </w:rPr>
        <w:t>财政拨款的一般公共预算及单位资金</w:t>
      </w:r>
      <w:r>
        <w:rPr>
          <w:rFonts w:ascii="Times New Roman" w:hAnsi="Times New Roman" w:eastAsia="仿宋_GB2312"/>
          <w:b w:val="0"/>
          <w:bCs w:val="0"/>
          <w:kern w:val="2"/>
          <w:highlight w:val="none"/>
        </w:rPr>
        <w:t>，项目资金到位</w:t>
      </w:r>
      <w:r>
        <w:rPr>
          <w:rFonts w:hint="eastAsia" w:ascii="Times New Roman" w:hAnsi="Times New Roman" w:eastAsia="仿宋_GB2312"/>
          <w:b w:val="0"/>
          <w:bCs w:val="0"/>
          <w:kern w:val="2"/>
          <w:highlight w:val="none"/>
          <w:lang w:val="en-US" w:eastAsia="zh-CN"/>
        </w:rPr>
        <w:t>152.50</w:t>
      </w:r>
      <w:r>
        <w:rPr>
          <w:rFonts w:ascii="Times New Roman" w:hAnsi="Times New Roman" w:eastAsia="仿宋_GB2312"/>
          <w:b w:val="0"/>
          <w:bCs w:val="0"/>
          <w:kern w:val="2"/>
          <w:highlight w:val="none"/>
        </w:rPr>
        <w:t>万</w:t>
      </w:r>
      <w:r>
        <w:rPr>
          <w:rFonts w:ascii="Times New Roman" w:hAnsi="Times New Roman" w:eastAsia="仿宋_GB2312"/>
          <w:b w:val="0"/>
          <w:bCs w:val="0"/>
          <w:kern w:val="2"/>
        </w:rPr>
        <w:t>元，</w:t>
      </w:r>
      <w:r>
        <w:rPr>
          <w:rFonts w:hint="eastAsia" w:ascii="Times New Roman" w:hAnsi="Times New Roman" w:eastAsia="仿宋_GB2312"/>
          <w:b w:val="0"/>
          <w:bCs w:val="0"/>
          <w:kern w:val="2"/>
        </w:rPr>
        <w:t>全年执行</w:t>
      </w:r>
      <w:r>
        <w:rPr>
          <w:rFonts w:hint="eastAsia" w:ascii="Times New Roman" w:hAnsi="Times New Roman" w:eastAsia="仿宋_GB2312"/>
          <w:b w:val="0"/>
          <w:bCs w:val="0"/>
          <w:kern w:val="2"/>
          <w:lang w:val="en-US" w:eastAsia="zh-CN"/>
        </w:rPr>
        <w:t>150.73</w:t>
      </w:r>
      <w:r>
        <w:rPr>
          <w:rFonts w:hint="eastAsia" w:ascii="Times New Roman" w:hAnsi="Times New Roman" w:eastAsia="仿宋_GB2312"/>
          <w:b w:val="0"/>
          <w:bCs w:val="0"/>
          <w:kern w:val="2"/>
        </w:rPr>
        <w:t>万元，预算执行率为</w:t>
      </w:r>
      <w:r>
        <w:rPr>
          <w:rFonts w:hint="eastAsia" w:ascii="Times New Roman" w:hAnsi="Times New Roman" w:eastAsia="仿宋_GB2312"/>
          <w:b w:val="0"/>
          <w:bCs w:val="0"/>
          <w:kern w:val="2"/>
          <w:lang w:val="en-US" w:eastAsia="zh-CN"/>
        </w:rPr>
        <w:t>98.8</w:t>
      </w:r>
      <w:r>
        <w:rPr>
          <w:rFonts w:ascii="Times New Roman" w:hAnsi="Times New Roman" w:eastAsia="仿宋_GB2312"/>
          <w:b w:val="0"/>
          <w:bCs w:val="0"/>
          <w:kern w:val="2"/>
        </w:rPr>
        <w:t>%,</w:t>
      </w:r>
      <w:r>
        <w:rPr>
          <w:rFonts w:hint="eastAsia" w:ascii="Times New Roman" w:hAnsi="Times New Roman" w:eastAsia="仿宋_GB2312"/>
          <w:b w:val="0"/>
          <w:bCs w:val="0"/>
          <w:kern w:val="2"/>
        </w:rPr>
        <w:t>主要</w:t>
      </w:r>
      <w:r>
        <w:rPr>
          <w:rFonts w:ascii="Times New Roman" w:hAnsi="Times New Roman" w:eastAsia="仿宋_GB2312"/>
          <w:b w:val="0"/>
          <w:bCs w:val="0"/>
          <w:kern w:val="2"/>
        </w:rPr>
        <w:t>用于</w:t>
      </w:r>
      <w:r>
        <w:rPr>
          <w:rFonts w:ascii="Times New Roman" w:hAnsi="Times New Roman" w:eastAsia="仿宋_GB2312"/>
          <w:b w:val="0"/>
          <w:bCs w:val="0"/>
          <w:kern w:val="2"/>
          <w:highlight w:val="none"/>
        </w:rPr>
        <w:t>支付项目实施进程中的各项</w:t>
      </w:r>
      <w:r>
        <w:rPr>
          <w:rFonts w:hint="eastAsia" w:ascii="Times New Roman" w:hAnsi="Times New Roman" w:eastAsia="仿宋_GB2312"/>
          <w:b w:val="0"/>
          <w:bCs w:val="0"/>
          <w:kern w:val="2"/>
          <w:highlight w:val="none"/>
          <w:lang w:eastAsia="zh-CN"/>
        </w:rPr>
        <w:t>商品和服务</w:t>
      </w:r>
      <w:r>
        <w:rPr>
          <w:rFonts w:ascii="Times New Roman" w:hAnsi="Times New Roman" w:eastAsia="仿宋_GB2312"/>
          <w:b w:val="0"/>
          <w:bCs w:val="0"/>
          <w:kern w:val="2"/>
          <w:highlight w:val="none"/>
        </w:rPr>
        <w:t>费用</w:t>
      </w:r>
      <w:r>
        <w:rPr>
          <w:rFonts w:ascii="Times New Roman" w:hAnsi="Times New Roman" w:eastAsia="仿宋_GB2312"/>
          <w:b w:val="0"/>
          <w:bCs w:val="0"/>
          <w:kern w:val="2"/>
        </w:rPr>
        <w:t>。</w:t>
      </w:r>
    </w:p>
    <w:p w14:paraId="40024969">
      <w:pPr>
        <w:spacing w:line="560" w:lineRule="exact"/>
        <w:ind w:firstLine="643" w:firstLineChars="200"/>
        <w:rPr>
          <w:rFonts w:eastAsia="楷体_GB2312"/>
          <w:b/>
          <w:bCs/>
          <w:sz w:val="32"/>
          <w:szCs w:val="32"/>
        </w:rPr>
      </w:pPr>
      <w:r>
        <w:rPr>
          <w:rFonts w:eastAsia="楷体_GB2312"/>
          <w:b/>
          <w:bCs/>
          <w:sz w:val="32"/>
          <w:szCs w:val="32"/>
        </w:rPr>
        <w:t>（二）项目绩效目标</w:t>
      </w:r>
    </w:p>
    <w:p w14:paraId="3759C9BC">
      <w:pPr>
        <w:spacing w:line="56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lang w:eastAsia="zh-CN"/>
        </w:rPr>
        <w:t>.</w:t>
      </w:r>
      <w:r>
        <w:rPr>
          <w:rFonts w:eastAsia="仿宋_GB2312"/>
          <w:sz w:val="32"/>
          <w:szCs w:val="32"/>
        </w:rPr>
        <w:t>总体目标</w:t>
      </w:r>
    </w:p>
    <w:p w14:paraId="635B142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该项目实施，完成实验室耗材、配件等购置，完成监测仪器设备的检定，保障全年完成监测水源地、地表水监测点位/断面12个、城市声环境质量监测点位173个，开展农村环境质量监测和污染源执法监测。通过监测客观、准确反映克拉玛依环境质量状况及变化趋势，为克拉玛依市环境质量管理及决策提供有效支撑。</w:t>
      </w:r>
    </w:p>
    <w:p w14:paraId="2CE34CD8">
      <w:pPr>
        <w:spacing w:line="560" w:lineRule="exact"/>
        <w:ind w:firstLine="640" w:firstLineChars="200"/>
      </w:pPr>
      <w:r>
        <w:rPr>
          <w:rFonts w:eastAsia="仿宋_GB2312"/>
          <w:sz w:val="32"/>
          <w:szCs w:val="32"/>
        </w:rPr>
        <w:t>2</w:t>
      </w:r>
      <w:r>
        <w:rPr>
          <w:rFonts w:hint="eastAsia" w:eastAsia="仿宋_GB2312"/>
          <w:sz w:val="32"/>
          <w:szCs w:val="32"/>
          <w:lang w:eastAsia="zh-CN"/>
        </w:rPr>
        <w:t>.</w:t>
      </w:r>
      <w:r>
        <w:rPr>
          <w:rFonts w:eastAsia="仿宋_GB2312"/>
          <w:sz w:val="32"/>
          <w:szCs w:val="32"/>
        </w:rPr>
        <w:t>阶段性目标</w:t>
      </w:r>
    </w:p>
    <w:p w14:paraId="1953E903">
      <w:pPr>
        <w:spacing w:line="56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25C70CDC">
      <w:pPr>
        <w:spacing w:line="56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（2）组织实施：资金一到位，立即根据项目要求实施项目。项目责任人按照项目实施方案要求逐一进行项目部署安排，提高项目质量及效率性。</w:t>
      </w:r>
    </w:p>
    <w:p w14:paraId="5A525689">
      <w:pPr>
        <w:spacing w:line="560" w:lineRule="exact"/>
        <w:ind w:firstLine="640" w:firstLineChars="200"/>
        <w:rPr>
          <w:rFonts w:eastAsia="黑体"/>
          <w:sz w:val="32"/>
          <w:szCs w:val="32"/>
        </w:rPr>
      </w:pPr>
      <w:r>
        <w:rPr>
          <w:rFonts w:eastAsia="黑体"/>
          <w:sz w:val="32"/>
          <w:szCs w:val="32"/>
        </w:rPr>
        <w:t>二、绩效评价工作开展情况</w:t>
      </w:r>
    </w:p>
    <w:p w14:paraId="5B103A01">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2EA8D166">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hint="eastAsia" w:ascii="Times New Roman" w:hAnsi="Times New Roman" w:eastAsia="仿宋_GB2312"/>
          <w:b w:val="0"/>
          <w:bCs w:val="0"/>
          <w:lang w:eastAsia="zh-CN"/>
        </w:rPr>
        <w:t>.</w:t>
      </w:r>
      <w:r>
        <w:rPr>
          <w:rFonts w:ascii="Times New Roman" w:hAnsi="Times New Roman" w:eastAsia="仿宋_GB2312"/>
          <w:b w:val="0"/>
          <w:bCs w:val="0"/>
        </w:rPr>
        <w:t>绩效评价的目的</w:t>
      </w:r>
    </w:p>
    <w:p w14:paraId="35473C8D">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CEFC0D4">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6740C01F">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46A02CE2">
      <w:pPr>
        <w:spacing w:line="560" w:lineRule="exact"/>
        <w:ind w:firstLine="640" w:firstLineChars="200"/>
        <w:rPr>
          <w:rFonts w:eastAsia="仿宋_GB2312"/>
          <w:sz w:val="32"/>
          <w:szCs w:val="32"/>
        </w:rPr>
      </w:pPr>
      <w:r>
        <w:rPr>
          <w:rFonts w:eastAsia="仿宋_GB2312"/>
          <w:sz w:val="32"/>
          <w:szCs w:val="32"/>
        </w:rPr>
        <w:t>综合来看，通过开展有效的财政支出绩效评价管理，达到改进预算管理、控制节约成本，提高预算资金使用效益的目的。</w:t>
      </w:r>
    </w:p>
    <w:p w14:paraId="6EF30A65">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hint="eastAsia" w:ascii="Times New Roman" w:hAnsi="Times New Roman" w:eastAsia="仿宋_GB2312"/>
          <w:b w:val="0"/>
          <w:bCs w:val="0"/>
          <w:lang w:eastAsia="zh-CN"/>
        </w:rPr>
        <w:t>.</w:t>
      </w:r>
      <w:r>
        <w:rPr>
          <w:rFonts w:ascii="Times New Roman" w:hAnsi="Times New Roman" w:eastAsia="仿宋_GB2312"/>
          <w:b w:val="0"/>
          <w:bCs w:val="0"/>
        </w:rPr>
        <w:t>绩效评价的对象</w:t>
      </w:r>
    </w:p>
    <w:p w14:paraId="69C38E40">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2023年克拉玛依生态环境质量监测专项所包含的全部项目建设内容。</w:t>
      </w:r>
    </w:p>
    <w:p w14:paraId="283C66C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hint="eastAsia" w:ascii="Times New Roman" w:hAnsi="Times New Roman" w:eastAsia="仿宋_GB2312"/>
          <w:b w:val="0"/>
          <w:bCs w:val="0"/>
          <w:lang w:eastAsia="zh-CN"/>
        </w:rPr>
        <w:t>.</w:t>
      </w:r>
      <w:r>
        <w:rPr>
          <w:rFonts w:ascii="Times New Roman" w:hAnsi="Times New Roman" w:eastAsia="仿宋_GB2312"/>
          <w:b w:val="0"/>
          <w:bCs w:val="0"/>
        </w:rPr>
        <w:t>绩效评价的范围</w:t>
      </w:r>
    </w:p>
    <w:p w14:paraId="2B679025">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2023年克拉玛依生态环境质量监测专项的决策、过程、产出、效益等。</w:t>
      </w:r>
    </w:p>
    <w:p w14:paraId="523F0B0C">
      <w:pPr>
        <w:spacing w:line="600" w:lineRule="exact"/>
        <w:ind w:firstLine="643" w:firstLineChars="200"/>
      </w:pPr>
      <w:r>
        <w:rPr>
          <w:rFonts w:eastAsia="楷体_GB2312"/>
          <w:b/>
          <w:bCs/>
          <w:sz w:val="32"/>
          <w:szCs w:val="32"/>
        </w:rPr>
        <w:t>（二）绩效评价原则、评价指标体系（详情见表1）、评价方法、评价标准。</w:t>
      </w:r>
    </w:p>
    <w:p w14:paraId="2174DA13">
      <w:pPr>
        <w:pStyle w:val="2"/>
        <w:widowControl w:val="0"/>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1</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绩效评价原则</w:t>
      </w:r>
    </w:p>
    <w:p w14:paraId="65430303">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本次项目绩效评价遵循以下基本原则：</w:t>
      </w:r>
    </w:p>
    <w:p w14:paraId="11527E3A">
      <w:pPr>
        <w:pStyle w:val="2"/>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（1）科学公正。绩效评价应当运用科学合理的方法，按照规范的程序，对项目绩效进行客观、公正的反映。</w:t>
      </w:r>
    </w:p>
    <w:p w14:paraId="22DE894C">
      <w:pPr>
        <w:pStyle w:val="2"/>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（2）统筹兼顾。单位自评、部门评价和财政评价应职责明确，各有侧重，相互衔接。单位自评应由项目单位自主实施，即“谁支出、谁自评”。部门评价和财政评价应在单位自评的基础上开展。</w:t>
      </w:r>
    </w:p>
    <w:p w14:paraId="15979C59">
      <w:pPr>
        <w:pStyle w:val="2"/>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（3）激励约束。绩效评价结果应与预算安排、政策调整、改进管理实质性挂钩，体现奖优罚劣和激励相容导向，有效要安排、低效要压减、无效要问责。</w:t>
      </w:r>
    </w:p>
    <w:p w14:paraId="388FFDFD">
      <w:pPr>
        <w:pStyle w:val="2"/>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（4）公开透明。绩效评价结果应依法依规公开，并自觉接受社会监督。</w:t>
      </w:r>
    </w:p>
    <w:p w14:paraId="720355C4">
      <w:pPr>
        <w:pStyle w:val="2"/>
        <w:widowControl w:val="0"/>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2</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评价指标体系</w:t>
      </w:r>
    </w:p>
    <w:p w14:paraId="1B1ABA1F">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绩效评价框架是开展绩效评价的核心。绩效评价框架包括评价准则、关键评价问题、评价指标、数据来源、数据收集方法等。指标体系建立过程如下：</w:t>
      </w:r>
    </w:p>
    <w:p w14:paraId="40859CFD">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（1）确定评价指标</w:t>
      </w:r>
    </w:p>
    <w:p w14:paraId="29F3BAD1">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64668CC">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（2）确定权重</w:t>
      </w:r>
    </w:p>
    <w:p w14:paraId="49F3FD19">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确定各个指标相对于项目总体绩效的权重分值。在绩效评价指标体系中，项目决策权重为5分，项目过程权重为5分，项目产出权重为50分，项目效益权重为40分。</w:t>
      </w:r>
    </w:p>
    <w:p w14:paraId="33FADAAC">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（3）确定指标标准值</w:t>
      </w:r>
    </w:p>
    <w:p w14:paraId="778AEDC1">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71CD214F">
      <w:pPr>
        <w:pStyle w:val="2"/>
        <w:spacing w:before="0" w:after="0" w:line="560" w:lineRule="exact"/>
        <w:ind w:firstLine="708" w:firstLineChars="200"/>
        <w:jc w:val="both"/>
        <w:rPr>
          <w:rFonts w:hint="eastAsia" w:ascii="仿宋_GB2312" w:hAnsi="仿宋_GB2312" w:eastAsia="仿宋_GB2312" w:cs="仿宋_GB2312"/>
          <w:b w:val="0"/>
          <w:bCs w:val="0"/>
          <w:color w:val="000000"/>
          <w:spacing w:val="17"/>
          <w:kern w:val="2"/>
        </w:rPr>
      </w:pPr>
      <w:r>
        <w:rPr>
          <w:rFonts w:hint="eastAsia" w:ascii="仿宋_GB2312" w:hAnsi="仿宋_GB2312" w:eastAsia="仿宋_GB2312" w:cs="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3837DF9">
      <w:pPr>
        <w:pStyle w:val="2"/>
        <w:widowControl w:val="0"/>
        <w:spacing w:before="0" w:after="0" w:line="560" w:lineRule="exact"/>
        <w:ind w:firstLine="708" w:firstLineChars="200"/>
        <w:jc w:val="both"/>
        <w:outlineLvl w:val="9"/>
        <w:rPr>
          <w:rFonts w:hint="eastAsia" w:ascii="仿宋_GB2312" w:hAnsi="仿宋_GB2312" w:eastAsia="仿宋_GB2312" w:cs="仿宋_GB2312"/>
          <w:b w:val="0"/>
          <w:bCs w:val="0"/>
          <w:color w:val="000000"/>
          <w:spacing w:val="17"/>
          <w:lang w:eastAsia="zh-CN"/>
        </w:rPr>
      </w:pPr>
      <w:r>
        <w:rPr>
          <w:rFonts w:hint="eastAsia" w:ascii="仿宋_GB2312" w:hAnsi="仿宋_GB2312" w:eastAsia="仿宋_GB2312" w:cs="仿宋_GB2312"/>
          <w:b w:val="0"/>
          <w:bCs w:val="0"/>
          <w:color w:val="000000"/>
          <w:spacing w:val="17"/>
        </w:rPr>
        <w:t>具体评价指标体系详情见附件1</w:t>
      </w:r>
      <w:r>
        <w:rPr>
          <w:rFonts w:hint="eastAsia" w:ascii="仿宋_GB2312" w:hAnsi="仿宋_GB2312" w:eastAsia="仿宋_GB2312" w:cs="仿宋_GB2312"/>
          <w:b w:val="0"/>
          <w:bCs w:val="0"/>
          <w:color w:val="000000"/>
          <w:spacing w:val="17"/>
          <w:lang w:eastAsia="zh-CN"/>
        </w:rPr>
        <w:t>。</w:t>
      </w:r>
    </w:p>
    <w:p w14:paraId="091ED241">
      <w:pPr>
        <w:pStyle w:val="2"/>
        <w:widowControl w:val="0"/>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3</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绩效评价方法</w:t>
      </w:r>
    </w:p>
    <w:p w14:paraId="75A64FE3">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19D19015">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0FCCBB8">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（1）比较法</w:t>
      </w:r>
    </w:p>
    <w:p w14:paraId="7D4E57A6">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通过对绩效目标与实施效果、历史与当期情况，综合分析绩效目标实现程度。对</w:t>
      </w:r>
      <w:r>
        <w:rPr>
          <w:rFonts w:hint="eastAsia" w:ascii="仿宋_GB2312" w:hAnsi="仿宋_GB2312" w:eastAsia="仿宋_GB2312" w:cs="仿宋_GB2312"/>
          <w:sz w:val="32"/>
          <w:szCs w:val="32"/>
        </w:rPr>
        <w:t>项目</w:t>
      </w:r>
      <w:r>
        <w:rPr>
          <w:rFonts w:hint="eastAsia" w:ascii="仿宋_GB2312" w:hAnsi="仿宋_GB2312" w:eastAsia="仿宋_GB2312" w:cs="仿宋_GB2312"/>
          <w:color w:val="000000"/>
          <w:spacing w:val="17"/>
          <w:sz w:val="32"/>
          <w:szCs w:val="32"/>
        </w:rPr>
        <w:t>最终验收情况与年度绩效目标对比、预算资金执行情况等相关因素进行比较。</w:t>
      </w:r>
    </w:p>
    <w:p w14:paraId="00144E65">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（2）因素分析法</w:t>
      </w:r>
    </w:p>
    <w:p w14:paraId="07E7B6E5">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通过综合分析影响绩效目标实现、实施效果的内外因素，评价绩效目标实现程度。通过对</w:t>
      </w:r>
      <w:r>
        <w:rPr>
          <w:rFonts w:hint="eastAsia" w:ascii="仿宋_GB2312" w:hAnsi="仿宋_GB2312" w:eastAsia="仿宋_GB2312" w:cs="仿宋_GB2312"/>
          <w:sz w:val="32"/>
          <w:szCs w:val="32"/>
        </w:rPr>
        <w:t>项目</w:t>
      </w:r>
      <w:r>
        <w:rPr>
          <w:rFonts w:hint="eastAsia" w:ascii="仿宋_GB2312" w:hAnsi="仿宋_GB2312" w:eastAsia="仿宋_GB2312" w:cs="仿宋_GB2312"/>
          <w:color w:val="000000"/>
          <w:spacing w:val="17"/>
          <w:sz w:val="32"/>
          <w:szCs w:val="32"/>
        </w:rPr>
        <w:t>的开展情况、项目产出数量、成本控制、资金拨付文件及自评报告等相关资料的收集和审核，综合分析各因素对绩效目标实现的影响。</w:t>
      </w:r>
    </w:p>
    <w:p w14:paraId="17EAEA50">
      <w:pPr>
        <w:pStyle w:val="2"/>
        <w:widowControl w:val="0"/>
        <w:spacing w:before="0" w:after="0" w:line="560" w:lineRule="exact"/>
        <w:ind w:firstLine="640" w:firstLineChars="200"/>
        <w:jc w:val="both"/>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4</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评价标准</w:t>
      </w:r>
    </w:p>
    <w:p w14:paraId="7FC7D469">
      <w:pPr>
        <w:spacing w:line="560" w:lineRule="exact"/>
        <w:ind w:firstLine="708" w:firstLineChars="200"/>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绩效评价标准通常包括计划标准、行业标准、历史标准等，用于对绩效指标完成情况进行比较。本次评价主要采用了计划标准和行业标准。</w:t>
      </w:r>
    </w:p>
    <w:p w14:paraId="60F29C1A">
      <w:pPr>
        <w:pStyle w:val="2"/>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520925FA">
      <w:pPr>
        <w:numPr>
          <w:ilvl w:val="0"/>
          <w:numId w:val="0"/>
        </w:num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kern w:val="2"/>
          <w:sz w:val="32"/>
          <w:szCs w:val="32"/>
          <w:lang w:val="en-US" w:eastAsia="zh-CN" w:bidi="ar-SA"/>
        </w:rPr>
        <w:t>1.</w:t>
      </w:r>
      <w:r>
        <w:rPr>
          <w:rFonts w:hint="eastAsia" w:ascii="仿宋_GB2312" w:hAnsi="仿宋_GB2312" w:eastAsia="仿宋_GB2312" w:cs="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591F8507">
      <w:pPr>
        <w:numPr>
          <w:ilvl w:val="0"/>
          <w:numId w:val="0"/>
        </w:num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kern w:val="2"/>
          <w:sz w:val="32"/>
          <w:szCs w:val="32"/>
          <w:lang w:val="en-US" w:eastAsia="zh-CN" w:bidi="ar-SA"/>
        </w:rPr>
        <w:t>2.</w:t>
      </w:r>
      <w:r>
        <w:rPr>
          <w:rFonts w:hint="eastAsia" w:ascii="仿宋_GB2312" w:hAnsi="仿宋_GB2312" w:eastAsia="仿宋_GB2312" w:cs="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283977BB">
      <w:pPr>
        <w:numPr>
          <w:ilvl w:val="0"/>
          <w:numId w:val="0"/>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28676432">
      <w:pPr>
        <w:numPr>
          <w:ilvl w:val="0"/>
          <w:numId w:val="3"/>
        </w:numPr>
        <w:spacing w:line="600" w:lineRule="exact"/>
        <w:ind w:firstLine="640" w:firstLineChars="200"/>
        <w:rPr>
          <w:rFonts w:eastAsia="黑体"/>
          <w:sz w:val="32"/>
          <w:szCs w:val="32"/>
        </w:rPr>
      </w:pPr>
      <w:r>
        <w:rPr>
          <w:rFonts w:eastAsia="黑体"/>
          <w:sz w:val="32"/>
          <w:szCs w:val="32"/>
        </w:rPr>
        <w:t>综合评价情况及评价结论（附相关评分表）</w:t>
      </w:r>
    </w:p>
    <w:p w14:paraId="78838CC3">
      <w:pPr>
        <w:pStyle w:val="2"/>
        <w:widowControl w:val="0"/>
        <w:spacing w:before="0" w:after="0" w:line="560" w:lineRule="exact"/>
        <w:ind w:firstLine="640" w:firstLineChars="200"/>
        <w:jc w:val="both"/>
        <w:outlineLvl w:val="9"/>
        <w:rPr>
          <w:rFonts w:hint="eastAsia" w:ascii="仿宋_GB2312" w:hAnsi="仿宋_GB2312" w:eastAsia="仿宋_GB2312" w:cs="仿宋_GB2312"/>
          <w:sz w:val="30"/>
          <w:szCs w:val="30"/>
          <w:highlight w:val="none"/>
        </w:rPr>
      </w:pPr>
      <w:r>
        <w:rPr>
          <w:rFonts w:hint="eastAsia" w:ascii="仿宋_GB2312" w:hAnsi="仿宋_GB2312" w:eastAsia="仿宋_GB2312" w:cs="仿宋_GB2312"/>
          <w:b w:val="0"/>
          <w:bCs w:val="0"/>
          <w:highlight w:val="none"/>
        </w:rPr>
        <w:t>对2023年克拉玛依生态环境质量监测专项进行客观评价，最终评分结果：总得分为</w:t>
      </w:r>
      <w:r>
        <w:rPr>
          <w:rFonts w:hint="eastAsia" w:ascii="仿宋_GB2312" w:hAnsi="仿宋_GB2312" w:eastAsia="仿宋_GB2312" w:cs="仿宋_GB2312"/>
          <w:b w:val="0"/>
          <w:bCs w:val="0"/>
          <w:highlight w:val="none"/>
          <w:lang w:val="en-US" w:eastAsia="zh-CN"/>
        </w:rPr>
        <w:t>96</w:t>
      </w:r>
      <w:r>
        <w:rPr>
          <w:rFonts w:hint="eastAsia" w:ascii="仿宋_GB2312" w:hAnsi="仿宋_GB2312" w:eastAsia="仿宋_GB2312" w:cs="仿宋_GB2312"/>
          <w:b w:val="0"/>
          <w:bCs w:val="0"/>
          <w:highlight w:val="none"/>
        </w:rPr>
        <w:t>分，属于“优”。其中，项目决策</w:t>
      </w:r>
      <w:bookmarkStart w:id="46" w:name="_GoBack"/>
      <w:bookmarkEnd w:id="46"/>
      <w:r>
        <w:rPr>
          <w:rFonts w:hint="eastAsia" w:ascii="仿宋_GB2312" w:hAnsi="仿宋_GB2312" w:eastAsia="仿宋_GB2312" w:cs="仿宋_GB2312"/>
          <w:b w:val="0"/>
          <w:bCs w:val="0"/>
          <w:highlight w:val="none"/>
        </w:rPr>
        <w:t>类指标权重为20分，得分为</w:t>
      </w:r>
      <w:r>
        <w:rPr>
          <w:rFonts w:hint="eastAsia" w:ascii="仿宋_GB2312" w:hAnsi="仿宋_GB2312" w:eastAsia="仿宋_GB2312" w:cs="仿宋_GB2312"/>
          <w:b w:val="0"/>
          <w:bCs w:val="0"/>
          <w:highlight w:val="none"/>
          <w:lang w:val="en-US" w:eastAsia="zh-CN"/>
        </w:rPr>
        <w:t>20</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%。项目过程类指标权重为20分，得分为</w:t>
      </w:r>
      <w:r>
        <w:rPr>
          <w:rFonts w:hint="eastAsia" w:ascii="仿宋_GB2312" w:hAnsi="仿宋_GB2312" w:eastAsia="仿宋_GB2312" w:cs="仿宋_GB2312"/>
          <w:b w:val="0"/>
          <w:bCs w:val="0"/>
          <w:highlight w:val="none"/>
          <w:lang w:val="en-US" w:eastAsia="zh-CN"/>
        </w:rPr>
        <w:t>17</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85</w:t>
      </w:r>
      <w:r>
        <w:rPr>
          <w:rFonts w:hint="eastAsia" w:ascii="仿宋_GB2312" w:hAnsi="仿宋_GB2312" w:eastAsia="仿宋_GB2312" w:cs="仿宋_GB2312"/>
          <w:b w:val="0"/>
          <w:bCs w:val="0"/>
          <w:highlight w:val="none"/>
        </w:rPr>
        <w:t>%。项目产出类指标权重为40分，得分为</w:t>
      </w:r>
      <w:r>
        <w:rPr>
          <w:rFonts w:hint="eastAsia" w:ascii="仿宋_GB2312" w:hAnsi="仿宋_GB2312" w:eastAsia="仿宋_GB2312" w:cs="仿宋_GB2312"/>
          <w:b w:val="0"/>
          <w:bCs w:val="0"/>
          <w:highlight w:val="none"/>
          <w:lang w:val="en-US" w:eastAsia="zh-CN"/>
        </w:rPr>
        <w:t>39</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97.5</w:t>
      </w:r>
      <w:r>
        <w:rPr>
          <w:rFonts w:hint="eastAsia" w:ascii="仿宋_GB2312" w:hAnsi="仿宋_GB2312" w:eastAsia="仿宋_GB2312" w:cs="仿宋_GB2312"/>
          <w:b w:val="0"/>
          <w:bCs w:val="0"/>
          <w:highlight w:val="none"/>
        </w:rPr>
        <w:t>%。项目效益类指标权重为20分，得分为</w:t>
      </w:r>
      <w:r>
        <w:rPr>
          <w:rFonts w:hint="eastAsia" w:ascii="仿宋_GB2312" w:hAnsi="仿宋_GB2312" w:eastAsia="仿宋_GB2312" w:cs="仿宋_GB2312"/>
          <w:b w:val="0"/>
          <w:bCs w:val="0"/>
          <w:highlight w:val="none"/>
          <w:lang w:val="en-US" w:eastAsia="zh-CN"/>
        </w:rPr>
        <w:t>20</w:t>
      </w:r>
      <w:r>
        <w:rPr>
          <w:rFonts w:hint="eastAsia" w:ascii="仿宋_GB2312" w:hAnsi="仿宋_GB2312" w:eastAsia="仿宋_GB2312" w:cs="仿宋_GB2312"/>
          <w:b w:val="0"/>
          <w:bCs w:val="0"/>
          <w:highlight w:val="none"/>
        </w:rPr>
        <w:t>分，得分率为</w:t>
      </w:r>
      <w:r>
        <w:rPr>
          <w:rFonts w:hint="eastAsia" w:ascii="仿宋_GB2312" w:hAnsi="仿宋_GB2312" w:eastAsia="仿宋_GB2312" w:cs="仿宋_GB2312"/>
          <w:b w:val="0"/>
          <w:bCs w:val="0"/>
          <w:highlight w:val="none"/>
          <w:lang w:val="en-US" w:eastAsia="zh-CN"/>
        </w:rPr>
        <w:t>100</w:t>
      </w:r>
      <w:r>
        <w:rPr>
          <w:rFonts w:hint="eastAsia" w:ascii="仿宋_GB2312" w:hAnsi="仿宋_GB2312" w:eastAsia="仿宋_GB2312" w:cs="仿宋_GB2312"/>
          <w:b w:val="0"/>
          <w:bCs w:val="0"/>
          <w:highlight w:val="none"/>
        </w:rPr>
        <w:t>%。</w:t>
      </w:r>
    </w:p>
    <w:p w14:paraId="6D51606C">
      <w:pPr>
        <w:pStyle w:val="2"/>
        <w:rPr>
          <w:rFonts w:ascii="Times New Roman" w:hAnsi="Times New Roman" w:eastAsia="仿宋_GB2312"/>
          <w:sz w:val="30"/>
          <w:szCs w:val="30"/>
          <w:highlight w:val="none"/>
        </w:rPr>
      </w:pPr>
      <w:r>
        <w:rPr>
          <w:rFonts w:ascii="Times New Roman" w:hAnsi="Times New Roman" w:eastAsia="仿宋_GB2312"/>
          <w:sz w:val="30"/>
          <w:szCs w:val="30"/>
          <w:highlight w:val="none"/>
        </w:rPr>
        <w:t>表1综合评分表</w:t>
      </w:r>
    </w:p>
    <w:p w14:paraId="6E262BCF"/>
    <w:p w14:paraId="398EC333"/>
    <w:tbl>
      <w:tblPr>
        <w:tblStyle w:val="21"/>
        <w:tblpPr w:leftFromText="180" w:rightFromText="180" w:vertAnchor="text" w:horzAnchor="page" w:tblpX="1016" w:tblpY="-67"/>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14:paraId="66A4D5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0" w:hRule="atLeast"/>
          <w:tblHeader/>
        </w:trPr>
        <w:tc>
          <w:tcPr>
            <w:tcW w:w="1104" w:type="dxa"/>
            <w:shd w:val="clear" w:color="auto" w:fill="auto"/>
            <w:vAlign w:val="center"/>
          </w:tcPr>
          <w:p w14:paraId="698D3BDA">
            <w:pPr>
              <w:widowControl/>
              <w:spacing w:line="0" w:lineRule="atLeast"/>
              <w:rPr>
                <w:b/>
                <w:bCs/>
                <w:color w:val="000000"/>
                <w:kern w:val="0"/>
                <w:sz w:val="22"/>
                <w:szCs w:val="22"/>
              </w:rPr>
            </w:pPr>
            <w:r>
              <w:rPr>
                <w:b/>
                <w:bCs/>
                <w:color w:val="000000"/>
                <w:kern w:val="0"/>
                <w:sz w:val="22"/>
                <w:szCs w:val="22"/>
              </w:rPr>
              <w:t>一级指标</w:t>
            </w:r>
          </w:p>
        </w:tc>
        <w:tc>
          <w:tcPr>
            <w:tcW w:w="990" w:type="dxa"/>
            <w:shd w:val="clear" w:color="auto" w:fill="auto"/>
            <w:vAlign w:val="center"/>
          </w:tcPr>
          <w:p w14:paraId="591ABF36">
            <w:pPr>
              <w:widowControl/>
              <w:spacing w:line="0" w:lineRule="atLeast"/>
              <w:jc w:val="center"/>
              <w:rPr>
                <w:b/>
                <w:bCs/>
                <w:color w:val="000000"/>
                <w:kern w:val="0"/>
                <w:sz w:val="22"/>
                <w:szCs w:val="22"/>
              </w:rPr>
            </w:pPr>
            <w:r>
              <w:rPr>
                <w:b/>
                <w:bCs/>
                <w:color w:val="000000"/>
                <w:kern w:val="0"/>
                <w:sz w:val="22"/>
                <w:szCs w:val="22"/>
              </w:rPr>
              <w:t>分值</w:t>
            </w:r>
          </w:p>
        </w:tc>
        <w:tc>
          <w:tcPr>
            <w:tcW w:w="1283" w:type="dxa"/>
            <w:shd w:val="clear" w:color="auto" w:fill="auto"/>
            <w:vAlign w:val="center"/>
          </w:tcPr>
          <w:p w14:paraId="1D452FD1">
            <w:pPr>
              <w:widowControl/>
              <w:spacing w:line="0" w:lineRule="atLeast"/>
              <w:jc w:val="center"/>
              <w:rPr>
                <w:b/>
                <w:bCs/>
                <w:color w:val="000000"/>
                <w:kern w:val="0"/>
                <w:sz w:val="22"/>
                <w:szCs w:val="22"/>
              </w:rPr>
            </w:pPr>
            <w:r>
              <w:rPr>
                <w:b/>
                <w:bCs/>
                <w:color w:val="000000"/>
                <w:kern w:val="0"/>
                <w:sz w:val="22"/>
                <w:szCs w:val="22"/>
              </w:rPr>
              <w:t>二级指标</w:t>
            </w:r>
          </w:p>
        </w:tc>
        <w:tc>
          <w:tcPr>
            <w:tcW w:w="1707" w:type="dxa"/>
            <w:shd w:val="clear" w:color="auto" w:fill="auto"/>
            <w:vAlign w:val="center"/>
          </w:tcPr>
          <w:p w14:paraId="1AD4102E">
            <w:pPr>
              <w:widowControl/>
              <w:spacing w:line="0" w:lineRule="atLeast"/>
              <w:jc w:val="center"/>
              <w:rPr>
                <w:b/>
                <w:bCs/>
                <w:color w:val="000000"/>
                <w:kern w:val="0"/>
                <w:sz w:val="22"/>
                <w:szCs w:val="22"/>
              </w:rPr>
            </w:pPr>
            <w:r>
              <w:rPr>
                <w:b/>
                <w:bCs/>
                <w:color w:val="000000"/>
                <w:kern w:val="0"/>
                <w:sz w:val="22"/>
                <w:szCs w:val="22"/>
              </w:rPr>
              <w:t>三级指标</w:t>
            </w:r>
          </w:p>
        </w:tc>
        <w:tc>
          <w:tcPr>
            <w:tcW w:w="727" w:type="dxa"/>
            <w:shd w:val="clear" w:color="auto" w:fill="auto"/>
            <w:vAlign w:val="center"/>
          </w:tcPr>
          <w:p w14:paraId="5E3F2912">
            <w:pPr>
              <w:widowControl/>
              <w:spacing w:line="0" w:lineRule="atLeast"/>
              <w:jc w:val="center"/>
              <w:rPr>
                <w:b/>
                <w:bCs/>
                <w:color w:val="000000"/>
                <w:kern w:val="0"/>
                <w:sz w:val="22"/>
                <w:szCs w:val="22"/>
              </w:rPr>
            </w:pPr>
            <w:r>
              <w:rPr>
                <w:b/>
                <w:bCs/>
                <w:color w:val="000000"/>
                <w:kern w:val="0"/>
                <w:sz w:val="22"/>
                <w:szCs w:val="22"/>
              </w:rPr>
              <w:t>权重</w:t>
            </w:r>
          </w:p>
        </w:tc>
        <w:tc>
          <w:tcPr>
            <w:tcW w:w="1044" w:type="dxa"/>
            <w:shd w:val="clear" w:color="auto" w:fill="auto"/>
            <w:vAlign w:val="center"/>
          </w:tcPr>
          <w:p w14:paraId="614D6973">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shd w:val="clear" w:color="auto" w:fill="auto"/>
            <w:vAlign w:val="center"/>
          </w:tcPr>
          <w:p w14:paraId="28076FC9">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shd w:val="clear" w:color="auto" w:fill="auto"/>
            <w:vAlign w:val="center"/>
          </w:tcPr>
          <w:p w14:paraId="5AFEDCE8">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shd w:val="clear" w:color="auto" w:fill="auto"/>
            <w:vAlign w:val="center"/>
          </w:tcPr>
          <w:p w14:paraId="591B62CE">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14:paraId="2AECDA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auto"/>
            <w:vAlign w:val="center"/>
          </w:tcPr>
          <w:p w14:paraId="4733B9E5">
            <w:pPr>
              <w:widowControl/>
              <w:spacing w:line="0" w:lineRule="atLeast"/>
              <w:jc w:val="center"/>
              <w:rPr>
                <w:color w:val="000000"/>
                <w:kern w:val="0"/>
                <w:sz w:val="22"/>
                <w:szCs w:val="22"/>
              </w:rPr>
            </w:pPr>
            <w:r>
              <w:rPr>
                <w:color w:val="000000"/>
                <w:kern w:val="0"/>
                <w:sz w:val="22"/>
                <w:szCs w:val="22"/>
              </w:rPr>
              <w:t>决策　</w:t>
            </w:r>
          </w:p>
          <w:p w14:paraId="3B997DC3">
            <w:pPr>
              <w:widowControl/>
              <w:spacing w:line="0" w:lineRule="atLeast"/>
              <w:jc w:val="center"/>
              <w:rPr>
                <w:color w:val="000000"/>
                <w:kern w:val="0"/>
                <w:sz w:val="22"/>
                <w:szCs w:val="22"/>
              </w:rPr>
            </w:pPr>
            <w:r>
              <w:rPr>
                <w:color w:val="000000"/>
                <w:kern w:val="0"/>
                <w:sz w:val="22"/>
                <w:szCs w:val="22"/>
              </w:rPr>
              <w:t>　</w:t>
            </w:r>
          </w:p>
          <w:p w14:paraId="122F654F">
            <w:pPr>
              <w:spacing w:line="0" w:lineRule="atLeast"/>
              <w:jc w:val="center"/>
              <w:rPr>
                <w:color w:val="000000"/>
                <w:kern w:val="0"/>
                <w:sz w:val="22"/>
                <w:szCs w:val="22"/>
              </w:rPr>
            </w:pPr>
            <w:r>
              <w:rPr>
                <w:color w:val="000000"/>
                <w:kern w:val="0"/>
                <w:sz w:val="22"/>
                <w:szCs w:val="22"/>
              </w:rPr>
              <w:t>　</w:t>
            </w:r>
          </w:p>
          <w:p w14:paraId="7C377D86">
            <w:pPr>
              <w:widowControl/>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auto"/>
            <w:vAlign w:val="center"/>
          </w:tcPr>
          <w:p w14:paraId="0F7FE38E">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auto"/>
            <w:vAlign w:val="center"/>
          </w:tcPr>
          <w:p w14:paraId="50B28CCD">
            <w:pPr>
              <w:widowControl/>
              <w:spacing w:line="0" w:lineRule="atLeast"/>
              <w:jc w:val="center"/>
              <w:rPr>
                <w:color w:val="000000"/>
                <w:kern w:val="0"/>
                <w:sz w:val="22"/>
                <w:szCs w:val="22"/>
              </w:rPr>
            </w:pPr>
            <w:r>
              <w:rPr>
                <w:color w:val="000000"/>
                <w:kern w:val="0"/>
                <w:sz w:val="22"/>
                <w:szCs w:val="22"/>
              </w:rPr>
              <w:t>项目立项　</w:t>
            </w:r>
          </w:p>
        </w:tc>
        <w:tc>
          <w:tcPr>
            <w:tcW w:w="1707" w:type="dxa"/>
            <w:shd w:val="clear" w:color="auto" w:fill="auto"/>
            <w:vAlign w:val="center"/>
          </w:tcPr>
          <w:p w14:paraId="7307B834">
            <w:pPr>
              <w:widowControl/>
              <w:spacing w:line="0" w:lineRule="atLeast"/>
              <w:jc w:val="center"/>
              <w:rPr>
                <w:color w:val="000000"/>
                <w:kern w:val="0"/>
                <w:sz w:val="22"/>
                <w:szCs w:val="22"/>
              </w:rPr>
            </w:pPr>
            <w:r>
              <w:rPr>
                <w:color w:val="000000"/>
                <w:kern w:val="0"/>
                <w:sz w:val="22"/>
                <w:szCs w:val="22"/>
              </w:rPr>
              <w:t>立项依据</w:t>
            </w:r>
          </w:p>
          <w:p w14:paraId="069B8910">
            <w:pPr>
              <w:widowControl/>
              <w:spacing w:line="0" w:lineRule="atLeast"/>
              <w:jc w:val="center"/>
              <w:rPr>
                <w:color w:val="000000"/>
                <w:kern w:val="0"/>
                <w:sz w:val="22"/>
                <w:szCs w:val="22"/>
              </w:rPr>
            </w:pPr>
            <w:r>
              <w:rPr>
                <w:color w:val="000000"/>
                <w:kern w:val="0"/>
                <w:sz w:val="22"/>
                <w:szCs w:val="22"/>
              </w:rPr>
              <w:t>充分性</w:t>
            </w:r>
          </w:p>
        </w:tc>
        <w:tc>
          <w:tcPr>
            <w:tcW w:w="727" w:type="dxa"/>
            <w:shd w:val="clear" w:color="auto" w:fill="auto"/>
            <w:vAlign w:val="center"/>
          </w:tcPr>
          <w:p w14:paraId="6E49AB21">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auto"/>
            <w:vAlign w:val="center"/>
          </w:tcPr>
          <w:p w14:paraId="175CEFA4">
            <w:pPr>
              <w:widowControl/>
              <w:spacing w:line="0" w:lineRule="atLeast"/>
              <w:jc w:val="center"/>
              <w:rPr>
                <w:color w:val="000000"/>
                <w:kern w:val="0"/>
                <w:sz w:val="22"/>
                <w:szCs w:val="22"/>
              </w:rPr>
            </w:pPr>
            <w:r>
              <w:rPr>
                <w:color w:val="000000"/>
                <w:kern w:val="0"/>
                <w:sz w:val="22"/>
                <w:szCs w:val="22"/>
              </w:rPr>
              <w:t>充分</w:t>
            </w:r>
          </w:p>
        </w:tc>
        <w:tc>
          <w:tcPr>
            <w:tcW w:w="924" w:type="dxa"/>
            <w:shd w:val="clear" w:color="auto" w:fill="auto"/>
            <w:vAlign w:val="center"/>
          </w:tcPr>
          <w:p w14:paraId="137396B7">
            <w:pPr>
              <w:widowControl/>
              <w:spacing w:line="0" w:lineRule="atLeast"/>
              <w:jc w:val="center"/>
              <w:rPr>
                <w:color w:val="000000"/>
                <w:kern w:val="0"/>
                <w:sz w:val="22"/>
                <w:szCs w:val="22"/>
              </w:rPr>
            </w:pPr>
            <w:r>
              <w:rPr>
                <w:color w:val="000000"/>
                <w:kern w:val="0"/>
                <w:sz w:val="22"/>
                <w:szCs w:val="22"/>
              </w:rPr>
              <w:t>充分</w:t>
            </w:r>
          </w:p>
        </w:tc>
        <w:tc>
          <w:tcPr>
            <w:tcW w:w="1215" w:type="dxa"/>
            <w:shd w:val="clear" w:color="auto" w:fill="auto"/>
            <w:vAlign w:val="center"/>
          </w:tcPr>
          <w:p w14:paraId="5EAE6FEE">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7FDD2EB3">
            <w:pPr>
              <w:widowControl/>
              <w:spacing w:line="0" w:lineRule="atLeast"/>
              <w:jc w:val="center"/>
              <w:rPr>
                <w:rFonts w:hint="eastAsia" w:ascii="Times New Roman" w:hAnsi="Times New Roman" w:eastAsia="宋体" w:cs="Times New Roman"/>
                <w:color w:val="000000"/>
                <w:kern w:val="0"/>
                <w:sz w:val="22"/>
                <w:szCs w:val="22"/>
                <w:lang w:val="en-US" w:eastAsia="zh-CN" w:bidi="ar-SA"/>
              </w:rPr>
            </w:pPr>
            <w:r>
              <w:rPr>
                <w:rFonts w:hint="eastAsia"/>
                <w:color w:val="000000"/>
                <w:kern w:val="0"/>
                <w:sz w:val="22"/>
                <w:szCs w:val="22"/>
              </w:rPr>
              <w:t>3</w:t>
            </w:r>
          </w:p>
        </w:tc>
      </w:tr>
      <w:tr w14:paraId="2F7527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706E609E">
            <w:pPr>
              <w:spacing w:line="0" w:lineRule="atLeast"/>
              <w:jc w:val="center"/>
              <w:rPr>
                <w:color w:val="000000"/>
                <w:kern w:val="0"/>
                <w:sz w:val="22"/>
                <w:szCs w:val="22"/>
              </w:rPr>
            </w:pPr>
          </w:p>
        </w:tc>
        <w:tc>
          <w:tcPr>
            <w:tcW w:w="990" w:type="dxa"/>
            <w:vMerge w:val="continue"/>
            <w:shd w:val="clear" w:color="auto" w:fill="auto"/>
            <w:vAlign w:val="center"/>
          </w:tcPr>
          <w:p w14:paraId="4FD3204E">
            <w:pPr>
              <w:widowControl/>
              <w:spacing w:line="0" w:lineRule="atLeast"/>
              <w:jc w:val="center"/>
              <w:rPr>
                <w:color w:val="000000"/>
                <w:kern w:val="0"/>
                <w:sz w:val="22"/>
                <w:szCs w:val="22"/>
              </w:rPr>
            </w:pPr>
          </w:p>
        </w:tc>
        <w:tc>
          <w:tcPr>
            <w:tcW w:w="1283" w:type="dxa"/>
            <w:vMerge w:val="continue"/>
            <w:shd w:val="clear" w:color="auto" w:fill="auto"/>
            <w:vAlign w:val="center"/>
          </w:tcPr>
          <w:p w14:paraId="6FFB62C3">
            <w:pPr>
              <w:widowControl/>
              <w:spacing w:line="0" w:lineRule="atLeast"/>
              <w:jc w:val="center"/>
              <w:rPr>
                <w:color w:val="000000"/>
                <w:kern w:val="0"/>
                <w:sz w:val="22"/>
                <w:szCs w:val="22"/>
              </w:rPr>
            </w:pPr>
          </w:p>
        </w:tc>
        <w:tc>
          <w:tcPr>
            <w:tcW w:w="1707" w:type="dxa"/>
            <w:shd w:val="clear" w:color="auto" w:fill="auto"/>
            <w:vAlign w:val="center"/>
          </w:tcPr>
          <w:p w14:paraId="580C5344">
            <w:pPr>
              <w:widowControl/>
              <w:spacing w:line="0" w:lineRule="atLeast"/>
              <w:jc w:val="center"/>
              <w:rPr>
                <w:color w:val="000000"/>
                <w:kern w:val="0"/>
                <w:sz w:val="22"/>
                <w:szCs w:val="22"/>
              </w:rPr>
            </w:pPr>
            <w:r>
              <w:rPr>
                <w:color w:val="000000"/>
                <w:kern w:val="0"/>
                <w:sz w:val="22"/>
                <w:szCs w:val="22"/>
              </w:rPr>
              <w:t>立项程序</w:t>
            </w:r>
          </w:p>
          <w:p w14:paraId="057603A4">
            <w:pPr>
              <w:widowControl/>
              <w:spacing w:line="0" w:lineRule="atLeast"/>
              <w:jc w:val="center"/>
              <w:rPr>
                <w:color w:val="000000"/>
                <w:kern w:val="0"/>
                <w:sz w:val="22"/>
                <w:szCs w:val="22"/>
              </w:rPr>
            </w:pPr>
            <w:r>
              <w:rPr>
                <w:color w:val="000000"/>
                <w:kern w:val="0"/>
                <w:sz w:val="22"/>
                <w:szCs w:val="22"/>
              </w:rPr>
              <w:t>规范性</w:t>
            </w:r>
          </w:p>
        </w:tc>
        <w:tc>
          <w:tcPr>
            <w:tcW w:w="727" w:type="dxa"/>
            <w:shd w:val="clear" w:color="auto" w:fill="auto"/>
            <w:vAlign w:val="center"/>
          </w:tcPr>
          <w:p w14:paraId="1104D5D0">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auto"/>
            <w:vAlign w:val="center"/>
          </w:tcPr>
          <w:p w14:paraId="307DBCC0">
            <w:pPr>
              <w:widowControl/>
              <w:spacing w:line="0" w:lineRule="atLeast"/>
              <w:jc w:val="center"/>
              <w:rPr>
                <w:color w:val="000000"/>
                <w:kern w:val="0"/>
                <w:sz w:val="22"/>
                <w:szCs w:val="22"/>
              </w:rPr>
            </w:pPr>
            <w:r>
              <w:rPr>
                <w:color w:val="000000"/>
                <w:kern w:val="0"/>
                <w:sz w:val="22"/>
                <w:szCs w:val="22"/>
              </w:rPr>
              <w:t>规范</w:t>
            </w:r>
          </w:p>
        </w:tc>
        <w:tc>
          <w:tcPr>
            <w:tcW w:w="924" w:type="dxa"/>
            <w:shd w:val="clear" w:color="auto" w:fill="auto"/>
            <w:vAlign w:val="center"/>
          </w:tcPr>
          <w:p w14:paraId="3BE8A363">
            <w:pPr>
              <w:widowControl/>
              <w:spacing w:line="0" w:lineRule="atLeast"/>
              <w:jc w:val="center"/>
              <w:rPr>
                <w:color w:val="000000"/>
                <w:kern w:val="0"/>
                <w:sz w:val="22"/>
                <w:szCs w:val="22"/>
              </w:rPr>
            </w:pPr>
            <w:r>
              <w:rPr>
                <w:color w:val="000000"/>
                <w:kern w:val="0"/>
                <w:sz w:val="22"/>
                <w:szCs w:val="22"/>
              </w:rPr>
              <w:t>规范</w:t>
            </w:r>
          </w:p>
        </w:tc>
        <w:tc>
          <w:tcPr>
            <w:tcW w:w="1215" w:type="dxa"/>
            <w:shd w:val="clear" w:color="auto" w:fill="auto"/>
            <w:vAlign w:val="center"/>
          </w:tcPr>
          <w:p w14:paraId="76D5E7ED">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3B38452E">
            <w:pPr>
              <w:widowControl/>
              <w:spacing w:line="0" w:lineRule="atLeast"/>
              <w:jc w:val="center"/>
              <w:rPr>
                <w:rFonts w:hint="eastAsia" w:ascii="Times New Roman" w:hAnsi="Times New Roman" w:eastAsia="宋体" w:cs="Times New Roman"/>
                <w:color w:val="000000"/>
                <w:kern w:val="0"/>
                <w:sz w:val="22"/>
                <w:szCs w:val="22"/>
                <w:lang w:val="en-US" w:eastAsia="zh-CN" w:bidi="ar-SA"/>
              </w:rPr>
            </w:pPr>
            <w:r>
              <w:rPr>
                <w:rFonts w:hint="eastAsia"/>
                <w:color w:val="000000"/>
                <w:kern w:val="0"/>
                <w:sz w:val="22"/>
                <w:szCs w:val="22"/>
              </w:rPr>
              <w:t>3</w:t>
            </w:r>
          </w:p>
        </w:tc>
      </w:tr>
      <w:tr w14:paraId="0977C3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352FE210">
            <w:pPr>
              <w:spacing w:line="0" w:lineRule="atLeast"/>
              <w:jc w:val="center"/>
              <w:rPr>
                <w:color w:val="000000"/>
                <w:kern w:val="0"/>
                <w:sz w:val="22"/>
                <w:szCs w:val="22"/>
              </w:rPr>
            </w:pPr>
          </w:p>
        </w:tc>
        <w:tc>
          <w:tcPr>
            <w:tcW w:w="990" w:type="dxa"/>
            <w:vMerge w:val="continue"/>
            <w:shd w:val="clear" w:color="auto" w:fill="auto"/>
            <w:vAlign w:val="center"/>
          </w:tcPr>
          <w:p w14:paraId="1B80C364">
            <w:pPr>
              <w:widowControl/>
              <w:spacing w:line="0" w:lineRule="atLeast"/>
              <w:jc w:val="center"/>
              <w:rPr>
                <w:color w:val="000000"/>
                <w:kern w:val="0"/>
                <w:sz w:val="22"/>
                <w:szCs w:val="22"/>
              </w:rPr>
            </w:pPr>
          </w:p>
        </w:tc>
        <w:tc>
          <w:tcPr>
            <w:tcW w:w="1283" w:type="dxa"/>
            <w:vMerge w:val="restart"/>
            <w:shd w:val="clear" w:color="auto" w:fill="auto"/>
            <w:vAlign w:val="center"/>
          </w:tcPr>
          <w:p w14:paraId="181605D2">
            <w:pPr>
              <w:widowControl/>
              <w:spacing w:line="0" w:lineRule="atLeast"/>
              <w:jc w:val="center"/>
              <w:rPr>
                <w:color w:val="000000"/>
                <w:kern w:val="0"/>
                <w:sz w:val="22"/>
                <w:szCs w:val="22"/>
              </w:rPr>
            </w:pPr>
            <w:r>
              <w:rPr>
                <w:color w:val="000000"/>
                <w:kern w:val="0"/>
                <w:sz w:val="22"/>
                <w:szCs w:val="22"/>
              </w:rPr>
              <w:t>绩效目标　</w:t>
            </w:r>
          </w:p>
        </w:tc>
        <w:tc>
          <w:tcPr>
            <w:tcW w:w="1707" w:type="dxa"/>
            <w:shd w:val="clear" w:color="auto" w:fill="auto"/>
            <w:vAlign w:val="center"/>
          </w:tcPr>
          <w:p w14:paraId="74895A89">
            <w:pPr>
              <w:widowControl/>
              <w:spacing w:line="0" w:lineRule="atLeast"/>
              <w:jc w:val="center"/>
              <w:rPr>
                <w:color w:val="000000"/>
                <w:kern w:val="0"/>
                <w:sz w:val="22"/>
                <w:szCs w:val="22"/>
              </w:rPr>
            </w:pPr>
            <w:r>
              <w:rPr>
                <w:color w:val="000000"/>
                <w:kern w:val="0"/>
                <w:sz w:val="22"/>
                <w:szCs w:val="22"/>
              </w:rPr>
              <w:t>绩效目标</w:t>
            </w:r>
          </w:p>
          <w:p w14:paraId="4B845AF0">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auto"/>
            <w:vAlign w:val="center"/>
          </w:tcPr>
          <w:p w14:paraId="22E1E8D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0F00913F">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auto"/>
            <w:vAlign w:val="center"/>
          </w:tcPr>
          <w:p w14:paraId="1CB33288">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auto"/>
            <w:vAlign w:val="center"/>
          </w:tcPr>
          <w:p w14:paraId="367A5FA2">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3094AA96">
            <w:pPr>
              <w:widowControl/>
              <w:spacing w:line="0" w:lineRule="atLeast"/>
              <w:jc w:val="center"/>
              <w:rPr>
                <w:rFonts w:hint="eastAsia" w:ascii="Times New Roman" w:hAnsi="Times New Roman" w:eastAsia="宋体" w:cs="Times New Roman"/>
                <w:color w:val="000000"/>
                <w:kern w:val="0"/>
                <w:sz w:val="22"/>
                <w:szCs w:val="22"/>
                <w:lang w:val="en-US" w:eastAsia="zh-CN" w:bidi="ar-SA"/>
              </w:rPr>
            </w:pPr>
            <w:r>
              <w:rPr>
                <w:rFonts w:hint="eastAsia"/>
                <w:color w:val="000000"/>
                <w:kern w:val="0"/>
                <w:sz w:val="22"/>
                <w:szCs w:val="22"/>
              </w:rPr>
              <w:t>4</w:t>
            </w:r>
          </w:p>
        </w:tc>
      </w:tr>
      <w:tr w14:paraId="23AF38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7E8822E2">
            <w:pPr>
              <w:widowControl/>
              <w:spacing w:line="0" w:lineRule="atLeast"/>
              <w:jc w:val="center"/>
              <w:rPr>
                <w:color w:val="000000"/>
                <w:kern w:val="0"/>
                <w:sz w:val="22"/>
                <w:szCs w:val="22"/>
              </w:rPr>
            </w:pPr>
          </w:p>
        </w:tc>
        <w:tc>
          <w:tcPr>
            <w:tcW w:w="990" w:type="dxa"/>
            <w:vMerge w:val="continue"/>
            <w:shd w:val="clear" w:color="auto" w:fill="auto"/>
            <w:vAlign w:val="center"/>
          </w:tcPr>
          <w:p w14:paraId="7C1D425D">
            <w:pPr>
              <w:widowControl/>
              <w:spacing w:line="0" w:lineRule="atLeast"/>
              <w:jc w:val="center"/>
              <w:rPr>
                <w:color w:val="000000"/>
                <w:kern w:val="0"/>
                <w:sz w:val="22"/>
                <w:szCs w:val="22"/>
              </w:rPr>
            </w:pPr>
          </w:p>
        </w:tc>
        <w:tc>
          <w:tcPr>
            <w:tcW w:w="1283" w:type="dxa"/>
            <w:vMerge w:val="continue"/>
            <w:shd w:val="clear" w:color="auto" w:fill="auto"/>
            <w:vAlign w:val="center"/>
          </w:tcPr>
          <w:p w14:paraId="2C70AA1E">
            <w:pPr>
              <w:widowControl/>
              <w:spacing w:line="0" w:lineRule="atLeast"/>
              <w:jc w:val="center"/>
              <w:rPr>
                <w:color w:val="000000"/>
                <w:kern w:val="0"/>
                <w:sz w:val="22"/>
                <w:szCs w:val="22"/>
              </w:rPr>
            </w:pPr>
          </w:p>
        </w:tc>
        <w:tc>
          <w:tcPr>
            <w:tcW w:w="1707" w:type="dxa"/>
            <w:shd w:val="clear" w:color="auto" w:fill="auto"/>
            <w:vAlign w:val="center"/>
          </w:tcPr>
          <w:p w14:paraId="0A67E98C">
            <w:pPr>
              <w:widowControl/>
              <w:spacing w:line="0" w:lineRule="atLeast"/>
              <w:jc w:val="center"/>
              <w:rPr>
                <w:color w:val="000000"/>
                <w:kern w:val="0"/>
                <w:sz w:val="22"/>
                <w:szCs w:val="22"/>
              </w:rPr>
            </w:pPr>
            <w:r>
              <w:rPr>
                <w:color w:val="000000"/>
                <w:kern w:val="0"/>
                <w:sz w:val="22"/>
                <w:szCs w:val="22"/>
              </w:rPr>
              <w:t>绩效指标</w:t>
            </w:r>
          </w:p>
          <w:p w14:paraId="486981F7">
            <w:pPr>
              <w:widowControl/>
              <w:spacing w:line="0" w:lineRule="atLeast"/>
              <w:jc w:val="center"/>
              <w:rPr>
                <w:color w:val="000000"/>
                <w:kern w:val="0"/>
                <w:sz w:val="22"/>
                <w:szCs w:val="22"/>
              </w:rPr>
            </w:pPr>
            <w:r>
              <w:rPr>
                <w:color w:val="000000"/>
                <w:kern w:val="0"/>
                <w:sz w:val="22"/>
                <w:szCs w:val="22"/>
              </w:rPr>
              <w:t>明确性</w:t>
            </w:r>
          </w:p>
        </w:tc>
        <w:tc>
          <w:tcPr>
            <w:tcW w:w="727" w:type="dxa"/>
            <w:shd w:val="clear" w:color="auto" w:fill="auto"/>
            <w:vAlign w:val="center"/>
          </w:tcPr>
          <w:p w14:paraId="258602C7">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auto"/>
            <w:vAlign w:val="center"/>
          </w:tcPr>
          <w:p w14:paraId="46F4F707">
            <w:pPr>
              <w:widowControl/>
              <w:spacing w:line="0" w:lineRule="atLeast"/>
              <w:jc w:val="center"/>
              <w:rPr>
                <w:color w:val="000000"/>
                <w:kern w:val="0"/>
                <w:sz w:val="22"/>
                <w:szCs w:val="22"/>
              </w:rPr>
            </w:pPr>
            <w:r>
              <w:rPr>
                <w:color w:val="000000"/>
                <w:kern w:val="0"/>
                <w:sz w:val="22"/>
                <w:szCs w:val="22"/>
              </w:rPr>
              <w:t>明确</w:t>
            </w:r>
          </w:p>
        </w:tc>
        <w:tc>
          <w:tcPr>
            <w:tcW w:w="924" w:type="dxa"/>
            <w:shd w:val="clear" w:color="auto" w:fill="auto"/>
            <w:vAlign w:val="center"/>
          </w:tcPr>
          <w:p w14:paraId="35B52084">
            <w:pPr>
              <w:widowControl/>
              <w:spacing w:line="0" w:lineRule="atLeast"/>
              <w:jc w:val="center"/>
              <w:rPr>
                <w:color w:val="000000"/>
                <w:kern w:val="0"/>
                <w:sz w:val="22"/>
                <w:szCs w:val="22"/>
              </w:rPr>
            </w:pPr>
            <w:r>
              <w:rPr>
                <w:color w:val="000000"/>
                <w:kern w:val="0"/>
                <w:sz w:val="22"/>
                <w:szCs w:val="22"/>
              </w:rPr>
              <w:t>明确</w:t>
            </w:r>
          </w:p>
        </w:tc>
        <w:tc>
          <w:tcPr>
            <w:tcW w:w="1215" w:type="dxa"/>
            <w:shd w:val="clear" w:color="auto" w:fill="auto"/>
            <w:vAlign w:val="center"/>
          </w:tcPr>
          <w:p w14:paraId="2E54EF43">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128F74A3">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3</w:t>
            </w:r>
          </w:p>
        </w:tc>
      </w:tr>
      <w:tr w14:paraId="177461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7A93336C">
            <w:pPr>
              <w:spacing w:line="0" w:lineRule="atLeast"/>
              <w:jc w:val="center"/>
              <w:rPr>
                <w:color w:val="000000"/>
                <w:kern w:val="0"/>
                <w:sz w:val="22"/>
                <w:szCs w:val="22"/>
              </w:rPr>
            </w:pPr>
          </w:p>
        </w:tc>
        <w:tc>
          <w:tcPr>
            <w:tcW w:w="990" w:type="dxa"/>
            <w:vMerge w:val="continue"/>
            <w:shd w:val="clear" w:color="auto" w:fill="auto"/>
            <w:vAlign w:val="center"/>
          </w:tcPr>
          <w:p w14:paraId="74257F2F">
            <w:pPr>
              <w:spacing w:line="0" w:lineRule="atLeast"/>
              <w:jc w:val="center"/>
              <w:rPr>
                <w:color w:val="000000"/>
                <w:kern w:val="0"/>
                <w:sz w:val="22"/>
                <w:szCs w:val="22"/>
              </w:rPr>
            </w:pPr>
          </w:p>
        </w:tc>
        <w:tc>
          <w:tcPr>
            <w:tcW w:w="1283" w:type="dxa"/>
            <w:vMerge w:val="restart"/>
            <w:shd w:val="clear" w:color="auto" w:fill="auto"/>
            <w:vAlign w:val="center"/>
          </w:tcPr>
          <w:p w14:paraId="675B3A49">
            <w:pPr>
              <w:widowControl/>
              <w:spacing w:line="0" w:lineRule="atLeast"/>
              <w:jc w:val="center"/>
              <w:rPr>
                <w:color w:val="000000"/>
                <w:kern w:val="0"/>
                <w:sz w:val="22"/>
                <w:szCs w:val="22"/>
              </w:rPr>
            </w:pPr>
            <w:r>
              <w:rPr>
                <w:color w:val="000000"/>
                <w:kern w:val="0"/>
                <w:sz w:val="22"/>
                <w:szCs w:val="22"/>
              </w:rPr>
              <w:t>资金投入</w:t>
            </w:r>
          </w:p>
        </w:tc>
        <w:tc>
          <w:tcPr>
            <w:tcW w:w="1707" w:type="dxa"/>
            <w:shd w:val="clear" w:color="auto" w:fill="auto"/>
            <w:vAlign w:val="center"/>
          </w:tcPr>
          <w:p w14:paraId="72CCC976">
            <w:pPr>
              <w:widowControl/>
              <w:spacing w:line="0" w:lineRule="atLeast"/>
              <w:jc w:val="center"/>
              <w:rPr>
                <w:color w:val="000000"/>
                <w:kern w:val="0"/>
                <w:sz w:val="22"/>
                <w:szCs w:val="22"/>
              </w:rPr>
            </w:pPr>
            <w:r>
              <w:rPr>
                <w:color w:val="000000"/>
                <w:kern w:val="0"/>
                <w:sz w:val="22"/>
                <w:szCs w:val="22"/>
              </w:rPr>
              <w:t>预算编制</w:t>
            </w:r>
          </w:p>
          <w:p w14:paraId="40DD57BF">
            <w:pPr>
              <w:widowControl/>
              <w:spacing w:line="0" w:lineRule="atLeast"/>
              <w:jc w:val="center"/>
              <w:rPr>
                <w:color w:val="000000"/>
                <w:kern w:val="0"/>
                <w:sz w:val="22"/>
                <w:szCs w:val="22"/>
              </w:rPr>
            </w:pPr>
            <w:r>
              <w:rPr>
                <w:color w:val="000000"/>
                <w:kern w:val="0"/>
                <w:sz w:val="22"/>
                <w:szCs w:val="22"/>
              </w:rPr>
              <w:t>科学性</w:t>
            </w:r>
          </w:p>
        </w:tc>
        <w:tc>
          <w:tcPr>
            <w:tcW w:w="727" w:type="dxa"/>
            <w:shd w:val="clear" w:color="auto" w:fill="auto"/>
            <w:vAlign w:val="center"/>
          </w:tcPr>
          <w:p w14:paraId="63453983">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2C909F2C">
            <w:pPr>
              <w:widowControl/>
              <w:spacing w:line="0" w:lineRule="atLeast"/>
              <w:jc w:val="center"/>
              <w:rPr>
                <w:color w:val="000000"/>
                <w:kern w:val="0"/>
                <w:sz w:val="22"/>
                <w:szCs w:val="22"/>
              </w:rPr>
            </w:pPr>
            <w:r>
              <w:rPr>
                <w:color w:val="000000"/>
                <w:kern w:val="0"/>
                <w:sz w:val="22"/>
                <w:szCs w:val="22"/>
              </w:rPr>
              <w:t>科学</w:t>
            </w:r>
          </w:p>
        </w:tc>
        <w:tc>
          <w:tcPr>
            <w:tcW w:w="924" w:type="dxa"/>
            <w:shd w:val="clear" w:color="auto" w:fill="auto"/>
            <w:vAlign w:val="center"/>
          </w:tcPr>
          <w:p w14:paraId="2A36B2C7">
            <w:pPr>
              <w:widowControl/>
              <w:spacing w:line="0" w:lineRule="atLeast"/>
              <w:jc w:val="center"/>
              <w:rPr>
                <w:color w:val="000000"/>
                <w:kern w:val="0"/>
                <w:sz w:val="22"/>
                <w:szCs w:val="22"/>
              </w:rPr>
            </w:pPr>
            <w:r>
              <w:rPr>
                <w:color w:val="000000"/>
                <w:kern w:val="0"/>
                <w:sz w:val="22"/>
                <w:szCs w:val="22"/>
              </w:rPr>
              <w:t>科学</w:t>
            </w:r>
          </w:p>
        </w:tc>
        <w:tc>
          <w:tcPr>
            <w:tcW w:w="1215" w:type="dxa"/>
            <w:shd w:val="clear" w:color="auto" w:fill="auto"/>
            <w:vAlign w:val="center"/>
          </w:tcPr>
          <w:p w14:paraId="772AC29D">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20EDCCA8">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4</w:t>
            </w:r>
          </w:p>
        </w:tc>
      </w:tr>
      <w:tr w14:paraId="4B566D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2210E852">
            <w:pPr>
              <w:widowControl/>
              <w:spacing w:line="0" w:lineRule="atLeast"/>
              <w:jc w:val="center"/>
              <w:rPr>
                <w:color w:val="000000"/>
                <w:kern w:val="0"/>
                <w:sz w:val="22"/>
                <w:szCs w:val="22"/>
              </w:rPr>
            </w:pPr>
          </w:p>
        </w:tc>
        <w:tc>
          <w:tcPr>
            <w:tcW w:w="990" w:type="dxa"/>
            <w:vMerge w:val="continue"/>
            <w:shd w:val="clear" w:color="auto" w:fill="auto"/>
            <w:vAlign w:val="center"/>
          </w:tcPr>
          <w:p w14:paraId="058C0E3B">
            <w:pPr>
              <w:widowControl/>
              <w:spacing w:line="0" w:lineRule="atLeast"/>
              <w:jc w:val="center"/>
              <w:rPr>
                <w:color w:val="000000"/>
                <w:kern w:val="0"/>
                <w:sz w:val="22"/>
                <w:szCs w:val="22"/>
              </w:rPr>
            </w:pPr>
          </w:p>
        </w:tc>
        <w:tc>
          <w:tcPr>
            <w:tcW w:w="1283" w:type="dxa"/>
            <w:vMerge w:val="continue"/>
            <w:shd w:val="clear" w:color="auto" w:fill="auto"/>
            <w:vAlign w:val="center"/>
          </w:tcPr>
          <w:p w14:paraId="0B685180">
            <w:pPr>
              <w:widowControl/>
              <w:spacing w:line="0" w:lineRule="atLeast"/>
              <w:jc w:val="center"/>
              <w:rPr>
                <w:color w:val="000000"/>
                <w:kern w:val="0"/>
                <w:sz w:val="22"/>
                <w:szCs w:val="22"/>
              </w:rPr>
            </w:pPr>
          </w:p>
        </w:tc>
        <w:tc>
          <w:tcPr>
            <w:tcW w:w="1707" w:type="dxa"/>
            <w:shd w:val="clear" w:color="auto" w:fill="auto"/>
            <w:vAlign w:val="center"/>
          </w:tcPr>
          <w:p w14:paraId="344F4F06">
            <w:pPr>
              <w:widowControl/>
              <w:spacing w:line="0" w:lineRule="atLeast"/>
              <w:jc w:val="center"/>
              <w:rPr>
                <w:color w:val="000000"/>
                <w:kern w:val="0"/>
                <w:sz w:val="22"/>
                <w:szCs w:val="22"/>
              </w:rPr>
            </w:pPr>
            <w:r>
              <w:rPr>
                <w:color w:val="000000"/>
                <w:kern w:val="0"/>
                <w:sz w:val="22"/>
                <w:szCs w:val="22"/>
              </w:rPr>
              <w:t>资金分配</w:t>
            </w:r>
          </w:p>
          <w:p w14:paraId="6F1FF381">
            <w:pPr>
              <w:widowControl/>
              <w:spacing w:line="0" w:lineRule="atLeast"/>
              <w:jc w:val="center"/>
              <w:rPr>
                <w:color w:val="000000"/>
                <w:kern w:val="0"/>
                <w:sz w:val="22"/>
                <w:szCs w:val="22"/>
              </w:rPr>
            </w:pPr>
            <w:r>
              <w:rPr>
                <w:color w:val="000000"/>
                <w:kern w:val="0"/>
                <w:sz w:val="22"/>
                <w:szCs w:val="22"/>
              </w:rPr>
              <w:t>合理性</w:t>
            </w:r>
          </w:p>
        </w:tc>
        <w:tc>
          <w:tcPr>
            <w:tcW w:w="727" w:type="dxa"/>
            <w:shd w:val="clear" w:color="auto" w:fill="auto"/>
            <w:vAlign w:val="center"/>
          </w:tcPr>
          <w:p w14:paraId="64A53544">
            <w:pPr>
              <w:widowControl/>
              <w:spacing w:line="0" w:lineRule="atLeast"/>
              <w:jc w:val="center"/>
              <w:rPr>
                <w:color w:val="000000"/>
                <w:kern w:val="0"/>
                <w:sz w:val="22"/>
                <w:szCs w:val="22"/>
              </w:rPr>
            </w:pPr>
            <w:r>
              <w:rPr>
                <w:rFonts w:hint="eastAsia"/>
                <w:color w:val="000000"/>
                <w:kern w:val="0"/>
                <w:sz w:val="22"/>
                <w:szCs w:val="22"/>
              </w:rPr>
              <w:t>3</w:t>
            </w:r>
          </w:p>
        </w:tc>
        <w:tc>
          <w:tcPr>
            <w:tcW w:w="1044" w:type="dxa"/>
            <w:shd w:val="clear" w:color="auto" w:fill="auto"/>
            <w:vAlign w:val="center"/>
          </w:tcPr>
          <w:p w14:paraId="408335C3">
            <w:pPr>
              <w:widowControl/>
              <w:spacing w:line="0" w:lineRule="atLeast"/>
              <w:jc w:val="center"/>
              <w:rPr>
                <w:color w:val="000000"/>
                <w:kern w:val="0"/>
                <w:sz w:val="22"/>
                <w:szCs w:val="22"/>
              </w:rPr>
            </w:pPr>
            <w:r>
              <w:rPr>
                <w:color w:val="000000"/>
                <w:kern w:val="0"/>
                <w:sz w:val="22"/>
                <w:szCs w:val="22"/>
              </w:rPr>
              <w:t>合理</w:t>
            </w:r>
          </w:p>
        </w:tc>
        <w:tc>
          <w:tcPr>
            <w:tcW w:w="924" w:type="dxa"/>
            <w:shd w:val="clear" w:color="auto" w:fill="auto"/>
            <w:vAlign w:val="center"/>
          </w:tcPr>
          <w:p w14:paraId="6FD9C974">
            <w:pPr>
              <w:widowControl/>
              <w:spacing w:line="0" w:lineRule="atLeast"/>
              <w:jc w:val="center"/>
              <w:rPr>
                <w:color w:val="000000"/>
                <w:kern w:val="0"/>
                <w:sz w:val="22"/>
                <w:szCs w:val="22"/>
              </w:rPr>
            </w:pPr>
            <w:r>
              <w:rPr>
                <w:color w:val="000000"/>
                <w:kern w:val="0"/>
                <w:sz w:val="22"/>
                <w:szCs w:val="22"/>
              </w:rPr>
              <w:t>合理</w:t>
            </w:r>
          </w:p>
        </w:tc>
        <w:tc>
          <w:tcPr>
            <w:tcW w:w="1215" w:type="dxa"/>
            <w:shd w:val="clear" w:color="auto" w:fill="auto"/>
            <w:vAlign w:val="center"/>
          </w:tcPr>
          <w:p w14:paraId="2A5E4D8A">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06A9D553">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3</w:t>
            </w:r>
          </w:p>
        </w:tc>
      </w:tr>
      <w:tr w14:paraId="3BB631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auto"/>
            <w:vAlign w:val="center"/>
          </w:tcPr>
          <w:p w14:paraId="3A3B58CA">
            <w:pPr>
              <w:spacing w:line="0" w:lineRule="atLeast"/>
              <w:jc w:val="center"/>
              <w:rPr>
                <w:color w:val="000000"/>
                <w:kern w:val="0"/>
                <w:sz w:val="22"/>
                <w:szCs w:val="22"/>
              </w:rPr>
            </w:pPr>
            <w:r>
              <w:rPr>
                <w:color w:val="000000"/>
                <w:kern w:val="0"/>
                <w:sz w:val="22"/>
                <w:szCs w:val="22"/>
              </w:rPr>
              <w:t>过程</w:t>
            </w:r>
          </w:p>
          <w:p w14:paraId="5BEAC842">
            <w:pPr>
              <w:spacing w:line="0" w:lineRule="atLeast"/>
              <w:jc w:val="center"/>
              <w:rPr>
                <w:color w:val="000000"/>
                <w:kern w:val="0"/>
                <w:sz w:val="22"/>
                <w:szCs w:val="22"/>
              </w:rPr>
            </w:pPr>
            <w:r>
              <w:rPr>
                <w:color w:val="000000"/>
                <w:kern w:val="0"/>
                <w:sz w:val="22"/>
                <w:szCs w:val="22"/>
              </w:rPr>
              <w:t>　</w:t>
            </w:r>
          </w:p>
        </w:tc>
        <w:tc>
          <w:tcPr>
            <w:tcW w:w="990" w:type="dxa"/>
            <w:vMerge w:val="restart"/>
            <w:shd w:val="clear" w:color="auto" w:fill="auto"/>
            <w:vAlign w:val="center"/>
          </w:tcPr>
          <w:p w14:paraId="11ACCEEE">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283" w:type="dxa"/>
            <w:vMerge w:val="restart"/>
            <w:shd w:val="clear" w:color="auto" w:fill="auto"/>
            <w:vAlign w:val="center"/>
          </w:tcPr>
          <w:p w14:paraId="1C0C1FF4">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auto"/>
            <w:vAlign w:val="center"/>
          </w:tcPr>
          <w:p w14:paraId="12C87FA6">
            <w:pPr>
              <w:widowControl/>
              <w:spacing w:line="0" w:lineRule="atLeast"/>
              <w:jc w:val="center"/>
              <w:rPr>
                <w:color w:val="000000"/>
                <w:kern w:val="0"/>
                <w:sz w:val="22"/>
                <w:szCs w:val="22"/>
              </w:rPr>
            </w:pPr>
            <w:r>
              <w:rPr>
                <w:color w:val="000000"/>
                <w:kern w:val="0"/>
                <w:sz w:val="22"/>
                <w:szCs w:val="22"/>
              </w:rPr>
              <w:t>资金到位率</w:t>
            </w:r>
          </w:p>
        </w:tc>
        <w:tc>
          <w:tcPr>
            <w:tcW w:w="727" w:type="dxa"/>
            <w:shd w:val="clear" w:color="auto" w:fill="auto"/>
            <w:vAlign w:val="center"/>
          </w:tcPr>
          <w:p w14:paraId="1E1FD359">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410858A3">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auto"/>
            <w:vAlign w:val="center"/>
          </w:tcPr>
          <w:p w14:paraId="727402BE">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auto"/>
            <w:vAlign w:val="center"/>
          </w:tcPr>
          <w:p w14:paraId="233CDF8A">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0C232B24">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4</w:t>
            </w:r>
          </w:p>
        </w:tc>
      </w:tr>
      <w:tr w14:paraId="22847E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4BDC651B">
            <w:pPr>
              <w:spacing w:line="0" w:lineRule="atLeast"/>
              <w:jc w:val="center"/>
              <w:rPr>
                <w:color w:val="000000"/>
                <w:kern w:val="0"/>
                <w:sz w:val="22"/>
                <w:szCs w:val="22"/>
              </w:rPr>
            </w:pPr>
          </w:p>
        </w:tc>
        <w:tc>
          <w:tcPr>
            <w:tcW w:w="990" w:type="dxa"/>
            <w:vMerge w:val="continue"/>
            <w:shd w:val="clear" w:color="auto" w:fill="auto"/>
            <w:vAlign w:val="center"/>
          </w:tcPr>
          <w:p w14:paraId="2DFB470F">
            <w:pPr>
              <w:spacing w:line="0" w:lineRule="atLeast"/>
              <w:jc w:val="center"/>
              <w:rPr>
                <w:color w:val="000000"/>
                <w:kern w:val="0"/>
                <w:sz w:val="22"/>
                <w:szCs w:val="22"/>
              </w:rPr>
            </w:pPr>
          </w:p>
        </w:tc>
        <w:tc>
          <w:tcPr>
            <w:tcW w:w="1283" w:type="dxa"/>
            <w:vMerge w:val="continue"/>
            <w:shd w:val="clear" w:color="auto" w:fill="auto"/>
            <w:vAlign w:val="center"/>
          </w:tcPr>
          <w:p w14:paraId="68518063">
            <w:pPr>
              <w:spacing w:line="0" w:lineRule="atLeast"/>
              <w:jc w:val="center"/>
              <w:rPr>
                <w:color w:val="000000"/>
                <w:kern w:val="0"/>
                <w:sz w:val="22"/>
                <w:szCs w:val="22"/>
              </w:rPr>
            </w:pPr>
          </w:p>
        </w:tc>
        <w:tc>
          <w:tcPr>
            <w:tcW w:w="1707" w:type="dxa"/>
            <w:shd w:val="clear" w:color="auto" w:fill="auto"/>
            <w:vAlign w:val="center"/>
          </w:tcPr>
          <w:p w14:paraId="52823D79">
            <w:pPr>
              <w:widowControl/>
              <w:spacing w:line="0" w:lineRule="atLeast"/>
              <w:jc w:val="center"/>
              <w:rPr>
                <w:color w:val="000000"/>
                <w:kern w:val="0"/>
                <w:sz w:val="22"/>
                <w:szCs w:val="22"/>
              </w:rPr>
            </w:pPr>
            <w:r>
              <w:rPr>
                <w:color w:val="000000"/>
                <w:kern w:val="0"/>
                <w:sz w:val="22"/>
                <w:szCs w:val="22"/>
              </w:rPr>
              <w:t>预算执行率</w:t>
            </w:r>
          </w:p>
        </w:tc>
        <w:tc>
          <w:tcPr>
            <w:tcW w:w="727" w:type="dxa"/>
            <w:shd w:val="clear" w:color="auto" w:fill="auto"/>
            <w:vAlign w:val="center"/>
          </w:tcPr>
          <w:p w14:paraId="44FB1F4F">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7B8AC538">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auto"/>
            <w:vAlign w:val="center"/>
          </w:tcPr>
          <w:p w14:paraId="442204EA">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98.8</w:t>
            </w:r>
            <w:r>
              <w:rPr>
                <w:color w:val="000000"/>
                <w:kern w:val="0"/>
                <w:sz w:val="22"/>
                <w:szCs w:val="22"/>
                <w:highlight w:val="none"/>
              </w:rPr>
              <w:t>%</w:t>
            </w:r>
          </w:p>
        </w:tc>
        <w:tc>
          <w:tcPr>
            <w:tcW w:w="1215" w:type="dxa"/>
            <w:shd w:val="clear" w:color="auto" w:fill="auto"/>
            <w:vAlign w:val="center"/>
          </w:tcPr>
          <w:p w14:paraId="343574F8">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highlight w:val="none"/>
                <w:lang w:val="en-US" w:eastAsia="zh-CN"/>
              </w:rPr>
              <w:t>75%</w:t>
            </w:r>
          </w:p>
        </w:tc>
        <w:tc>
          <w:tcPr>
            <w:tcW w:w="960" w:type="dxa"/>
            <w:shd w:val="clear" w:color="auto" w:fill="auto"/>
            <w:vAlign w:val="center"/>
          </w:tcPr>
          <w:p w14:paraId="178E5B45">
            <w:pPr>
              <w:widowControl/>
              <w:spacing w:line="0" w:lineRule="atLeast"/>
              <w:jc w:val="center"/>
              <w:rPr>
                <w:rFonts w:hint="eastAsia" w:ascii="Times New Roman" w:hAnsi="Times New Roman" w:eastAsia="宋体" w:cs="Times New Roman"/>
                <w:color w:val="000000"/>
                <w:kern w:val="0"/>
                <w:sz w:val="22"/>
                <w:szCs w:val="22"/>
                <w:lang w:val="en-US" w:eastAsia="zh-CN" w:bidi="ar-SA"/>
              </w:rPr>
            </w:pPr>
            <w:r>
              <w:rPr>
                <w:rFonts w:hint="eastAsia"/>
                <w:color w:val="000000"/>
                <w:kern w:val="0"/>
                <w:sz w:val="22"/>
                <w:szCs w:val="22"/>
                <w:lang w:val="en-US" w:eastAsia="zh-CN"/>
              </w:rPr>
              <w:t>3</w:t>
            </w:r>
          </w:p>
        </w:tc>
      </w:tr>
      <w:tr w14:paraId="6A893D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560931C4">
            <w:pPr>
              <w:spacing w:line="0" w:lineRule="atLeast"/>
              <w:jc w:val="center"/>
              <w:rPr>
                <w:color w:val="000000"/>
                <w:kern w:val="0"/>
                <w:sz w:val="22"/>
                <w:szCs w:val="22"/>
              </w:rPr>
            </w:pPr>
          </w:p>
        </w:tc>
        <w:tc>
          <w:tcPr>
            <w:tcW w:w="990" w:type="dxa"/>
            <w:vMerge w:val="continue"/>
            <w:shd w:val="clear" w:color="auto" w:fill="auto"/>
            <w:vAlign w:val="center"/>
          </w:tcPr>
          <w:p w14:paraId="6350A57A">
            <w:pPr>
              <w:widowControl/>
              <w:spacing w:line="0" w:lineRule="atLeast"/>
              <w:jc w:val="center"/>
              <w:rPr>
                <w:color w:val="000000"/>
                <w:kern w:val="0"/>
                <w:sz w:val="22"/>
                <w:szCs w:val="22"/>
              </w:rPr>
            </w:pPr>
          </w:p>
        </w:tc>
        <w:tc>
          <w:tcPr>
            <w:tcW w:w="1283" w:type="dxa"/>
            <w:shd w:val="clear" w:color="auto" w:fill="auto"/>
            <w:vAlign w:val="center"/>
          </w:tcPr>
          <w:p w14:paraId="4C142836">
            <w:pPr>
              <w:widowControl/>
              <w:spacing w:line="0" w:lineRule="atLeast"/>
              <w:jc w:val="center"/>
              <w:rPr>
                <w:color w:val="000000"/>
                <w:kern w:val="0"/>
                <w:sz w:val="22"/>
                <w:szCs w:val="22"/>
              </w:rPr>
            </w:pPr>
            <w:r>
              <w:rPr>
                <w:color w:val="000000"/>
                <w:kern w:val="0"/>
                <w:sz w:val="22"/>
                <w:szCs w:val="22"/>
              </w:rPr>
              <w:t>资金管理</w:t>
            </w:r>
          </w:p>
        </w:tc>
        <w:tc>
          <w:tcPr>
            <w:tcW w:w="1707" w:type="dxa"/>
            <w:shd w:val="clear" w:color="auto" w:fill="auto"/>
            <w:vAlign w:val="center"/>
          </w:tcPr>
          <w:p w14:paraId="33419D9F">
            <w:pPr>
              <w:widowControl/>
              <w:spacing w:line="0" w:lineRule="atLeast"/>
              <w:jc w:val="center"/>
              <w:rPr>
                <w:color w:val="000000"/>
                <w:kern w:val="0"/>
                <w:sz w:val="22"/>
                <w:szCs w:val="22"/>
              </w:rPr>
            </w:pPr>
            <w:r>
              <w:rPr>
                <w:color w:val="000000"/>
                <w:kern w:val="0"/>
                <w:sz w:val="22"/>
                <w:szCs w:val="22"/>
              </w:rPr>
              <w:t>资金使用</w:t>
            </w:r>
          </w:p>
          <w:p w14:paraId="67B86F4A">
            <w:pPr>
              <w:widowControl/>
              <w:spacing w:line="0" w:lineRule="atLeast"/>
              <w:jc w:val="center"/>
              <w:rPr>
                <w:color w:val="000000"/>
                <w:kern w:val="0"/>
                <w:sz w:val="22"/>
                <w:szCs w:val="22"/>
              </w:rPr>
            </w:pPr>
            <w:r>
              <w:rPr>
                <w:color w:val="000000"/>
                <w:kern w:val="0"/>
                <w:sz w:val="22"/>
                <w:szCs w:val="22"/>
              </w:rPr>
              <w:t>合规性</w:t>
            </w:r>
          </w:p>
        </w:tc>
        <w:tc>
          <w:tcPr>
            <w:tcW w:w="727" w:type="dxa"/>
            <w:shd w:val="clear" w:color="auto" w:fill="auto"/>
            <w:vAlign w:val="center"/>
          </w:tcPr>
          <w:p w14:paraId="031E44B7">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4A86628C">
            <w:pPr>
              <w:widowControl/>
              <w:spacing w:line="0" w:lineRule="atLeast"/>
              <w:jc w:val="center"/>
              <w:rPr>
                <w:color w:val="000000"/>
                <w:kern w:val="0"/>
                <w:sz w:val="22"/>
                <w:szCs w:val="22"/>
              </w:rPr>
            </w:pPr>
            <w:r>
              <w:rPr>
                <w:color w:val="000000"/>
                <w:kern w:val="0"/>
                <w:sz w:val="22"/>
                <w:szCs w:val="22"/>
              </w:rPr>
              <w:t>合格</w:t>
            </w:r>
          </w:p>
        </w:tc>
        <w:tc>
          <w:tcPr>
            <w:tcW w:w="924" w:type="dxa"/>
            <w:shd w:val="clear" w:color="auto" w:fill="auto"/>
            <w:vAlign w:val="center"/>
          </w:tcPr>
          <w:p w14:paraId="377E1E0B">
            <w:pPr>
              <w:widowControl/>
              <w:spacing w:line="0" w:lineRule="atLeast"/>
              <w:jc w:val="center"/>
              <w:rPr>
                <w:color w:val="000000"/>
                <w:kern w:val="0"/>
                <w:sz w:val="22"/>
                <w:szCs w:val="22"/>
              </w:rPr>
            </w:pPr>
            <w:r>
              <w:rPr>
                <w:color w:val="000000"/>
                <w:kern w:val="0"/>
                <w:sz w:val="22"/>
                <w:szCs w:val="22"/>
              </w:rPr>
              <w:t>合格</w:t>
            </w:r>
          </w:p>
        </w:tc>
        <w:tc>
          <w:tcPr>
            <w:tcW w:w="1215" w:type="dxa"/>
            <w:shd w:val="clear" w:color="auto" w:fill="auto"/>
            <w:vAlign w:val="center"/>
          </w:tcPr>
          <w:p w14:paraId="34869EBD">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7CCD8DC0">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4</w:t>
            </w:r>
          </w:p>
        </w:tc>
      </w:tr>
      <w:tr w14:paraId="46BA11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23F49699">
            <w:pPr>
              <w:spacing w:line="0" w:lineRule="atLeast"/>
              <w:jc w:val="center"/>
              <w:rPr>
                <w:color w:val="000000"/>
                <w:kern w:val="0"/>
                <w:sz w:val="22"/>
                <w:szCs w:val="22"/>
              </w:rPr>
            </w:pPr>
          </w:p>
        </w:tc>
        <w:tc>
          <w:tcPr>
            <w:tcW w:w="990" w:type="dxa"/>
            <w:vMerge w:val="continue"/>
            <w:shd w:val="clear" w:color="auto" w:fill="auto"/>
            <w:vAlign w:val="center"/>
          </w:tcPr>
          <w:p w14:paraId="292CF45D">
            <w:pPr>
              <w:spacing w:line="0" w:lineRule="atLeast"/>
              <w:jc w:val="center"/>
              <w:rPr>
                <w:color w:val="000000"/>
                <w:kern w:val="0"/>
                <w:sz w:val="22"/>
                <w:szCs w:val="22"/>
              </w:rPr>
            </w:pPr>
          </w:p>
        </w:tc>
        <w:tc>
          <w:tcPr>
            <w:tcW w:w="1283" w:type="dxa"/>
            <w:vMerge w:val="restart"/>
            <w:shd w:val="clear" w:color="auto" w:fill="auto"/>
            <w:vAlign w:val="center"/>
          </w:tcPr>
          <w:p w14:paraId="3CD5D265">
            <w:pPr>
              <w:widowControl/>
              <w:spacing w:line="0" w:lineRule="atLeast"/>
              <w:jc w:val="center"/>
              <w:rPr>
                <w:color w:val="000000"/>
                <w:kern w:val="0"/>
                <w:sz w:val="22"/>
                <w:szCs w:val="22"/>
              </w:rPr>
            </w:pPr>
            <w:r>
              <w:rPr>
                <w:color w:val="000000"/>
                <w:kern w:val="0"/>
                <w:sz w:val="22"/>
                <w:szCs w:val="22"/>
              </w:rPr>
              <w:t>组织实施</w:t>
            </w:r>
          </w:p>
        </w:tc>
        <w:tc>
          <w:tcPr>
            <w:tcW w:w="1707" w:type="dxa"/>
            <w:shd w:val="clear" w:color="auto" w:fill="auto"/>
            <w:vAlign w:val="center"/>
          </w:tcPr>
          <w:p w14:paraId="60073F1A">
            <w:pPr>
              <w:widowControl/>
              <w:spacing w:line="0" w:lineRule="atLeast"/>
              <w:jc w:val="center"/>
              <w:rPr>
                <w:color w:val="000000"/>
                <w:kern w:val="0"/>
                <w:sz w:val="22"/>
                <w:szCs w:val="22"/>
              </w:rPr>
            </w:pPr>
            <w:r>
              <w:rPr>
                <w:color w:val="000000"/>
                <w:kern w:val="0"/>
                <w:sz w:val="22"/>
                <w:szCs w:val="22"/>
              </w:rPr>
              <w:t>管理制度</w:t>
            </w:r>
          </w:p>
          <w:p w14:paraId="7E664523">
            <w:pPr>
              <w:widowControl/>
              <w:spacing w:line="0" w:lineRule="atLeast"/>
              <w:jc w:val="center"/>
              <w:rPr>
                <w:color w:val="000000"/>
                <w:kern w:val="0"/>
                <w:sz w:val="22"/>
                <w:szCs w:val="22"/>
              </w:rPr>
            </w:pPr>
            <w:r>
              <w:rPr>
                <w:color w:val="000000"/>
                <w:kern w:val="0"/>
                <w:sz w:val="22"/>
                <w:szCs w:val="22"/>
              </w:rPr>
              <w:t>健全性</w:t>
            </w:r>
          </w:p>
        </w:tc>
        <w:tc>
          <w:tcPr>
            <w:tcW w:w="727" w:type="dxa"/>
            <w:shd w:val="clear" w:color="auto" w:fill="auto"/>
            <w:vAlign w:val="center"/>
          </w:tcPr>
          <w:p w14:paraId="1727BDE6">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5EE2BD1D">
            <w:pPr>
              <w:widowControl/>
              <w:spacing w:line="0" w:lineRule="atLeast"/>
              <w:jc w:val="center"/>
              <w:rPr>
                <w:color w:val="000000"/>
                <w:kern w:val="0"/>
                <w:sz w:val="22"/>
                <w:szCs w:val="22"/>
              </w:rPr>
            </w:pPr>
            <w:r>
              <w:rPr>
                <w:color w:val="000000"/>
                <w:kern w:val="0"/>
                <w:sz w:val="22"/>
                <w:szCs w:val="22"/>
              </w:rPr>
              <w:t>健全</w:t>
            </w:r>
          </w:p>
        </w:tc>
        <w:tc>
          <w:tcPr>
            <w:tcW w:w="924" w:type="dxa"/>
            <w:shd w:val="clear" w:color="auto" w:fill="auto"/>
            <w:vAlign w:val="center"/>
          </w:tcPr>
          <w:p w14:paraId="17BDCE78">
            <w:pPr>
              <w:widowControl/>
              <w:spacing w:line="0" w:lineRule="atLeast"/>
              <w:jc w:val="center"/>
              <w:rPr>
                <w:color w:val="000000"/>
                <w:kern w:val="0"/>
                <w:sz w:val="22"/>
                <w:szCs w:val="22"/>
              </w:rPr>
            </w:pPr>
            <w:r>
              <w:rPr>
                <w:color w:val="000000"/>
                <w:kern w:val="0"/>
                <w:sz w:val="22"/>
                <w:szCs w:val="22"/>
              </w:rPr>
              <w:t>健全</w:t>
            </w:r>
          </w:p>
        </w:tc>
        <w:tc>
          <w:tcPr>
            <w:tcW w:w="1215" w:type="dxa"/>
            <w:shd w:val="clear" w:color="auto" w:fill="auto"/>
            <w:vAlign w:val="center"/>
          </w:tcPr>
          <w:p w14:paraId="6E20B22D">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highlight w:val="none"/>
                <w:lang w:val="en-US" w:eastAsia="zh-CN"/>
              </w:rPr>
              <w:t>100%</w:t>
            </w:r>
          </w:p>
        </w:tc>
        <w:tc>
          <w:tcPr>
            <w:tcW w:w="960" w:type="dxa"/>
            <w:shd w:val="clear" w:color="auto" w:fill="auto"/>
            <w:vAlign w:val="center"/>
          </w:tcPr>
          <w:p w14:paraId="2ED9EFEE">
            <w:pPr>
              <w:widowControl/>
              <w:spacing w:line="0" w:lineRule="atLeast"/>
              <w:jc w:val="center"/>
              <w:rPr>
                <w:rFonts w:hint="eastAsia" w:ascii="Times New Roman" w:hAnsi="Times New Roman" w:eastAsia="宋体" w:cs="Times New Roman"/>
                <w:color w:val="000000"/>
                <w:kern w:val="0"/>
                <w:sz w:val="22"/>
                <w:szCs w:val="22"/>
                <w:lang w:val="en-US" w:eastAsia="zh-CN" w:bidi="ar-SA"/>
              </w:rPr>
            </w:pPr>
            <w:r>
              <w:rPr>
                <w:rFonts w:hint="eastAsia"/>
                <w:color w:val="000000"/>
                <w:kern w:val="0"/>
                <w:sz w:val="22"/>
                <w:szCs w:val="22"/>
                <w:lang w:val="en-US" w:eastAsia="zh-CN"/>
              </w:rPr>
              <w:t>2</w:t>
            </w:r>
          </w:p>
        </w:tc>
      </w:tr>
      <w:tr w14:paraId="2BBA50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688D5B89">
            <w:pPr>
              <w:widowControl/>
              <w:spacing w:line="0" w:lineRule="atLeast"/>
              <w:jc w:val="center"/>
              <w:rPr>
                <w:color w:val="000000"/>
                <w:kern w:val="0"/>
                <w:sz w:val="22"/>
                <w:szCs w:val="22"/>
              </w:rPr>
            </w:pPr>
          </w:p>
        </w:tc>
        <w:tc>
          <w:tcPr>
            <w:tcW w:w="990" w:type="dxa"/>
            <w:vMerge w:val="continue"/>
            <w:shd w:val="clear" w:color="auto" w:fill="auto"/>
            <w:vAlign w:val="center"/>
          </w:tcPr>
          <w:p w14:paraId="1257A648">
            <w:pPr>
              <w:widowControl/>
              <w:spacing w:line="0" w:lineRule="atLeast"/>
              <w:jc w:val="center"/>
              <w:rPr>
                <w:color w:val="000000"/>
                <w:kern w:val="0"/>
                <w:sz w:val="22"/>
                <w:szCs w:val="22"/>
              </w:rPr>
            </w:pPr>
          </w:p>
        </w:tc>
        <w:tc>
          <w:tcPr>
            <w:tcW w:w="1283" w:type="dxa"/>
            <w:vMerge w:val="continue"/>
            <w:shd w:val="clear" w:color="auto" w:fill="auto"/>
            <w:vAlign w:val="center"/>
          </w:tcPr>
          <w:p w14:paraId="19DC7F1B">
            <w:pPr>
              <w:widowControl/>
              <w:spacing w:line="0" w:lineRule="atLeast"/>
              <w:jc w:val="center"/>
              <w:rPr>
                <w:color w:val="000000"/>
                <w:kern w:val="0"/>
                <w:sz w:val="22"/>
                <w:szCs w:val="22"/>
              </w:rPr>
            </w:pPr>
          </w:p>
        </w:tc>
        <w:tc>
          <w:tcPr>
            <w:tcW w:w="1707" w:type="dxa"/>
            <w:shd w:val="clear" w:color="auto" w:fill="auto"/>
            <w:vAlign w:val="center"/>
          </w:tcPr>
          <w:p w14:paraId="6D8783C0">
            <w:pPr>
              <w:widowControl/>
              <w:spacing w:line="0" w:lineRule="atLeast"/>
              <w:jc w:val="center"/>
              <w:rPr>
                <w:color w:val="000000"/>
                <w:kern w:val="0"/>
                <w:sz w:val="22"/>
                <w:szCs w:val="22"/>
              </w:rPr>
            </w:pPr>
            <w:r>
              <w:rPr>
                <w:color w:val="000000"/>
                <w:kern w:val="0"/>
                <w:sz w:val="22"/>
                <w:szCs w:val="22"/>
              </w:rPr>
              <w:t>制度执行</w:t>
            </w:r>
          </w:p>
          <w:p w14:paraId="628C7EAB">
            <w:pPr>
              <w:widowControl/>
              <w:spacing w:line="0" w:lineRule="atLeast"/>
              <w:jc w:val="center"/>
              <w:rPr>
                <w:color w:val="000000"/>
                <w:kern w:val="0"/>
                <w:sz w:val="22"/>
                <w:szCs w:val="22"/>
              </w:rPr>
            </w:pPr>
            <w:r>
              <w:rPr>
                <w:color w:val="000000"/>
                <w:kern w:val="0"/>
                <w:sz w:val="22"/>
                <w:szCs w:val="22"/>
              </w:rPr>
              <w:t>有效性</w:t>
            </w:r>
          </w:p>
        </w:tc>
        <w:tc>
          <w:tcPr>
            <w:tcW w:w="727" w:type="dxa"/>
            <w:shd w:val="clear" w:color="auto" w:fill="auto"/>
            <w:vAlign w:val="center"/>
          </w:tcPr>
          <w:p w14:paraId="3C67310D">
            <w:pPr>
              <w:widowControl/>
              <w:spacing w:line="0" w:lineRule="atLeast"/>
              <w:jc w:val="center"/>
              <w:rPr>
                <w:color w:val="000000"/>
                <w:kern w:val="0"/>
                <w:sz w:val="22"/>
                <w:szCs w:val="22"/>
              </w:rPr>
            </w:pPr>
            <w:r>
              <w:rPr>
                <w:rFonts w:hint="eastAsia"/>
                <w:color w:val="000000"/>
                <w:kern w:val="0"/>
                <w:sz w:val="22"/>
                <w:szCs w:val="22"/>
              </w:rPr>
              <w:t>4</w:t>
            </w:r>
          </w:p>
        </w:tc>
        <w:tc>
          <w:tcPr>
            <w:tcW w:w="1044" w:type="dxa"/>
            <w:shd w:val="clear" w:color="auto" w:fill="auto"/>
            <w:vAlign w:val="center"/>
          </w:tcPr>
          <w:p w14:paraId="2EC27477">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auto"/>
            <w:vAlign w:val="center"/>
          </w:tcPr>
          <w:p w14:paraId="52723BB4">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auto"/>
            <w:vAlign w:val="center"/>
          </w:tcPr>
          <w:p w14:paraId="42B01B32">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1AA6902B">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4</w:t>
            </w:r>
          </w:p>
        </w:tc>
      </w:tr>
      <w:tr w14:paraId="788A1D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auto"/>
            <w:vAlign w:val="center"/>
          </w:tcPr>
          <w:p w14:paraId="095E193B">
            <w:pPr>
              <w:widowControl/>
              <w:spacing w:line="0" w:lineRule="atLeast"/>
              <w:jc w:val="center"/>
              <w:rPr>
                <w:color w:val="000000"/>
                <w:kern w:val="0"/>
                <w:sz w:val="22"/>
                <w:szCs w:val="22"/>
              </w:rPr>
            </w:pPr>
            <w:r>
              <w:rPr>
                <w:color w:val="000000"/>
                <w:kern w:val="0"/>
                <w:sz w:val="22"/>
                <w:szCs w:val="22"/>
              </w:rPr>
              <w:t>产出</w:t>
            </w:r>
          </w:p>
        </w:tc>
        <w:tc>
          <w:tcPr>
            <w:tcW w:w="990" w:type="dxa"/>
            <w:vMerge w:val="restart"/>
            <w:shd w:val="clear" w:color="auto" w:fill="auto"/>
            <w:vAlign w:val="center"/>
          </w:tcPr>
          <w:p w14:paraId="1C4572CC">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283" w:type="dxa"/>
            <w:shd w:val="clear" w:color="auto" w:fill="auto"/>
            <w:vAlign w:val="center"/>
          </w:tcPr>
          <w:p w14:paraId="7068A6F5">
            <w:pPr>
              <w:widowControl/>
              <w:spacing w:line="0" w:lineRule="atLeast"/>
              <w:jc w:val="center"/>
              <w:rPr>
                <w:color w:val="000000"/>
                <w:kern w:val="0"/>
                <w:sz w:val="22"/>
                <w:szCs w:val="22"/>
              </w:rPr>
            </w:pPr>
            <w:r>
              <w:rPr>
                <w:color w:val="000000"/>
                <w:kern w:val="0"/>
                <w:sz w:val="22"/>
                <w:szCs w:val="22"/>
              </w:rPr>
              <w:t>产出数量</w:t>
            </w:r>
          </w:p>
        </w:tc>
        <w:tc>
          <w:tcPr>
            <w:tcW w:w="1707" w:type="dxa"/>
            <w:shd w:val="clear" w:color="auto" w:fill="auto"/>
            <w:vAlign w:val="center"/>
          </w:tcPr>
          <w:p w14:paraId="026005C4">
            <w:pPr>
              <w:widowControl/>
              <w:spacing w:line="0" w:lineRule="atLeast"/>
              <w:jc w:val="center"/>
              <w:rPr>
                <w:color w:val="000000"/>
                <w:kern w:val="0"/>
                <w:sz w:val="22"/>
                <w:szCs w:val="22"/>
              </w:rPr>
            </w:pPr>
            <w:r>
              <w:rPr>
                <w:color w:val="000000"/>
                <w:kern w:val="0"/>
                <w:sz w:val="22"/>
                <w:szCs w:val="22"/>
              </w:rPr>
              <w:t>实际完成率</w:t>
            </w:r>
          </w:p>
        </w:tc>
        <w:tc>
          <w:tcPr>
            <w:tcW w:w="727" w:type="dxa"/>
            <w:shd w:val="clear" w:color="auto" w:fill="auto"/>
            <w:vAlign w:val="center"/>
          </w:tcPr>
          <w:p w14:paraId="3148E3BA">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auto" w:fill="auto"/>
            <w:vAlign w:val="center"/>
          </w:tcPr>
          <w:p w14:paraId="3A4DE6CA">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auto"/>
            <w:vAlign w:val="center"/>
          </w:tcPr>
          <w:p w14:paraId="582597C3">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90</w:t>
            </w:r>
            <w:r>
              <w:rPr>
                <w:color w:val="000000"/>
                <w:kern w:val="0"/>
                <w:sz w:val="22"/>
                <w:szCs w:val="22"/>
                <w:highlight w:val="none"/>
              </w:rPr>
              <w:t>%</w:t>
            </w:r>
          </w:p>
        </w:tc>
        <w:tc>
          <w:tcPr>
            <w:tcW w:w="1215" w:type="dxa"/>
            <w:shd w:val="clear" w:color="auto" w:fill="auto"/>
            <w:vAlign w:val="center"/>
          </w:tcPr>
          <w:p w14:paraId="74514FAF">
            <w:pPr>
              <w:widowControl/>
              <w:spacing w:line="0" w:lineRule="atLeast"/>
              <w:jc w:val="center"/>
              <w:rPr>
                <w:color w:val="000000"/>
                <w:kern w:val="0"/>
                <w:sz w:val="22"/>
                <w:szCs w:val="22"/>
                <w:highlight w:val="none"/>
              </w:rPr>
            </w:pPr>
            <w:r>
              <w:rPr>
                <w:rFonts w:hint="eastAsia"/>
                <w:color w:val="000000"/>
                <w:kern w:val="0"/>
                <w:sz w:val="22"/>
                <w:szCs w:val="22"/>
                <w:highlight w:val="none"/>
                <w:lang w:val="en-US" w:eastAsia="zh-CN"/>
              </w:rPr>
              <w:t>90</w:t>
            </w:r>
            <w:r>
              <w:rPr>
                <w:color w:val="000000"/>
                <w:kern w:val="0"/>
                <w:sz w:val="22"/>
                <w:szCs w:val="22"/>
                <w:highlight w:val="none"/>
              </w:rPr>
              <w:t>%</w:t>
            </w:r>
          </w:p>
        </w:tc>
        <w:tc>
          <w:tcPr>
            <w:tcW w:w="960" w:type="dxa"/>
            <w:shd w:val="clear" w:color="auto" w:fill="auto"/>
            <w:vAlign w:val="center"/>
          </w:tcPr>
          <w:p w14:paraId="3A74AB4E">
            <w:pPr>
              <w:widowControl/>
              <w:spacing w:line="0" w:lineRule="atLeast"/>
              <w:jc w:val="center"/>
              <w:rPr>
                <w:rFonts w:hint="eastAsia" w:ascii="Times New Roman" w:hAnsi="Times New Roman" w:eastAsia="宋体" w:cs="Times New Roman"/>
                <w:color w:val="000000"/>
                <w:kern w:val="0"/>
                <w:sz w:val="22"/>
                <w:szCs w:val="22"/>
                <w:lang w:val="en-US" w:eastAsia="zh-CN" w:bidi="ar-SA"/>
              </w:rPr>
            </w:pPr>
            <w:r>
              <w:rPr>
                <w:rFonts w:hint="eastAsia"/>
                <w:color w:val="000000"/>
                <w:kern w:val="0"/>
                <w:sz w:val="22"/>
                <w:szCs w:val="22"/>
                <w:lang w:val="en-US" w:eastAsia="zh-CN"/>
              </w:rPr>
              <w:t>9</w:t>
            </w:r>
          </w:p>
        </w:tc>
      </w:tr>
      <w:tr w14:paraId="4BDA9A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2ECC18D3">
            <w:pPr>
              <w:widowControl/>
              <w:spacing w:line="0" w:lineRule="atLeast"/>
              <w:jc w:val="center"/>
              <w:rPr>
                <w:color w:val="000000"/>
                <w:kern w:val="0"/>
                <w:sz w:val="22"/>
                <w:szCs w:val="22"/>
              </w:rPr>
            </w:pPr>
          </w:p>
        </w:tc>
        <w:tc>
          <w:tcPr>
            <w:tcW w:w="990" w:type="dxa"/>
            <w:vMerge w:val="continue"/>
            <w:shd w:val="clear" w:color="auto" w:fill="auto"/>
            <w:vAlign w:val="center"/>
          </w:tcPr>
          <w:p w14:paraId="4D5501B4">
            <w:pPr>
              <w:widowControl/>
              <w:spacing w:line="0" w:lineRule="atLeast"/>
              <w:jc w:val="center"/>
              <w:rPr>
                <w:color w:val="000000"/>
                <w:kern w:val="0"/>
                <w:sz w:val="22"/>
                <w:szCs w:val="22"/>
              </w:rPr>
            </w:pPr>
          </w:p>
        </w:tc>
        <w:tc>
          <w:tcPr>
            <w:tcW w:w="1283" w:type="dxa"/>
            <w:shd w:val="clear" w:color="auto" w:fill="auto"/>
            <w:vAlign w:val="center"/>
          </w:tcPr>
          <w:p w14:paraId="4384B90A">
            <w:pPr>
              <w:widowControl/>
              <w:spacing w:line="0" w:lineRule="atLeast"/>
              <w:jc w:val="center"/>
              <w:rPr>
                <w:color w:val="000000"/>
                <w:kern w:val="0"/>
                <w:sz w:val="22"/>
                <w:szCs w:val="22"/>
              </w:rPr>
            </w:pPr>
            <w:r>
              <w:rPr>
                <w:color w:val="000000"/>
                <w:kern w:val="0"/>
                <w:sz w:val="22"/>
                <w:szCs w:val="22"/>
              </w:rPr>
              <w:t>产出质量</w:t>
            </w:r>
          </w:p>
        </w:tc>
        <w:tc>
          <w:tcPr>
            <w:tcW w:w="1707" w:type="dxa"/>
            <w:shd w:val="clear" w:color="auto" w:fill="auto"/>
            <w:vAlign w:val="center"/>
          </w:tcPr>
          <w:p w14:paraId="5B7C42E8">
            <w:pPr>
              <w:widowControl/>
              <w:spacing w:line="0" w:lineRule="atLeast"/>
              <w:jc w:val="center"/>
              <w:rPr>
                <w:color w:val="000000"/>
                <w:kern w:val="0"/>
                <w:sz w:val="22"/>
                <w:szCs w:val="22"/>
              </w:rPr>
            </w:pPr>
            <w:r>
              <w:rPr>
                <w:color w:val="000000"/>
                <w:kern w:val="0"/>
                <w:sz w:val="22"/>
                <w:szCs w:val="22"/>
              </w:rPr>
              <w:t>质量达标率</w:t>
            </w:r>
          </w:p>
        </w:tc>
        <w:tc>
          <w:tcPr>
            <w:tcW w:w="727" w:type="dxa"/>
            <w:shd w:val="clear" w:color="auto" w:fill="auto"/>
            <w:vAlign w:val="center"/>
          </w:tcPr>
          <w:p w14:paraId="0259AF70">
            <w:pPr>
              <w:widowControl/>
              <w:spacing w:line="0" w:lineRule="atLeast"/>
              <w:jc w:val="center"/>
              <w:rPr>
                <w:color w:val="000000"/>
                <w:kern w:val="0"/>
                <w:sz w:val="22"/>
                <w:szCs w:val="22"/>
              </w:rPr>
            </w:pPr>
            <w:r>
              <w:rPr>
                <w:color w:val="000000"/>
                <w:kern w:val="0"/>
                <w:sz w:val="22"/>
                <w:szCs w:val="22"/>
              </w:rPr>
              <w:t>10</w:t>
            </w:r>
          </w:p>
        </w:tc>
        <w:tc>
          <w:tcPr>
            <w:tcW w:w="1044" w:type="dxa"/>
            <w:shd w:val="clear" w:color="auto" w:fill="auto"/>
            <w:vAlign w:val="center"/>
          </w:tcPr>
          <w:p w14:paraId="62E5695E">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auto"/>
            <w:vAlign w:val="center"/>
          </w:tcPr>
          <w:p w14:paraId="5CF963F4">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auto"/>
            <w:vAlign w:val="center"/>
          </w:tcPr>
          <w:p w14:paraId="3D7BAF0E">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3FDD639C">
            <w:pPr>
              <w:widowControl/>
              <w:spacing w:line="0" w:lineRule="atLeast"/>
              <w:jc w:val="center"/>
              <w:rPr>
                <w:rFonts w:ascii="Times New Roman" w:hAnsi="Times New Roman" w:eastAsia="宋体" w:cs="Times New Roman"/>
                <w:color w:val="000000"/>
                <w:kern w:val="0"/>
                <w:sz w:val="22"/>
                <w:szCs w:val="22"/>
                <w:lang w:val="en-US" w:eastAsia="zh-CN" w:bidi="ar-SA"/>
              </w:rPr>
            </w:pPr>
            <w:r>
              <w:rPr>
                <w:color w:val="000000"/>
                <w:kern w:val="0"/>
                <w:sz w:val="22"/>
                <w:szCs w:val="22"/>
              </w:rPr>
              <w:t>10</w:t>
            </w:r>
          </w:p>
        </w:tc>
      </w:tr>
      <w:tr w14:paraId="38A884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0B9D0CB0">
            <w:pPr>
              <w:spacing w:line="0" w:lineRule="atLeast"/>
              <w:jc w:val="center"/>
              <w:rPr>
                <w:color w:val="000000"/>
                <w:kern w:val="0"/>
                <w:sz w:val="22"/>
                <w:szCs w:val="22"/>
              </w:rPr>
            </w:pPr>
          </w:p>
        </w:tc>
        <w:tc>
          <w:tcPr>
            <w:tcW w:w="990" w:type="dxa"/>
            <w:vMerge w:val="continue"/>
            <w:shd w:val="clear" w:color="auto" w:fill="auto"/>
            <w:vAlign w:val="center"/>
          </w:tcPr>
          <w:p w14:paraId="71FD99CB">
            <w:pPr>
              <w:spacing w:line="0" w:lineRule="atLeast"/>
              <w:jc w:val="center"/>
              <w:rPr>
                <w:color w:val="000000"/>
                <w:kern w:val="0"/>
                <w:sz w:val="22"/>
                <w:szCs w:val="22"/>
              </w:rPr>
            </w:pPr>
          </w:p>
        </w:tc>
        <w:tc>
          <w:tcPr>
            <w:tcW w:w="1283" w:type="dxa"/>
            <w:shd w:val="clear" w:color="auto" w:fill="auto"/>
            <w:vAlign w:val="center"/>
          </w:tcPr>
          <w:p w14:paraId="3F66A4B1">
            <w:pPr>
              <w:spacing w:line="0" w:lineRule="atLeast"/>
              <w:jc w:val="center"/>
              <w:rPr>
                <w:color w:val="000000"/>
                <w:kern w:val="0"/>
                <w:sz w:val="22"/>
                <w:szCs w:val="22"/>
              </w:rPr>
            </w:pPr>
            <w:r>
              <w:rPr>
                <w:color w:val="000000"/>
                <w:kern w:val="0"/>
                <w:sz w:val="22"/>
                <w:szCs w:val="22"/>
              </w:rPr>
              <w:t>产出时效</w:t>
            </w:r>
          </w:p>
        </w:tc>
        <w:tc>
          <w:tcPr>
            <w:tcW w:w="1707" w:type="dxa"/>
            <w:shd w:val="clear" w:color="auto" w:fill="auto"/>
            <w:vAlign w:val="center"/>
          </w:tcPr>
          <w:p w14:paraId="5CD042C6">
            <w:pPr>
              <w:widowControl/>
              <w:spacing w:line="0" w:lineRule="atLeast"/>
              <w:jc w:val="center"/>
              <w:rPr>
                <w:color w:val="000000"/>
                <w:kern w:val="0"/>
                <w:sz w:val="22"/>
                <w:szCs w:val="22"/>
              </w:rPr>
            </w:pPr>
            <w:r>
              <w:rPr>
                <w:color w:val="000000"/>
                <w:kern w:val="0"/>
                <w:sz w:val="22"/>
                <w:szCs w:val="22"/>
              </w:rPr>
              <w:t>完成及时性</w:t>
            </w:r>
          </w:p>
        </w:tc>
        <w:tc>
          <w:tcPr>
            <w:tcW w:w="727" w:type="dxa"/>
            <w:shd w:val="clear" w:color="auto" w:fill="auto"/>
            <w:vAlign w:val="center"/>
          </w:tcPr>
          <w:p w14:paraId="491D9085">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shd w:val="clear" w:color="auto" w:fill="auto"/>
            <w:vAlign w:val="center"/>
          </w:tcPr>
          <w:p w14:paraId="1A211F7D">
            <w:pPr>
              <w:widowControl/>
              <w:spacing w:line="0" w:lineRule="atLeast"/>
              <w:jc w:val="center"/>
              <w:rPr>
                <w:color w:val="000000"/>
                <w:kern w:val="0"/>
                <w:sz w:val="22"/>
                <w:szCs w:val="22"/>
              </w:rPr>
            </w:pPr>
            <w:r>
              <w:rPr>
                <w:color w:val="000000"/>
                <w:kern w:val="0"/>
                <w:sz w:val="22"/>
                <w:szCs w:val="22"/>
              </w:rPr>
              <w:t>及时</w:t>
            </w:r>
          </w:p>
        </w:tc>
        <w:tc>
          <w:tcPr>
            <w:tcW w:w="924" w:type="dxa"/>
            <w:shd w:val="clear" w:color="auto" w:fill="auto"/>
            <w:vAlign w:val="center"/>
          </w:tcPr>
          <w:p w14:paraId="092A85D7">
            <w:pPr>
              <w:widowControl/>
              <w:spacing w:line="0" w:lineRule="atLeast"/>
              <w:jc w:val="center"/>
              <w:rPr>
                <w:color w:val="000000"/>
                <w:kern w:val="0"/>
                <w:sz w:val="22"/>
                <w:szCs w:val="22"/>
              </w:rPr>
            </w:pPr>
            <w:r>
              <w:rPr>
                <w:color w:val="000000"/>
                <w:kern w:val="0"/>
                <w:sz w:val="22"/>
                <w:szCs w:val="22"/>
              </w:rPr>
              <w:t>及时</w:t>
            </w:r>
          </w:p>
        </w:tc>
        <w:tc>
          <w:tcPr>
            <w:tcW w:w="1215" w:type="dxa"/>
            <w:shd w:val="clear" w:color="auto" w:fill="auto"/>
            <w:vAlign w:val="center"/>
          </w:tcPr>
          <w:p w14:paraId="2A6E14DF">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1C0F8102">
            <w:pPr>
              <w:widowControl/>
              <w:spacing w:line="0" w:lineRule="atLeast"/>
              <w:jc w:val="center"/>
              <w:rPr>
                <w:rFonts w:ascii="Times New Roman" w:hAnsi="Times New Roman" w:eastAsia="宋体" w:cs="Times New Roman"/>
                <w:color w:val="000000"/>
                <w:kern w:val="0"/>
                <w:sz w:val="22"/>
                <w:szCs w:val="22"/>
                <w:lang w:val="en-US" w:eastAsia="zh-CN" w:bidi="ar-SA"/>
              </w:rPr>
            </w:pPr>
            <w:r>
              <w:rPr>
                <w:color w:val="000000"/>
                <w:kern w:val="0"/>
                <w:sz w:val="22"/>
                <w:szCs w:val="22"/>
              </w:rPr>
              <w:t>1</w:t>
            </w:r>
            <w:r>
              <w:rPr>
                <w:rFonts w:hint="eastAsia"/>
                <w:color w:val="000000"/>
                <w:kern w:val="0"/>
                <w:sz w:val="22"/>
                <w:szCs w:val="22"/>
              </w:rPr>
              <w:t>0</w:t>
            </w:r>
          </w:p>
        </w:tc>
      </w:tr>
      <w:tr w14:paraId="1BC802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4F5B8191">
            <w:pPr>
              <w:widowControl/>
              <w:spacing w:line="0" w:lineRule="atLeast"/>
              <w:jc w:val="center"/>
              <w:rPr>
                <w:color w:val="000000"/>
                <w:kern w:val="0"/>
                <w:sz w:val="22"/>
                <w:szCs w:val="22"/>
              </w:rPr>
            </w:pPr>
          </w:p>
        </w:tc>
        <w:tc>
          <w:tcPr>
            <w:tcW w:w="990" w:type="dxa"/>
            <w:vMerge w:val="continue"/>
            <w:shd w:val="clear" w:color="auto" w:fill="auto"/>
            <w:vAlign w:val="center"/>
          </w:tcPr>
          <w:p w14:paraId="480A0AEA">
            <w:pPr>
              <w:widowControl/>
              <w:spacing w:line="0" w:lineRule="atLeast"/>
              <w:jc w:val="center"/>
              <w:rPr>
                <w:color w:val="000000"/>
                <w:kern w:val="0"/>
                <w:sz w:val="22"/>
                <w:szCs w:val="22"/>
              </w:rPr>
            </w:pPr>
          </w:p>
        </w:tc>
        <w:tc>
          <w:tcPr>
            <w:tcW w:w="1283" w:type="dxa"/>
            <w:shd w:val="clear" w:color="auto" w:fill="auto"/>
            <w:vAlign w:val="center"/>
          </w:tcPr>
          <w:p w14:paraId="0BBE8A9B">
            <w:pPr>
              <w:widowControl/>
              <w:spacing w:line="0" w:lineRule="atLeast"/>
              <w:jc w:val="center"/>
              <w:rPr>
                <w:color w:val="000000"/>
                <w:kern w:val="0"/>
                <w:sz w:val="22"/>
                <w:szCs w:val="22"/>
              </w:rPr>
            </w:pPr>
            <w:r>
              <w:rPr>
                <w:color w:val="000000"/>
                <w:kern w:val="0"/>
                <w:sz w:val="22"/>
                <w:szCs w:val="22"/>
              </w:rPr>
              <w:t>产出成本</w:t>
            </w:r>
          </w:p>
        </w:tc>
        <w:tc>
          <w:tcPr>
            <w:tcW w:w="1707" w:type="dxa"/>
            <w:shd w:val="clear" w:color="auto" w:fill="auto"/>
            <w:vAlign w:val="center"/>
          </w:tcPr>
          <w:p w14:paraId="6F83ED0D">
            <w:pPr>
              <w:widowControl/>
              <w:spacing w:line="0" w:lineRule="atLeast"/>
              <w:jc w:val="center"/>
              <w:rPr>
                <w:color w:val="000000"/>
                <w:kern w:val="0"/>
                <w:sz w:val="22"/>
                <w:szCs w:val="22"/>
              </w:rPr>
            </w:pPr>
            <w:r>
              <w:rPr>
                <w:color w:val="000000"/>
                <w:kern w:val="0"/>
                <w:sz w:val="22"/>
                <w:szCs w:val="22"/>
              </w:rPr>
              <w:t>成本节约率</w:t>
            </w:r>
          </w:p>
        </w:tc>
        <w:tc>
          <w:tcPr>
            <w:tcW w:w="727" w:type="dxa"/>
            <w:shd w:val="clear" w:color="auto" w:fill="auto"/>
            <w:vAlign w:val="center"/>
          </w:tcPr>
          <w:p w14:paraId="468FEC85">
            <w:pPr>
              <w:widowControl/>
              <w:spacing w:line="0" w:lineRule="atLeast"/>
              <w:jc w:val="center"/>
              <w:rPr>
                <w:color w:val="000000"/>
                <w:kern w:val="0"/>
                <w:sz w:val="22"/>
                <w:szCs w:val="22"/>
              </w:rPr>
            </w:pPr>
            <w:r>
              <w:rPr>
                <w:color w:val="000000"/>
                <w:kern w:val="0"/>
                <w:sz w:val="22"/>
                <w:szCs w:val="22"/>
              </w:rPr>
              <w:t>10</w:t>
            </w:r>
          </w:p>
        </w:tc>
        <w:tc>
          <w:tcPr>
            <w:tcW w:w="1044" w:type="dxa"/>
            <w:shd w:val="clear" w:color="auto" w:fill="auto"/>
            <w:vAlign w:val="center"/>
          </w:tcPr>
          <w:p w14:paraId="1F5596DA">
            <w:pPr>
              <w:widowControl/>
              <w:spacing w:line="0" w:lineRule="atLeast"/>
              <w:jc w:val="center"/>
              <w:rPr>
                <w:color w:val="000000"/>
                <w:kern w:val="0"/>
                <w:sz w:val="22"/>
                <w:szCs w:val="22"/>
              </w:rPr>
            </w:pPr>
            <w:r>
              <w:rPr>
                <w:color w:val="000000"/>
                <w:kern w:val="0"/>
                <w:sz w:val="22"/>
                <w:szCs w:val="22"/>
              </w:rPr>
              <w:t>100%</w:t>
            </w:r>
          </w:p>
        </w:tc>
        <w:tc>
          <w:tcPr>
            <w:tcW w:w="924" w:type="dxa"/>
            <w:shd w:val="clear" w:color="auto" w:fill="auto"/>
            <w:vAlign w:val="center"/>
          </w:tcPr>
          <w:p w14:paraId="4AACA9BF">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1215" w:type="dxa"/>
            <w:shd w:val="clear" w:color="auto" w:fill="auto"/>
            <w:vAlign w:val="center"/>
          </w:tcPr>
          <w:p w14:paraId="410BBCD2">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4C65EC35">
            <w:pPr>
              <w:widowControl/>
              <w:spacing w:line="0" w:lineRule="atLeast"/>
              <w:jc w:val="center"/>
              <w:rPr>
                <w:rFonts w:ascii="Times New Roman" w:hAnsi="Times New Roman" w:eastAsia="宋体" w:cs="Times New Roman"/>
                <w:color w:val="000000"/>
                <w:kern w:val="0"/>
                <w:sz w:val="22"/>
                <w:szCs w:val="22"/>
                <w:lang w:val="en-US" w:eastAsia="zh-CN" w:bidi="ar-SA"/>
              </w:rPr>
            </w:pPr>
            <w:r>
              <w:rPr>
                <w:color w:val="000000"/>
                <w:kern w:val="0"/>
                <w:sz w:val="22"/>
                <w:szCs w:val="22"/>
              </w:rPr>
              <w:t>10</w:t>
            </w:r>
          </w:p>
        </w:tc>
      </w:tr>
      <w:tr w14:paraId="5EAF00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auto"/>
            <w:vAlign w:val="center"/>
          </w:tcPr>
          <w:p w14:paraId="238615A9">
            <w:pPr>
              <w:widowControl/>
              <w:spacing w:line="0" w:lineRule="atLeast"/>
              <w:jc w:val="center"/>
              <w:rPr>
                <w:color w:val="000000"/>
                <w:kern w:val="0"/>
                <w:sz w:val="22"/>
                <w:szCs w:val="22"/>
              </w:rPr>
            </w:pPr>
            <w:r>
              <w:rPr>
                <w:color w:val="000000"/>
                <w:kern w:val="0"/>
                <w:sz w:val="22"/>
                <w:szCs w:val="22"/>
              </w:rPr>
              <w:t>效益　</w:t>
            </w:r>
          </w:p>
        </w:tc>
        <w:tc>
          <w:tcPr>
            <w:tcW w:w="990" w:type="dxa"/>
            <w:vMerge w:val="restart"/>
            <w:shd w:val="clear" w:color="auto" w:fill="auto"/>
            <w:vAlign w:val="center"/>
          </w:tcPr>
          <w:p w14:paraId="2F0425FC">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283" w:type="dxa"/>
            <w:vMerge w:val="restart"/>
            <w:shd w:val="clear" w:color="auto" w:fill="auto"/>
            <w:vAlign w:val="center"/>
          </w:tcPr>
          <w:p w14:paraId="3C59AFA0">
            <w:pPr>
              <w:widowControl/>
              <w:spacing w:line="0" w:lineRule="atLeast"/>
              <w:jc w:val="center"/>
              <w:rPr>
                <w:color w:val="000000"/>
                <w:kern w:val="0"/>
                <w:sz w:val="22"/>
                <w:szCs w:val="22"/>
              </w:rPr>
            </w:pPr>
            <w:r>
              <w:rPr>
                <w:color w:val="000000"/>
                <w:kern w:val="0"/>
                <w:sz w:val="22"/>
                <w:szCs w:val="22"/>
              </w:rPr>
              <w:t>项目效益　</w:t>
            </w:r>
          </w:p>
        </w:tc>
        <w:tc>
          <w:tcPr>
            <w:tcW w:w="1707" w:type="dxa"/>
            <w:shd w:val="clear" w:color="auto" w:fill="auto"/>
            <w:vAlign w:val="center"/>
          </w:tcPr>
          <w:p w14:paraId="0635877B">
            <w:pPr>
              <w:widowControl/>
              <w:spacing w:line="0" w:lineRule="atLeast"/>
              <w:jc w:val="center"/>
              <w:rPr>
                <w:color w:val="000000"/>
                <w:kern w:val="0"/>
                <w:sz w:val="22"/>
                <w:szCs w:val="22"/>
              </w:rPr>
            </w:pPr>
            <w:r>
              <w:rPr>
                <w:color w:val="000000"/>
                <w:kern w:val="0"/>
                <w:sz w:val="22"/>
                <w:szCs w:val="22"/>
              </w:rPr>
              <w:t>实施效益</w:t>
            </w:r>
          </w:p>
          <w:p w14:paraId="38780424">
            <w:pPr>
              <w:widowControl/>
              <w:spacing w:line="0" w:lineRule="atLeast"/>
              <w:jc w:val="center"/>
              <w:rPr>
                <w:color w:val="000000"/>
                <w:kern w:val="0"/>
                <w:sz w:val="22"/>
                <w:szCs w:val="22"/>
              </w:rPr>
            </w:pPr>
            <w:r>
              <w:rPr>
                <w:color w:val="000000"/>
                <w:kern w:val="0"/>
                <w:sz w:val="22"/>
                <w:szCs w:val="22"/>
              </w:rPr>
              <w:t>（社会效益、经济效益、可持续效益）</w:t>
            </w:r>
          </w:p>
        </w:tc>
        <w:tc>
          <w:tcPr>
            <w:tcW w:w="727" w:type="dxa"/>
            <w:shd w:val="clear" w:color="auto" w:fill="auto"/>
            <w:vAlign w:val="center"/>
          </w:tcPr>
          <w:p w14:paraId="1AF7F718">
            <w:pPr>
              <w:widowControl/>
              <w:spacing w:line="0" w:lineRule="atLeast"/>
              <w:jc w:val="center"/>
              <w:rPr>
                <w:color w:val="000000"/>
                <w:kern w:val="0"/>
                <w:sz w:val="22"/>
                <w:szCs w:val="22"/>
              </w:rPr>
            </w:pPr>
            <w:r>
              <w:rPr>
                <w:rFonts w:hint="eastAsia"/>
                <w:color w:val="000000"/>
                <w:kern w:val="0"/>
                <w:sz w:val="22"/>
                <w:szCs w:val="22"/>
              </w:rPr>
              <w:t>15</w:t>
            </w:r>
          </w:p>
        </w:tc>
        <w:tc>
          <w:tcPr>
            <w:tcW w:w="1044" w:type="dxa"/>
            <w:shd w:val="clear" w:color="auto" w:fill="auto"/>
            <w:vAlign w:val="center"/>
          </w:tcPr>
          <w:p w14:paraId="302F3D61">
            <w:pPr>
              <w:widowControl/>
              <w:spacing w:line="0" w:lineRule="atLeast"/>
              <w:jc w:val="center"/>
              <w:rPr>
                <w:color w:val="000000"/>
                <w:kern w:val="0"/>
                <w:sz w:val="22"/>
                <w:szCs w:val="22"/>
              </w:rPr>
            </w:pPr>
            <w:r>
              <w:rPr>
                <w:color w:val="000000"/>
                <w:kern w:val="0"/>
                <w:sz w:val="22"/>
                <w:szCs w:val="22"/>
              </w:rPr>
              <w:t>有效</w:t>
            </w:r>
          </w:p>
        </w:tc>
        <w:tc>
          <w:tcPr>
            <w:tcW w:w="924" w:type="dxa"/>
            <w:shd w:val="clear" w:color="auto" w:fill="auto"/>
            <w:vAlign w:val="center"/>
          </w:tcPr>
          <w:p w14:paraId="50729507">
            <w:pPr>
              <w:widowControl/>
              <w:spacing w:line="0" w:lineRule="atLeast"/>
              <w:jc w:val="center"/>
              <w:rPr>
                <w:color w:val="000000"/>
                <w:kern w:val="0"/>
                <w:sz w:val="22"/>
                <w:szCs w:val="22"/>
              </w:rPr>
            </w:pPr>
            <w:r>
              <w:rPr>
                <w:color w:val="000000"/>
                <w:kern w:val="0"/>
                <w:sz w:val="22"/>
                <w:szCs w:val="22"/>
              </w:rPr>
              <w:t>有效</w:t>
            </w:r>
          </w:p>
        </w:tc>
        <w:tc>
          <w:tcPr>
            <w:tcW w:w="1215" w:type="dxa"/>
            <w:shd w:val="clear" w:color="auto" w:fill="auto"/>
            <w:vAlign w:val="center"/>
          </w:tcPr>
          <w:p w14:paraId="09CC9A23">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20BE50F7">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15</w:t>
            </w:r>
          </w:p>
        </w:tc>
      </w:tr>
      <w:tr w14:paraId="1BDE60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auto"/>
            <w:vAlign w:val="center"/>
          </w:tcPr>
          <w:p w14:paraId="20DCEA42">
            <w:pPr>
              <w:widowControl/>
              <w:spacing w:line="0" w:lineRule="atLeast"/>
              <w:jc w:val="center"/>
              <w:rPr>
                <w:color w:val="000000"/>
                <w:kern w:val="0"/>
                <w:sz w:val="22"/>
                <w:szCs w:val="22"/>
              </w:rPr>
            </w:pPr>
          </w:p>
        </w:tc>
        <w:tc>
          <w:tcPr>
            <w:tcW w:w="990" w:type="dxa"/>
            <w:vMerge w:val="continue"/>
            <w:shd w:val="clear" w:color="auto" w:fill="auto"/>
            <w:vAlign w:val="center"/>
          </w:tcPr>
          <w:p w14:paraId="41A1BA1A">
            <w:pPr>
              <w:widowControl/>
              <w:spacing w:line="0" w:lineRule="atLeast"/>
              <w:jc w:val="center"/>
              <w:rPr>
                <w:color w:val="000000"/>
                <w:kern w:val="0"/>
                <w:sz w:val="22"/>
                <w:szCs w:val="22"/>
              </w:rPr>
            </w:pPr>
          </w:p>
        </w:tc>
        <w:tc>
          <w:tcPr>
            <w:tcW w:w="1283" w:type="dxa"/>
            <w:vMerge w:val="continue"/>
            <w:shd w:val="clear" w:color="auto" w:fill="auto"/>
            <w:vAlign w:val="center"/>
          </w:tcPr>
          <w:p w14:paraId="73EF489E">
            <w:pPr>
              <w:widowControl/>
              <w:spacing w:line="0" w:lineRule="atLeast"/>
              <w:jc w:val="center"/>
              <w:rPr>
                <w:color w:val="000000"/>
                <w:kern w:val="0"/>
                <w:sz w:val="22"/>
                <w:szCs w:val="22"/>
              </w:rPr>
            </w:pPr>
          </w:p>
        </w:tc>
        <w:tc>
          <w:tcPr>
            <w:tcW w:w="1707" w:type="dxa"/>
            <w:shd w:val="clear" w:color="auto" w:fill="auto"/>
            <w:vAlign w:val="center"/>
          </w:tcPr>
          <w:p w14:paraId="22156A3B">
            <w:pPr>
              <w:widowControl/>
              <w:spacing w:line="0" w:lineRule="atLeast"/>
              <w:jc w:val="center"/>
              <w:rPr>
                <w:color w:val="000000"/>
                <w:kern w:val="0"/>
                <w:sz w:val="22"/>
                <w:szCs w:val="22"/>
              </w:rPr>
            </w:pPr>
            <w:r>
              <w:rPr>
                <w:color w:val="000000"/>
                <w:kern w:val="0"/>
                <w:sz w:val="22"/>
                <w:szCs w:val="22"/>
              </w:rPr>
              <w:t>满意度</w:t>
            </w:r>
          </w:p>
        </w:tc>
        <w:tc>
          <w:tcPr>
            <w:tcW w:w="727" w:type="dxa"/>
            <w:shd w:val="clear" w:color="auto" w:fill="auto"/>
            <w:vAlign w:val="center"/>
          </w:tcPr>
          <w:p w14:paraId="3C86210F">
            <w:pPr>
              <w:widowControl/>
              <w:spacing w:line="0" w:lineRule="atLeast"/>
              <w:jc w:val="center"/>
              <w:rPr>
                <w:color w:val="000000"/>
                <w:kern w:val="0"/>
                <w:sz w:val="22"/>
                <w:szCs w:val="22"/>
              </w:rPr>
            </w:pPr>
            <w:r>
              <w:rPr>
                <w:rFonts w:hint="eastAsia"/>
                <w:color w:val="000000"/>
                <w:kern w:val="0"/>
                <w:sz w:val="22"/>
                <w:szCs w:val="22"/>
              </w:rPr>
              <w:t>5</w:t>
            </w:r>
          </w:p>
        </w:tc>
        <w:tc>
          <w:tcPr>
            <w:tcW w:w="1044" w:type="dxa"/>
            <w:shd w:val="clear" w:color="auto" w:fill="auto"/>
            <w:vAlign w:val="center"/>
          </w:tcPr>
          <w:p w14:paraId="04861013">
            <w:pPr>
              <w:widowControl/>
              <w:spacing w:line="0" w:lineRule="atLeast"/>
              <w:jc w:val="center"/>
              <w:rPr>
                <w:color w:val="000000"/>
                <w:kern w:val="0"/>
                <w:sz w:val="22"/>
                <w:szCs w:val="22"/>
                <w:highlight w:val="yellow"/>
              </w:rPr>
            </w:pPr>
            <w:r>
              <w:rPr>
                <w:color w:val="000000"/>
                <w:kern w:val="0"/>
                <w:sz w:val="22"/>
                <w:szCs w:val="22"/>
                <w:highlight w:val="none"/>
              </w:rPr>
              <w:t>≥</w:t>
            </w:r>
            <w:r>
              <w:rPr>
                <w:rFonts w:hint="eastAsia"/>
                <w:color w:val="000000"/>
                <w:kern w:val="0"/>
                <w:sz w:val="22"/>
                <w:szCs w:val="22"/>
                <w:highlight w:val="none"/>
                <w:lang w:val="en-US" w:eastAsia="zh-CN"/>
              </w:rPr>
              <w:t>90</w:t>
            </w:r>
            <w:r>
              <w:rPr>
                <w:color w:val="000000"/>
                <w:kern w:val="0"/>
                <w:sz w:val="22"/>
                <w:szCs w:val="22"/>
                <w:highlight w:val="none"/>
              </w:rPr>
              <w:t>%</w:t>
            </w:r>
          </w:p>
        </w:tc>
        <w:tc>
          <w:tcPr>
            <w:tcW w:w="924" w:type="dxa"/>
            <w:shd w:val="clear" w:color="auto" w:fill="auto"/>
            <w:vAlign w:val="center"/>
          </w:tcPr>
          <w:p w14:paraId="6F8B03F1">
            <w:pPr>
              <w:widowControl/>
              <w:spacing w:line="0" w:lineRule="atLeast"/>
              <w:jc w:val="center"/>
              <w:rPr>
                <w:color w:val="000000"/>
                <w:kern w:val="0"/>
                <w:sz w:val="22"/>
                <w:szCs w:val="22"/>
                <w:highlight w:val="yellow"/>
              </w:rPr>
            </w:pPr>
            <w:r>
              <w:rPr>
                <w:rFonts w:hint="eastAsia"/>
                <w:color w:val="000000"/>
                <w:kern w:val="0"/>
                <w:sz w:val="22"/>
                <w:szCs w:val="22"/>
                <w:highlight w:val="none"/>
                <w:lang w:val="en-US" w:eastAsia="zh-CN"/>
              </w:rPr>
              <w:t>90</w:t>
            </w:r>
            <w:r>
              <w:rPr>
                <w:color w:val="000000"/>
                <w:kern w:val="0"/>
                <w:sz w:val="22"/>
                <w:szCs w:val="22"/>
                <w:highlight w:val="none"/>
              </w:rPr>
              <w:t>%</w:t>
            </w:r>
          </w:p>
        </w:tc>
        <w:tc>
          <w:tcPr>
            <w:tcW w:w="1215" w:type="dxa"/>
            <w:shd w:val="clear" w:color="auto" w:fill="auto"/>
            <w:vAlign w:val="center"/>
          </w:tcPr>
          <w:p w14:paraId="06D5F289">
            <w:pPr>
              <w:widowControl/>
              <w:spacing w:line="0" w:lineRule="atLeast"/>
              <w:jc w:val="center"/>
              <w:rPr>
                <w:color w:val="000000"/>
                <w:kern w:val="0"/>
                <w:sz w:val="22"/>
                <w:szCs w:val="22"/>
              </w:rPr>
            </w:pPr>
            <w:r>
              <w:rPr>
                <w:rFonts w:hint="eastAsia"/>
                <w:color w:val="000000"/>
                <w:kern w:val="0"/>
                <w:sz w:val="22"/>
                <w:szCs w:val="22"/>
                <w:highlight w:val="none"/>
                <w:lang w:val="en-US" w:eastAsia="zh-CN"/>
              </w:rPr>
              <w:t>100</w:t>
            </w:r>
            <w:r>
              <w:rPr>
                <w:color w:val="000000"/>
                <w:kern w:val="0"/>
                <w:sz w:val="22"/>
                <w:szCs w:val="22"/>
                <w:highlight w:val="none"/>
              </w:rPr>
              <w:t>%</w:t>
            </w:r>
          </w:p>
        </w:tc>
        <w:tc>
          <w:tcPr>
            <w:tcW w:w="960" w:type="dxa"/>
            <w:shd w:val="clear" w:color="auto" w:fill="auto"/>
            <w:vAlign w:val="center"/>
          </w:tcPr>
          <w:p w14:paraId="0B734007">
            <w:pPr>
              <w:widowControl/>
              <w:spacing w:line="0" w:lineRule="atLeast"/>
              <w:jc w:val="center"/>
              <w:rPr>
                <w:rFonts w:ascii="Times New Roman" w:hAnsi="Times New Roman" w:eastAsia="宋体" w:cs="Times New Roman"/>
                <w:color w:val="000000"/>
                <w:kern w:val="0"/>
                <w:sz w:val="22"/>
                <w:szCs w:val="22"/>
                <w:lang w:val="en-US" w:eastAsia="zh-CN" w:bidi="ar-SA"/>
              </w:rPr>
            </w:pPr>
            <w:r>
              <w:rPr>
                <w:rFonts w:hint="eastAsia"/>
                <w:color w:val="000000"/>
                <w:kern w:val="0"/>
                <w:sz w:val="22"/>
                <w:szCs w:val="22"/>
              </w:rPr>
              <w:t>5</w:t>
            </w:r>
          </w:p>
        </w:tc>
      </w:tr>
    </w:tbl>
    <w:p w14:paraId="4C44589C">
      <w:pPr>
        <w:spacing w:line="560" w:lineRule="exact"/>
        <w:ind w:firstLine="640" w:firstLineChars="200"/>
        <w:rPr>
          <w:rFonts w:eastAsia="黑体"/>
          <w:sz w:val="32"/>
          <w:szCs w:val="32"/>
        </w:rPr>
      </w:pPr>
      <w:r>
        <w:rPr>
          <w:rFonts w:eastAsia="黑体"/>
          <w:sz w:val="32"/>
          <w:szCs w:val="32"/>
        </w:rPr>
        <w:t>四、绩效评价指标分析</w:t>
      </w:r>
    </w:p>
    <w:p w14:paraId="3B1793DB">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71A2336A">
      <w:pPr>
        <w:spacing w:line="560" w:lineRule="exact"/>
        <w:ind w:firstLine="640" w:firstLineChars="200"/>
        <w:outlineLvl w:val="0"/>
        <w:rPr>
          <w:sz w:val="32"/>
          <w:szCs w:val="32"/>
        </w:rPr>
      </w:pPr>
      <w:r>
        <w:rPr>
          <w:rFonts w:hint="eastAsia" w:ascii="仿宋_GB2312" w:hAnsi="仿宋_GB2312" w:eastAsia="仿宋_GB2312" w:cs="仿宋_GB2312"/>
          <w:sz w:val="32"/>
          <w:szCs w:val="32"/>
        </w:rPr>
        <w:t>项目立项符合法律法规、相关政策及部门职责，能反映和考核项目立项依据情况，项目申请、设立过程符合相关要求，能反映和考核项目立项的规范情况，所设定的绩效目标依据充分，符合客观实际，能反映和考核项目绩效目标与项目实施的相符情况，依据绩效目标设定的绩效指标清晰、细化、可衡量，能反映和考核项目绩效目标的明细化情况。</w:t>
      </w:r>
    </w:p>
    <w:p w14:paraId="474B3309">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w:t>
      </w:r>
      <w:r>
        <w:rPr>
          <w:rFonts w:ascii="Times New Roman" w:hAnsi="Times New Roman" w:eastAsia="楷体_GB2312"/>
        </w:rPr>
        <w:t>项目过程情况</w:t>
      </w:r>
    </w:p>
    <w:p w14:paraId="22F08589">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项目资金使用符合相关的财务管理制度规定，能够反映和考核项目资金的规范运行情况；项目实施单位的财务和业务管理制度健全，能够反映和考核财务和业务管理制度对项目顺利实施的保障情况。</w:t>
      </w:r>
    </w:p>
    <w:p w14:paraId="68AFDB42">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（三）</w:t>
      </w:r>
      <w:r>
        <w:rPr>
          <w:rFonts w:ascii="Times New Roman" w:hAnsi="Times New Roman" w:eastAsia="楷体_GB2312"/>
        </w:rPr>
        <w:t>项目产出</w:t>
      </w:r>
    </w:p>
    <w:p w14:paraId="1315C2EF">
      <w:pPr>
        <w:spacing w:line="560" w:lineRule="exact"/>
        <w:ind w:firstLine="624" w:firstLineChars="200"/>
        <w:rPr>
          <w:rStyle w:val="23"/>
          <w:rFonts w:hint="eastAsia" w:ascii="仿宋_GB2312" w:hAnsi="仿宋_GB2312" w:eastAsia="仿宋_GB2312" w:cs="仿宋_GB2312"/>
          <w:b w:val="0"/>
          <w:spacing w:val="-4"/>
          <w:sz w:val="32"/>
          <w:szCs w:val="32"/>
        </w:rPr>
      </w:pPr>
      <w:r>
        <w:rPr>
          <w:rStyle w:val="23"/>
          <w:rFonts w:hint="eastAsia" w:ascii="仿宋_GB2312" w:hAnsi="仿宋_GB2312" w:eastAsia="仿宋_GB2312" w:cs="仿宋_GB2312"/>
          <w:b w:val="0"/>
          <w:spacing w:val="-4"/>
          <w:sz w:val="32"/>
          <w:szCs w:val="32"/>
        </w:rPr>
        <w:t>数量指标方面：</w:t>
      </w:r>
    </w:p>
    <w:p w14:paraId="28C40A60">
      <w:pPr>
        <w:pStyle w:val="2"/>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a.水环境监测点位数指标，指标值为大于等于10个，实际完成12个，完成率100%，偏差率0%，偏差原因无。</w:t>
      </w:r>
    </w:p>
    <w:p w14:paraId="04649D0E">
      <w:pPr>
        <w:pStyle w:val="2"/>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b.城市声环境质量例行监测点位指标，指标值为173个，实际完成173个，完成率100%，偏差率0%，偏差原因无。</w:t>
      </w:r>
    </w:p>
    <w:p w14:paraId="3F33648D">
      <w:pPr>
        <w:spacing w:line="560" w:lineRule="exact"/>
        <w:ind w:firstLine="640" w:firstLineChars="200"/>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c.农村环境质量例行监测指标，指标值为4次，实际完成4次，完成率100%，偏差率0%，偏差原因无。</w:t>
      </w:r>
    </w:p>
    <w:p w14:paraId="7718303A">
      <w:pPr>
        <w:pStyle w:val="2"/>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d.购置实验室专用设备配件耗材批次数指标，指标值为大于等于3次，实际完成3次，完成率100%，偏差率0%，偏差原因无。</w:t>
      </w:r>
    </w:p>
    <w:p w14:paraId="07CDD86E">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kern w:val="2"/>
          <w:sz w:val="32"/>
          <w:szCs w:val="32"/>
          <w:highlight w:val="none"/>
          <w:lang w:val="en-US" w:eastAsia="zh-CN" w:bidi="ar-SA"/>
        </w:rPr>
        <w:t>e.重点排污单位执法监测指标，指标值为2次，实际完成1次，完成率50%，偏差率50%，偏差原因是对该项工作的重要性认识不到位。</w:t>
      </w:r>
    </w:p>
    <w:p w14:paraId="4104BC71">
      <w:pPr>
        <w:spacing w:line="560" w:lineRule="exact"/>
        <w:ind w:firstLine="640" w:firstLineChars="200"/>
        <w:rPr>
          <w:rStyle w:val="52"/>
          <w:rFonts w:hint="eastAsia" w:ascii="仿宋_GB2312" w:hAnsi="仿宋_GB2312" w:cs="仿宋_GB2312"/>
          <w:color w:val="auto"/>
        </w:rPr>
      </w:pPr>
      <w:r>
        <w:rPr>
          <w:rStyle w:val="52"/>
          <w:rFonts w:hint="eastAsia" w:ascii="仿宋_GB2312" w:hAnsi="仿宋_GB2312" w:cs="仿宋_GB2312"/>
          <w:color w:val="auto"/>
        </w:rPr>
        <w:t>质量指标方面：</w:t>
      </w:r>
    </w:p>
    <w:p w14:paraId="724595E4">
      <w:pPr>
        <w:pStyle w:val="2"/>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f.监测数据准确率指标，指标值为大于等于95%，实际完成100%，完成率100%，偏差率0%，偏差原因无。</w:t>
      </w:r>
    </w:p>
    <w:p w14:paraId="526E3300">
      <w:pPr>
        <w:pStyle w:val="2"/>
        <w:spacing w:before="0" w:after="0" w:line="560" w:lineRule="exact"/>
        <w:ind w:firstLine="640" w:firstLineChars="200"/>
        <w:jc w:val="both"/>
        <w:rPr>
          <w:rFonts w:hint="eastAsia" w:ascii="仿宋_GB2312" w:hAnsi="仿宋_GB2312" w:eastAsia="仿宋_GB2312" w:cs="仿宋_GB2312"/>
        </w:rPr>
      </w:pPr>
      <w:r>
        <w:rPr>
          <w:rFonts w:hint="eastAsia" w:ascii="仿宋_GB2312" w:hAnsi="仿宋_GB2312" w:eastAsia="仿宋_GB2312" w:cs="仿宋_GB2312"/>
          <w:b w:val="0"/>
          <w:bCs w:val="0"/>
          <w:kern w:val="2"/>
          <w:sz w:val="32"/>
          <w:szCs w:val="32"/>
          <w:highlight w:val="none"/>
          <w:lang w:val="en-US" w:eastAsia="zh-CN" w:bidi="ar-SA"/>
        </w:rPr>
        <w:t>g.实验室专用设备配件耗材采购及时率指标，指标值为等于100%，实际完成100%，完成率100%，偏差率0%，偏差原因无。</w:t>
      </w:r>
    </w:p>
    <w:p w14:paraId="29BB365C">
      <w:pPr>
        <w:pStyle w:val="2"/>
        <w:spacing w:before="0" w:after="0" w:line="560" w:lineRule="exact"/>
        <w:ind w:firstLine="640" w:firstLineChars="200"/>
        <w:jc w:val="both"/>
        <w:rPr>
          <w:rStyle w:val="52"/>
          <w:rFonts w:hint="eastAsia" w:ascii="仿宋_GB2312" w:hAnsi="仿宋_GB2312" w:cs="仿宋_GB2312"/>
          <w:b w:val="0"/>
          <w:bCs w:val="0"/>
          <w:color w:val="auto"/>
        </w:rPr>
      </w:pPr>
      <w:r>
        <w:rPr>
          <w:rStyle w:val="52"/>
          <w:rFonts w:hint="eastAsia" w:ascii="仿宋_GB2312" w:hAnsi="仿宋_GB2312" w:cs="仿宋_GB2312"/>
          <w:b w:val="0"/>
          <w:bCs w:val="0"/>
          <w:color w:val="auto"/>
        </w:rPr>
        <w:t>成本指标方面：</w:t>
      </w:r>
    </w:p>
    <w:p w14:paraId="0A16C2FC">
      <w:pPr>
        <w:spacing w:line="560" w:lineRule="exact"/>
        <w:ind w:firstLine="640" w:firstLineChars="200"/>
        <w:rPr>
          <w:rFonts w:hint="eastAsia" w:ascii="仿宋_GB2312" w:hAnsi="仿宋_GB2312" w:eastAsia="仿宋_GB2312" w:cs="仿宋_GB2312"/>
          <w:sz w:val="32"/>
          <w:szCs w:val="32"/>
        </w:rPr>
      </w:pPr>
      <w:r>
        <w:rPr>
          <w:rStyle w:val="52"/>
          <w:rFonts w:hint="eastAsia" w:ascii="仿宋_GB2312" w:hAnsi="仿宋_GB2312" w:cs="仿宋_GB2312"/>
          <w:b w:val="0"/>
          <w:bCs w:val="0"/>
          <w:color w:val="auto"/>
          <w:kern w:val="28"/>
          <w:lang w:val="en-US" w:eastAsia="zh-CN" w:bidi="ar-SA"/>
        </w:rPr>
        <w:t>无。</w:t>
      </w:r>
    </w:p>
    <w:p w14:paraId="7FEA90DC">
      <w:pPr>
        <w:spacing w:line="560" w:lineRule="exact"/>
        <w:ind w:firstLine="640" w:firstLineChars="200"/>
        <w:rPr>
          <w:rStyle w:val="52"/>
          <w:rFonts w:hint="eastAsia" w:ascii="仿宋_GB2312" w:hAnsi="仿宋_GB2312" w:cs="仿宋_GB2312"/>
          <w:color w:val="auto"/>
        </w:rPr>
      </w:pPr>
      <w:r>
        <w:rPr>
          <w:rStyle w:val="52"/>
          <w:rFonts w:hint="eastAsia" w:ascii="仿宋_GB2312" w:hAnsi="仿宋_GB2312" w:cs="仿宋_GB2312"/>
          <w:color w:val="auto"/>
        </w:rPr>
        <w:t>时效指标方面：</w:t>
      </w:r>
    </w:p>
    <w:p w14:paraId="0C7A0106">
      <w:pPr>
        <w:pStyle w:val="2"/>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lang w:val="en-US" w:eastAsia="zh-CN"/>
        </w:rPr>
        <w:t>h.</w:t>
      </w:r>
      <w:r>
        <w:rPr>
          <w:rFonts w:hint="eastAsia" w:ascii="仿宋_GB2312" w:hAnsi="仿宋_GB2312" w:eastAsia="仿宋_GB2312" w:cs="仿宋_GB2312"/>
          <w:b w:val="0"/>
          <w:bCs w:val="0"/>
          <w:lang w:val="en-US" w:eastAsia="zh-CN"/>
        </w:rPr>
        <w:t>实验室专用设备配件耗材采购及时率指标，</w:t>
      </w:r>
      <w:r>
        <w:rPr>
          <w:rFonts w:hint="eastAsia" w:ascii="仿宋_GB2312" w:hAnsi="仿宋_GB2312" w:eastAsia="仿宋_GB2312" w:cs="仿宋_GB2312"/>
          <w:b w:val="0"/>
          <w:bCs w:val="0"/>
          <w:kern w:val="2"/>
          <w:sz w:val="32"/>
          <w:szCs w:val="32"/>
          <w:highlight w:val="none"/>
          <w:lang w:val="en-US" w:eastAsia="zh-CN" w:bidi="ar-SA"/>
        </w:rPr>
        <w:t>指标值为大于等于95%，实际完成100%，完成率100%，偏差率0%，偏差原因无。</w:t>
      </w:r>
    </w:p>
    <w:p w14:paraId="62DEF5E6">
      <w:pPr>
        <w:pStyle w:val="2"/>
        <w:spacing w:before="0" w:after="0" w:line="560" w:lineRule="exact"/>
        <w:ind w:firstLine="640" w:firstLineChars="200"/>
        <w:jc w:val="both"/>
        <w:rPr>
          <w:rFonts w:hint="default" w:ascii="Times New Roman" w:hAnsi="Times New Roman"/>
          <w:b w:val="0"/>
          <w:bCs w:val="0"/>
          <w:lang w:val="en-US" w:eastAsia="zh-CN"/>
        </w:rPr>
      </w:pPr>
      <w:r>
        <w:rPr>
          <w:rFonts w:hint="eastAsia" w:ascii="仿宋_GB2312" w:hAnsi="仿宋_GB2312" w:eastAsia="仿宋_GB2312" w:cs="仿宋_GB2312"/>
          <w:b w:val="0"/>
          <w:bCs w:val="0"/>
          <w:lang w:val="en-US" w:eastAsia="zh-CN"/>
        </w:rPr>
        <w:t>i.</w:t>
      </w:r>
      <w:r>
        <w:rPr>
          <w:rFonts w:hint="eastAsia" w:ascii="仿宋_GB2312" w:hAnsi="仿宋_GB2312" w:eastAsia="仿宋_GB2312" w:cs="仿宋_GB2312"/>
          <w:b w:val="0"/>
          <w:bCs w:val="0"/>
          <w:lang w:val="en-US" w:eastAsia="zh-CN"/>
        </w:rPr>
        <w:t>监测任务按时完成率指标，</w:t>
      </w:r>
      <w:r>
        <w:rPr>
          <w:rFonts w:hint="eastAsia" w:ascii="仿宋_GB2312" w:hAnsi="仿宋_GB2312" w:eastAsia="仿宋_GB2312" w:cs="仿宋_GB2312"/>
          <w:b w:val="0"/>
          <w:bCs w:val="0"/>
          <w:kern w:val="2"/>
          <w:sz w:val="32"/>
          <w:szCs w:val="32"/>
          <w:highlight w:val="none"/>
          <w:lang w:val="en-US" w:eastAsia="zh-CN" w:bidi="ar-SA"/>
        </w:rPr>
        <w:t>指标值为等于100%，实际完成100%，完成率100%，偏差率0%，偏差原因无。</w:t>
      </w:r>
    </w:p>
    <w:p w14:paraId="65455ED8">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（四）</w:t>
      </w:r>
      <w:r>
        <w:rPr>
          <w:rFonts w:ascii="Times New Roman" w:hAnsi="Times New Roman" w:eastAsia="楷体_GB2312"/>
        </w:rPr>
        <w:t>效益情况</w:t>
      </w:r>
    </w:p>
    <w:p w14:paraId="420091F6">
      <w:pPr>
        <w:spacing w:line="56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经济效益指标方面：</w:t>
      </w:r>
    </w:p>
    <w:p w14:paraId="7FB9A556">
      <w:pPr>
        <w:spacing w:line="560" w:lineRule="exact"/>
        <w:ind w:firstLine="640" w:firstLineChars="200"/>
        <w:rPr>
          <w:rFonts w:ascii="Times New Roman" w:hAnsi="Times New Roman"/>
        </w:rPr>
      </w:pPr>
      <w:r>
        <w:rPr>
          <w:rStyle w:val="52"/>
          <w:rFonts w:hint="eastAsia" w:eastAsia="仿宋_GB2312" w:cs="Times New Roman"/>
          <w:color w:val="auto"/>
          <w:lang w:val="en-US" w:eastAsia="zh-CN"/>
        </w:rPr>
        <w:t>无。</w:t>
      </w:r>
    </w:p>
    <w:p w14:paraId="234AEE51">
      <w:pPr>
        <w:spacing w:line="56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社会效益指标方面：</w:t>
      </w:r>
    </w:p>
    <w:p w14:paraId="0BD3D442">
      <w:pPr>
        <w:pStyle w:val="2"/>
        <w:spacing w:before="0" w:after="0" w:line="560" w:lineRule="exact"/>
        <w:ind w:firstLine="640" w:firstLineChars="200"/>
        <w:jc w:val="both"/>
        <w:rPr>
          <w:rFonts w:hint="eastAsia" w:ascii="仿宋_GB2312" w:hAnsi="仿宋_GB2312" w:eastAsia="仿宋_GB2312" w:cs="仿宋_GB2312"/>
          <w:b w:val="0"/>
          <w:bCs w:val="0"/>
          <w:kern w:val="2"/>
          <w:sz w:val="32"/>
          <w:szCs w:val="32"/>
          <w:highlight w:val="none"/>
          <w:lang w:val="en-US" w:eastAsia="zh-CN" w:bidi="ar-SA"/>
        </w:rPr>
      </w:pPr>
      <w:r>
        <w:rPr>
          <w:rFonts w:hint="eastAsia" w:ascii="Times New Roman" w:hAnsi="Times New Roman"/>
          <w:b w:val="0"/>
          <w:bCs w:val="0"/>
          <w:lang w:val="en-US" w:eastAsia="zh-CN"/>
        </w:rPr>
        <w:t>j.</w:t>
      </w:r>
      <w:r>
        <w:rPr>
          <w:rFonts w:hint="eastAsia" w:ascii="仿宋_GB2312" w:hAnsi="仿宋_GB2312" w:eastAsia="仿宋_GB2312" w:cs="仿宋_GB2312"/>
          <w:b w:val="0"/>
          <w:bCs w:val="0"/>
          <w:lang w:val="en-US" w:eastAsia="zh-CN"/>
        </w:rPr>
        <w:t>污染防治工作指标，指标值为有效支撑，实际完成值有效支撑，完成率100%</w:t>
      </w:r>
      <w:r>
        <w:rPr>
          <w:rFonts w:hint="eastAsia" w:ascii="仿宋_GB2312" w:hAnsi="仿宋_GB2312" w:eastAsia="仿宋_GB2312" w:cs="仿宋_GB2312"/>
          <w:b w:val="0"/>
          <w:bCs w:val="0"/>
          <w:kern w:val="2"/>
          <w:sz w:val="32"/>
          <w:szCs w:val="32"/>
          <w:highlight w:val="none"/>
          <w:lang w:val="en-US" w:eastAsia="zh-CN" w:bidi="ar-SA"/>
        </w:rPr>
        <w:t>，偏差率0%，偏差原因无。</w:t>
      </w:r>
    </w:p>
    <w:p w14:paraId="3B87D48D">
      <w:pPr>
        <w:spacing w:line="560" w:lineRule="exact"/>
        <w:ind w:firstLine="640" w:firstLineChars="200"/>
        <w:rPr>
          <w:rFonts w:hint="default"/>
          <w:lang w:val="en-US" w:eastAsia="zh-CN"/>
        </w:rPr>
      </w:pPr>
      <w:r>
        <w:rPr>
          <w:rStyle w:val="52"/>
          <w:rFonts w:hint="eastAsia" w:eastAsia="仿宋_GB2312" w:cs="Times New Roman"/>
          <w:color w:val="auto"/>
          <w:lang w:val="en-US" w:eastAsia="zh-CN"/>
        </w:rPr>
        <w:t>生态</w:t>
      </w:r>
      <w:r>
        <w:rPr>
          <w:rStyle w:val="52"/>
          <w:rFonts w:ascii="Times New Roman" w:hAnsi="Times New Roman" w:cs="Times New Roman"/>
          <w:color w:val="auto"/>
        </w:rPr>
        <w:t>效益指标方面：</w:t>
      </w:r>
    </w:p>
    <w:p w14:paraId="7AF2D784">
      <w:pPr>
        <w:pStyle w:val="2"/>
        <w:spacing w:before="0" w:after="0" w:line="560" w:lineRule="exact"/>
        <w:ind w:firstLine="640" w:firstLineChars="200"/>
        <w:jc w:val="both"/>
        <w:rPr>
          <w:rFonts w:hint="eastAsia" w:ascii="仿宋_GB2312" w:hAnsi="仿宋_GB2312" w:eastAsia="仿宋_GB2312" w:cs="仿宋_GB2312"/>
        </w:rPr>
      </w:pPr>
      <w:r>
        <w:rPr>
          <w:rFonts w:hint="eastAsia" w:ascii="仿宋_GB2312" w:hAnsi="仿宋_GB2312" w:eastAsia="仿宋_GB2312" w:cs="仿宋_GB2312"/>
          <w:b w:val="0"/>
          <w:bCs w:val="0"/>
          <w:lang w:val="en-US" w:eastAsia="zh-CN"/>
        </w:rPr>
        <w:t>无。</w:t>
      </w:r>
    </w:p>
    <w:p w14:paraId="786F83F6">
      <w:pPr>
        <w:spacing w:line="56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可持续影响指标方面：</w:t>
      </w:r>
    </w:p>
    <w:p w14:paraId="20EB79A7">
      <w:pPr>
        <w:pStyle w:val="2"/>
        <w:spacing w:before="0" w:after="0" w:line="560" w:lineRule="exact"/>
        <w:ind w:firstLine="640" w:firstLineChars="200"/>
        <w:jc w:val="both"/>
        <w:rPr>
          <w:rFonts w:hint="eastAsia" w:ascii="仿宋_GB2312" w:hAnsi="仿宋_GB2312" w:eastAsia="仿宋_GB2312" w:cs="仿宋_GB2312"/>
          <w:b w:val="0"/>
          <w:bCs w:val="0"/>
          <w:lang w:val="en-US" w:eastAsia="zh-CN"/>
        </w:rPr>
      </w:pPr>
      <w:r>
        <w:rPr>
          <w:rFonts w:hint="eastAsia" w:ascii="仿宋_GB2312" w:hAnsi="仿宋_GB2312" w:eastAsia="仿宋_GB2312" w:cs="仿宋_GB2312"/>
          <w:b w:val="0"/>
          <w:bCs w:val="0"/>
          <w:lang w:val="en-US" w:eastAsia="zh-CN"/>
        </w:rPr>
        <w:t>无。</w:t>
      </w:r>
    </w:p>
    <w:p w14:paraId="36396D10">
      <w:pPr>
        <w:spacing w:line="560" w:lineRule="exact"/>
        <w:ind w:firstLine="640" w:firstLineChars="200"/>
        <w:rPr>
          <w:rStyle w:val="52"/>
          <w:rFonts w:ascii="Times New Roman" w:hAnsi="Times New Roman" w:cs="Times New Roman"/>
          <w:color w:val="auto"/>
        </w:rPr>
      </w:pPr>
      <w:r>
        <w:rPr>
          <w:rStyle w:val="52"/>
          <w:rFonts w:ascii="Times New Roman" w:hAnsi="Times New Roman" w:cs="Times New Roman"/>
          <w:color w:val="auto"/>
        </w:rPr>
        <w:t>满意度指标方面：</w:t>
      </w:r>
    </w:p>
    <w:p w14:paraId="7DF5BB5C">
      <w:pPr>
        <w:pStyle w:val="2"/>
        <w:spacing w:before="0" w:after="0" w:line="560" w:lineRule="exact"/>
        <w:ind w:firstLine="640" w:firstLineChars="200"/>
        <w:jc w:val="both"/>
        <w:rPr>
          <w:rFonts w:hint="default" w:ascii="仿宋_GB2312" w:hAnsi="仿宋_GB2312" w:eastAsia="仿宋_GB2312" w:cs="仿宋_GB2312"/>
          <w:b w:val="0"/>
          <w:bCs w:val="0"/>
          <w:lang w:val="en-US" w:eastAsia="zh-CN"/>
        </w:rPr>
      </w:pPr>
      <w:r>
        <w:rPr>
          <w:rFonts w:hint="eastAsia" w:ascii="Times New Roman" w:hAnsi="Times New Roman"/>
          <w:b w:val="0"/>
          <w:bCs w:val="0"/>
          <w:lang w:val="en-US" w:eastAsia="zh-CN"/>
        </w:rPr>
        <w:t>k.</w:t>
      </w:r>
      <w:r>
        <w:rPr>
          <w:rFonts w:hint="eastAsia" w:ascii="仿宋_GB2312" w:hAnsi="仿宋_GB2312" w:eastAsia="仿宋_GB2312" w:cs="仿宋_GB2312"/>
          <w:b w:val="0"/>
          <w:bCs w:val="0"/>
          <w:lang w:val="en-US" w:eastAsia="zh-CN"/>
        </w:rPr>
        <w:t>上级主管部门对监测工作满意度指标，指标值为大于等于95%，实际完成值95%，完成率100%</w:t>
      </w:r>
      <w:r>
        <w:rPr>
          <w:rFonts w:hint="eastAsia" w:ascii="仿宋_GB2312" w:hAnsi="仿宋_GB2312" w:eastAsia="仿宋_GB2312" w:cs="仿宋_GB2312"/>
          <w:b w:val="0"/>
          <w:bCs w:val="0"/>
          <w:kern w:val="2"/>
          <w:sz w:val="32"/>
          <w:szCs w:val="32"/>
          <w:highlight w:val="none"/>
          <w:lang w:val="en-US" w:eastAsia="zh-CN" w:bidi="ar-SA"/>
        </w:rPr>
        <w:t>，偏差率0%，偏差原因无。</w:t>
      </w:r>
    </w:p>
    <w:p w14:paraId="69E2C62D">
      <w:pPr>
        <w:pStyle w:val="2"/>
        <w:spacing w:before="0" w:after="0" w:line="560" w:lineRule="exact"/>
        <w:ind w:firstLine="640" w:firstLineChars="200"/>
        <w:jc w:val="both"/>
        <w:rPr>
          <w:rFonts w:hint="default" w:ascii="仿宋_GB2312" w:hAnsi="仿宋_GB2312" w:eastAsia="仿宋_GB2312" w:cs="仿宋_GB2312"/>
          <w:b w:val="0"/>
          <w:bCs w:val="0"/>
          <w:lang w:val="en-US" w:eastAsia="zh-CN"/>
        </w:rPr>
      </w:pPr>
      <w:r>
        <w:rPr>
          <w:rFonts w:hint="eastAsia" w:ascii="Times New Roman" w:hAnsi="Times New Roman"/>
          <w:b w:val="0"/>
          <w:bCs w:val="0"/>
          <w:lang w:val="en-US" w:eastAsia="zh-CN"/>
        </w:rPr>
        <w:t>l.</w:t>
      </w:r>
      <w:r>
        <w:rPr>
          <w:rFonts w:hint="eastAsia" w:ascii="仿宋_GB2312" w:hAnsi="仿宋_GB2312" w:eastAsia="仿宋_GB2312" w:cs="仿宋_GB2312"/>
          <w:b w:val="0"/>
          <w:bCs w:val="0"/>
          <w:lang w:val="en-US" w:eastAsia="zh-CN"/>
        </w:rPr>
        <w:t>仪器使用人员满意度指标，指标值为大于等于90%，实际完成值90%，完成率100%，偏差率0%，偏差原因无。</w:t>
      </w:r>
    </w:p>
    <w:p w14:paraId="2C715E6A">
      <w:pPr>
        <w:pStyle w:val="2"/>
        <w:spacing w:before="0" w:after="0" w:line="560" w:lineRule="exact"/>
        <w:ind w:firstLine="643" w:firstLineChars="200"/>
        <w:jc w:val="both"/>
        <w:rPr>
          <w:rStyle w:val="52"/>
          <w:rFonts w:ascii="Times New Roman" w:hAnsi="Times New Roman" w:cs="Times New Roman"/>
          <w:color w:val="auto"/>
        </w:rPr>
      </w:pPr>
      <w:r>
        <w:rPr>
          <w:rFonts w:eastAsia="黑体"/>
          <w:sz w:val="32"/>
          <w:szCs w:val="32"/>
        </w:rPr>
        <w:t>五、主要经验及做法、存在的问题及原因分析</w:t>
      </w:r>
    </w:p>
    <w:p w14:paraId="7381FE23">
      <w:pPr>
        <w:spacing w:line="600" w:lineRule="exact"/>
        <w:ind w:firstLine="627" w:firstLineChars="200"/>
        <w:rPr>
          <w:rFonts w:eastAsia="楷体"/>
          <w:b/>
          <w:spacing w:val="-4"/>
          <w:sz w:val="32"/>
          <w:szCs w:val="32"/>
        </w:rPr>
      </w:pPr>
      <w:r>
        <w:rPr>
          <w:rFonts w:eastAsia="楷体"/>
          <w:b/>
          <w:spacing w:val="-4"/>
          <w:sz w:val="32"/>
          <w:szCs w:val="32"/>
        </w:rPr>
        <w:t>（一）主要经验及做法</w:t>
      </w:r>
    </w:p>
    <w:p w14:paraId="33E48482">
      <w:pPr>
        <w:pStyle w:val="2"/>
        <w:spacing w:before="0" w:after="0" w:line="560" w:lineRule="exact"/>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1.严格执行国家有关法律法规和政策，确保项目资金绩效管理符合法律程序。</w:t>
      </w:r>
    </w:p>
    <w:p w14:paraId="247B5A48">
      <w:pPr>
        <w:pStyle w:val="2"/>
        <w:spacing w:before="0" w:after="0" w:line="560" w:lineRule="exact"/>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2.紧密结合项目实际情况，以产出定绩效目标，以产出定绩效指标，最大程度避免指标与实际工作偏离，提高项目资金的使用效率和质量。</w:t>
      </w:r>
    </w:p>
    <w:p w14:paraId="69CB8685">
      <w:pPr>
        <w:spacing w:line="560" w:lineRule="exact"/>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3.形成严、前、廉的绩效管理整体氛围，严格落实单位项目资金从申请、任务执行到资金支付全过程重要事项的议事决策制度，将监管关口前移，重点放在事前逐级审核，</w:t>
      </w:r>
      <w:r>
        <w:rPr>
          <w:rFonts w:ascii="Times New Roman" w:hAnsi="Times New Roman" w:eastAsia="仿宋_GB2312"/>
          <w:b w:val="0"/>
          <w:bCs w:val="0"/>
          <w:kern w:val="2"/>
          <w:sz w:val="32"/>
          <w:szCs w:val="32"/>
        </w:rPr>
        <w:t>严格坚持先做事、后验收、再拨付的原则，基本杜绝了资金被挤占和挪用现象的发生，跟踪检查到位。</w:t>
      </w:r>
    </w:p>
    <w:p w14:paraId="10840F2E">
      <w:pPr>
        <w:keepNext/>
        <w:keepLines/>
        <w:numPr>
          <w:ilvl w:val="0"/>
          <w:numId w:val="4"/>
        </w:numPr>
        <w:spacing w:line="600" w:lineRule="exact"/>
        <w:ind w:firstLine="643" w:firstLineChars="200"/>
        <w:rPr>
          <w:rFonts w:eastAsia="楷体_GB2312"/>
          <w:b/>
          <w:bCs/>
          <w:sz w:val="32"/>
          <w:szCs w:val="32"/>
        </w:rPr>
      </w:pPr>
      <w:r>
        <w:rPr>
          <w:rFonts w:eastAsia="楷体_GB2312"/>
          <w:b/>
          <w:bCs/>
          <w:sz w:val="32"/>
          <w:szCs w:val="32"/>
        </w:rPr>
        <w:t>存在的问题及原因分析</w:t>
      </w:r>
    </w:p>
    <w:p w14:paraId="3D437455">
      <w:pPr>
        <w:pStyle w:val="2"/>
        <w:spacing w:before="0" w:after="0" w:line="560" w:lineRule="exact"/>
        <w:ind w:firstLine="640" w:firstLineChars="200"/>
        <w:jc w:val="both"/>
        <w:rPr>
          <w:rFonts w:hint="default" w:ascii="Times New Roman" w:hAnsi="Times New Roman" w:eastAsia="仿宋_GB2312"/>
          <w:b w:val="0"/>
          <w:bCs w:val="0"/>
          <w:kern w:val="2"/>
          <w:lang w:val="en-US" w:eastAsia="zh-CN"/>
        </w:rPr>
      </w:pPr>
      <w:r>
        <w:rPr>
          <w:rFonts w:ascii="Times New Roman" w:hAnsi="Times New Roman" w:eastAsia="仿宋_GB2312"/>
          <w:b w:val="0"/>
          <w:bCs w:val="0"/>
          <w:kern w:val="2"/>
        </w:rPr>
        <w:t>存在的问题</w:t>
      </w:r>
      <w:r>
        <w:rPr>
          <w:rFonts w:hint="eastAsia" w:ascii="Times New Roman" w:hAnsi="Times New Roman" w:eastAsia="仿宋_GB2312"/>
          <w:b w:val="0"/>
          <w:bCs w:val="0"/>
          <w:kern w:val="2"/>
          <w:lang w:val="en-US" w:eastAsia="zh-CN"/>
        </w:rPr>
        <w:t>一是预算执行情况未达预期，原因是相关人员工作经验欠缺，统筹规划的能力有待进一步提升；二是内控制度不够完善，导致项目绩效管理的内部控制意识整体比较欠缺，使得绩效评价不能够全面反映内部控制的要求。</w:t>
      </w:r>
    </w:p>
    <w:p w14:paraId="2D317024"/>
    <w:p w14:paraId="782025FF">
      <w:pPr>
        <w:numPr>
          <w:ilvl w:val="0"/>
          <w:numId w:val="5"/>
        </w:numPr>
        <w:spacing w:line="600" w:lineRule="exact"/>
        <w:ind w:firstLine="640" w:firstLineChars="200"/>
        <w:rPr>
          <w:rFonts w:eastAsia="黑体"/>
          <w:sz w:val="32"/>
          <w:szCs w:val="32"/>
        </w:rPr>
      </w:pPr>
      <w:r>
        <w:rPr>
          <w:rFonts w:eastAsia="黑体"/>
          <w:sz w:val="32"/>
          <w:szCs w:val="32"/>
        </w:rPr>
        <w:t>有关建议</w:t>
      </w:r>
    </w:p>
    <w:p w14:paraId="5D3FFA11">
      <w:pPr>
        <w:numPr>
          <w:ilvl w:val="-1"/>
          <w:numId w:val="0"/>
        </w:numPr>
        <w:spacing w:line="560" w:lineRule="exact"/>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按照分权制衡的原则，逐步建立并优化单位管理结构，实现决策、执行和监督的有效制衡。</w:t>
      </w:r>
    </w:p>
    <w:p w14:paraId="7A61369F">
      <w:pPr>
        <w:numPr>
          <w:ilvl w:val="-1"/>
          <w:numId w:val="0"/>
        </w:numPr>
        <w:spacing w:line="560" w:lineRule="exact"/>
        <w:ind w:left="0" w:leftChars="0" w:firstLine="640" w:firstLineChars="200"/>
        <w:rPr>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积极推进信息化建设，充分发挥绩效评价系统在信息收集、比较、共享、分析等方面的功能，进一步提高预算绩效管理的效率。</w:t>
      </w:r>
    </w:p>
    <w:p w14:paraId="59AD4CC2">
      <w:pPr>
        <w:numPr>
          <w:ilvl w:val="0"/>
          <w:numId w:val="5"/>
        </w:numPr>
        <w:spacing w:line="600" w:lineRule="exact"/>
        <w:ind w:firstLine="640" w:firstLineChars="200"/>
        <w:rPr>
          <w:rFonts w:eastAsia="黑体"/>
          <w:sz w:val="32"/>
          <w:szCs w:val="32"/>
        </w:rPr>
      </w:pPr>
      <w:r>
        <w:rPr>
          <w:rFonts w:eastAsia="黑体"/>
          <w:sz w:val="32"/>
          <w:szCs w:val="32"/>
        </w:rPr>
        <w:t>其他需要说</w:t>
      </w:r>
      <w:bookmarkStart w:id="45" w:name="page8"/>
      <w:bookmarkEnd w:id="45"/>
      <w:r>
        <w:rPr>
          <w:rFonts w:eastAsia="黑体"/>
          <w:sz w:val="32"/>
          <w:szCs w:val="32"/>
        </w:rPr>
        <w:t>明的问题</w:t>
      </w:r>
    </w:p>
    <w:p w14:paraId="5E4F68D9">
      <w:pPr>
        <w:pStyle w:val="20"/>
        <w:ind w:firstLine="320" w:firstLineChars="100"/>
        <w:rPr>
          <w:rFonts w:ascii="Times New Roman" w:hAnsi="Times New Roman" w:eastAsia="方正小标宋简体"/>
          <w:b/>
          <w:kern w:val="0"/>
          <w:sz w:val="32"/>
          <w:szCs w:val="32"/>
          <w:lang w:bidi="ar"/>
        </w:rPr>
        <w:sectPr>
          <w:footerReference r:id="rId3" w:type="default"/>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_GB2312" w:hAnsi="仿宋_GB2312" w:eastAsia="仿宋_GB2312" w:cs="仿宋_GB2312"/>
          <w:sz w:val="32"/>
          <w:szCs w:val="32"/>
        </w:rPr>
        <w:t>无。</w:t>
      </w:r>
    </w:p>
    <w:tbl>
      <w:tblPr>
        <w:tblStyle w:val="21"/>
        <w:tblW w:w="8834" w:type="dxa"/>
        <w:tblInd w:w="0" w:type="dxa"/>
        <w:tblLayout w:type="autofit"/>
        <w:tblCellMar>
          <w:top w:w="0" w:type="dxa"/>
          <w:left w:w="0" w:type="dxa"/>
          <w:bottom w:w="0" w:type="dxa"/>
          <w:right w:w="0" w:type="dxa"/>
        </w:tblCellMar>
      </w:tblPr>
      <w:tblGrid>
        <w:gridCol w:w="798"/>
        <w:gridCol w:w="802"/>
        <w:gridCol w:w="1800"/>
        <w:gridCol w:w="1709"/>
        <w:gridCol w:w="894"/>
        <w:gridCol w:w="1348"/>
        <w:gridCol w:w="1483"/>
      </w:tblGrid>
      <w:tr w14:paraId="47BA2354">
        <w:tblPrEx>
          <w:tblCellMar>
            <w:top w:w="0" w:type="dxa"/>
            <w:left w:w="0" w:type="dxa"/>
            <w:bottom w:w="0" w:type="dxa"/>
            <w:right w:w="0" w:type="dxa"/>
          </w:tblCellMar>
        </w:tblPrEx>
        <w:trPr>
          <w:trHeight w:val="420" w:hRule="atLeast"/>
        </w:trPr>
        <w:tc>
          <w:tcPr>
            <w:tcW w:w="8834" w:type="dxa"/>
            <w:gridSpan w:val="7"/>
            <w:tcBorders>
              <w:top w:val="nil"/>
              <w:left w:val="nil"/>
              <w:bottom w:val="single" w:color="auto" w:sz="4" w:space="0"/>
              <w:right w:val="nil"/>
            </w:tcBorders>
            <w:shd w:val="clear" w:color="auto" w:fill="auto"/>
            <w:tcMar>
              <w:top w:w="12" w:type="dxa"/>
              <w:left w:w="12" w:type="dxa"/>
              <w:right w:w="12" w:type="dxa"/>
            </w:tcMar>
            <w:vAlign w:val="center"/>
          </w:tcPr>
          <w:p w14:paraId="64E1B71C">
            <w:pPr>
              <w:widowControl/>
              <w:jc w:val="center"/>
              <w:textAlignment w:val="center"/>
              <w:rPr>
                <w:rFonts w:eastAsia="方正小标宋简体"/>
                <w:b/>
                <w:sz w:val="32"/>
                <w:szCs w:val="32"/>
                <w:u w:val="single"/>
              </w:rPr>
            </w:pPr>
            <w:r>
              <w:rPr>
                <w:rFonts w:eastAsia="方正小标宋简体"/>
                <w:b/>
                <w:kern w:val="0"/>
                <w:sz w:val="32"/>
                <w:szCs w:val="32"/>
                <w:lang w:bidi="ar"/>
              </w:rPr>
              <w:t>项目支出绩效自评表</w:t>
            </w:r>
          </w:p>
        </w:tc>
      </w:tr>
      <w:tr w14:paraId="0577542B">
        <w:tblPrEx>
          <w:tblCellMar>
            <w:top w:w="0" w:type="dxa"/>
            <w:left w:w="0" w:type="dxa"/>
            <w:bottom w:w="0" w:type="dxa"/>
            <w:right w:w="0" w:type="dxa"/>
          </w:tblCellMar>
        </w:tblPrEx>
        <w:trPr>
          <w:trHeight w:val="288" w:hRule="atLeast"/>
        </w:trPr>
        <w:tc>
          <w:tcPr>
            <w:tcW w:w="8834" w:type="dxa"/>
            <w:gridSpan w:val="7"/>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136212">
            <w:pPr>
              <w:widowControl/>
              <w:jc w:val="center"/>
              <w:textAlignment w:val="center"/>
              <w:rPr>
                <w:sz w:val="22"/>
                <w:szCs w:val="22"/>
              </w:rPr>
            </w:pPr>
            <w:r>
              <w:rPr>
                <w:kern w:val="0"/>
                <w:sz w:val="22"/>
                <w:szCs w:val="22"/>
                <w:lang w:bidi="ar"/>
              </w:rPr>
              <w:t>（</w:t>
            </w:r>
            <w:r>
              <w:rPr>
                <w:rFonts w:hint="eastAsia"/>
                <w:kern w:val="0"/>
                <w:sz w:val="22"/>
                <w:szCs w:val="22"/>
                <w:lang w:eastAsia="zh-CN" w:bidi="ar"/>
              </w:rPr>
              <w:t>2023</w:t>
            </w:r>
            <w:r>
              <w:rPr>
                <w:kern w:val="0"/>
                <w:sz w:val="22"/>
                <w:szCs w:val="22"/>
                <w:lang w:bidi="ar"/>
              </w:rPr>
              <w:t>年度）</w:t>
            </w:r>
          </w:p>
        </w:tc>
      </w:tr>
      <w:tr w14:paraId="0C8767D3">
        <w:tblPrEx>
          <w:tblCellMar>
            <w:top w:w="0" w:type="dxa"/>
            <w:left w:w="0" w:type="dxa"/>
            <w:bottom w:w="0" w:type="dxa"/>
            <w:right w:w="0" w:type="dxa"/>
          </w:tblCellMar>
        </w:tblPrEx>
        <w:trPr>
          <w:wBefore w:w="0" w:type="auto"/>
          <w:trHeight w:val="276" w:hRule="atLeast"/>
        </w:trPr>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1CC423">
            <w:pPr>
              <w:widowControl/>
              <w:jc w:val="center"/>
              <w:textAlignment w:val="center"/>
              <w:rPr>
                <w:sz w:val="18"/>
                <w:szCs w:val="18"/>
              </w:rPr>
            </w:pPr>
            <w:r>
              <w:rPr>
                <w:kern w:val="0"/>
                <w:sz w:val="18"/>
                <w:szCs w:val="18"/>
                <w:lang w:bidi="ar"/>
              </w:rPr>
              <w:t>项目名称</w:t>
            </w:r>
          </w:p>
        </w:tc>
        <w:tc>
          <w:tcPr>
            <w:tcW w:w="7234"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601435">
            <w:pPr>
              <w:widowControl/>
              <w:jc w:val="center"/>
              <w:textAlignment w:val="center"/>
              <w:rPr>
                <w:sz w:val="18"/>
                <w:szCs w:val="18"/>
              </w:rPr>
            </w:pPr>
            <w:r>
              <w:rPr>
                <w:rFonts w:hint="eastAsia"/>
                <w:sz w:val="18"/>
                <w:szCs w:val="18"/>
              </w:rPr>
              <w:t>2023年克拉玛依生态环境质量监测专项</w:t>
            </w:r>
          </w:p>
        </w:tc>
      </w:tr>
      <w:tr w14:paraId="101A07E1">
        <w:tblPrEx>
          <w:tblCellMar>
            <w:top w:w="0" w:type="dxa"/>
            <w:left w:w="0" w:type="dxa"/>
            <w:bottom w:w="0" w:type="dxa"/>
            <w:right w:w="0" w:type="dxa"/>
          </w:tblCellMar>
        </w:tblPrEx>
        <w:trPr>
          <w:wBefore w:w="0" w:type="auto"/>
          <w:trHeight w:val="276" w:hRule="atLeast"/>
        </w:trPr>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8A6A57">
            <w:pPr>
              <w:widowControl/>
              <w:jc w:val="center"/>
              <w:textAlignment w:val="center"/>
              <w:rPr>
                <w:sz w:val="18"/>
                <w:szCs w:val="18"/>
              </w:rPr>
            </w:pPr>
            <w:r>
              <w:rPr>
                <w:kern w:val="0"/>
                <w:sz w:val="18"/>
                <w:szCs w:val="18"/>
                <w:lang w:bidi="ar"/>
              </w:rPr>
              <w:t>主管部门</w:t>
            </w:r>
          </w:p>
        </w:tc>
        <w:tc>
          <w:tcPr>
            <w:tcW w:w="440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525B65">
            <w:pPr>
              <w:widowControl/>
              <w:jc w:val="center"/>
              <w:textAlignment w:val="center"/>
              <w:rPr>
                <w:rFonts w:hint="eastAsia" w:eastAsia="宋体"/>
                <w:sz w:val="18"/>
                <w:szCs w:val="18"/>
                <w:lang w:eastAsia="zh-CN"/>
              </w:rPr>
            </w:pPr>
            <w:r>
              <w:rPr>
                <w:rFonts w:hint="eastAsia"/>
                <w:sz w:val="18"/>
                <w:szCs w:val="18"/>
                <w:lang w:eastAsia="zh-CN"/>
              </w:rPr>
              <w:t>自治区生态环境厅</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ABE40F">
            <w:pPr>
              <w:widowControl/>
              <w:jc w:val="center"/>
              <w:textAlignment w:val="center"/>
              <w:rPr>
                <w:sz w:val="18"/>
                <w:szCs w:val="18"/>
              </w:rPr>
            </w:pPr>
            <w:r>
              <w:rPr>
                <w:kern w:val="0"/>
                <w:sz w:val="18"/>
                <w:szCs w:val="18"/>
                <w:lang w:bidi="ar"/>
              </w:rPr>
              <w:t>实施单位</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FA2D05">
            <w:pPr>
              <w:jc w:val="center"/>
              <w:rPr>
                <w:sz w:val="18"/>
                <w:szCs w:val="18"/>
              </w:rPr>
            </w:pPr>
            <w:r>
              <w:rPr>
                <w:rFonts w:hint="eastAsia"/>
                <w:sz w:val="18"/>
                <w:szCs w:val="18"/>
              </w:rPr>
              <w:t>新疆维吾尔自治区克拉玛依生态环境监测站</w:t>
            </w:r>
          </w:p>
        </w:tc>
      </w:tr>
      <w:tr w14:paraId="492FBF0B">
        <w:tblPrEx>
          <w:tblCellMar>
            <w:top w:w="0" w:type="dxa"/>
            <w:left w:w="0" w:type="dxa"/>
            <w:bottom w:w="0" w:type="dxa"/>
            <w:right w:w="0" w:type="dxa"/>
          </w:tblCellMar>
        </w:tblPrEx>
        <w:trPr>
          <w:wBefore w:w="0" w:type="auto"/>
          <w:trHeight w:val="276" w:hRule="atLeast"/>
        </w:trPr>
        <w:tc>
          <w:tcPr>
            <w:tcW w:w="16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F49CF9">
            <w:pPr>
              <w:widowControl/>
              <w:jc w:val="center"/>
              <w:textAlignment w:val="center"/>
              <w:rPr>
                <w:sz w:val="18"/>
                <w:szCs w:val="18"/>
              </w:rPr>
            </w:pPr>
            <w:r>
              <w:rPr>
                <w:kern w:val="0"/>
                <w:sz w:val="18"/>
                <w:szCs w:val="18"/>
                <w:lang w:bidi="ar"/>
              </w:rPr>
              <w:t>项目资金</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1D1016">
            <w:pPr>
              <w:jc w:val="center"/>
              <w:rPr>
                <w:sz w:val="18"/>
                <w:szCs w:val="18"/>
              </w:rPr>
            </w:pP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F311C3">
            <w:pPr>
              <w:widowControl/>
              <w:jc w:val="center"/>
              <w:textAlignment w:val="center"/>
              <w:rPr>
                <w:sz w:val="18"/>
                <w:szCs w:val="18"/>
              </w:rPr>
            </w:pPr>
            <w:r>
              <w:rPr>
                <w:kern w:val="0"/>
                <w:sz w:val="18"/>
                <w:szCs w:val="18"/>
                <w:lang w:bidi="ar"/>
              </w:rPr>
              <w:t>年初预算数</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D57F13">
            <w:pPr>
              <w:widowControl/>
              <w:jc w:val="center"/>
              <w:textAlignment w:val="center"/>
              <w:rPr>
                <w:sz w:val="18"/>
                <w:szCs w:val="18"/>
              </w:rPr>
            </w:pPr>
            <w:r>
              <w:rPr>
                <w:kern w:val="0"/>
                <w:sz w:val="18"/>
                <w:szCs w:val="18"/>
                <w:lang w:bidi="ar"/>
              </w:rPr>
              <w:t>全年预算数</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DAF685">
            <w:pPr>
              <w:widowControl/>
              <w:jc w:val="center"/>
              <w:textAlignment w:val="center"/>
              <w:rPr>
                <w:sz w:val="18"/>
                <w:szCs w:val="18"/>
              </w:rPr>
            </w:pPr>
            <w:r>
              <w:rPr>
                <w:kern w:val="0"/>
                <w:sz w:val="18"/>
                <w:szCs w:val="18"/>
                <w:lang w:bidi="ar"/>
              </w:rPr>
              <w:t>全年执行数</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177CC9">
            <w:pPr>
              <w:widowControl/>
              <w:jc w:val="center"/>
              <w:textAlignment w:val="center"/>
              <w:rPr>
                <w:sz w:val="18"/>
                <w:szCs w:val="18"/>
              </w:rPr>
            </w:pPr>
            <w:r>
              <w:rPr>
                <w:kern w:val="0"/>
                <w:sz w:val="18"/>
                <w:szCs w:val="18"/>
                <w:lang w:bidi="ar"/>
              </w:rPr>
              <w:t>执行率</w:t>
            </w:r>
          </w:p>
        </w:tc>
      </w:tr>
      <w:tr w14:paraId="133DA672">
        <w:tblPrEx>
          <w:tblCellMar>
            <w:top w:w="0" w:type="dxa"/>
            <w:left w:w="0" w:type="dxa"/>
            <w:bottom w:w="0" w:type="dxa"/>
            <w:right w:w="0" w:type="dxa"/>
          </w:tblCellMar>
        </w:tblPrEx>
        <w:trPr>
          <w:wBefore w:w="0" w:type="auto"/>
          <w:trHeight w:val="276" w:hRule="atLeast"/>
        </w:trPr>
        <w:tc>
          <w:tcPr>
            <w:tcW w:w="1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0CC743">
            <w:pPr>
              <w:jc w:val="center"/>
              <w:rPr>
                <w:sz w:val="18"/>
                <w:szCs w:val="18"/>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855E03">
            <w:pPr>
              <w:widowControl/>
              <w:textAlignment w:val="center"/>
              <w:rPr>
                <w:sz w:val="18"/>
                <w:szCs w:val="18"/>
              </w:rPr>
            </w:pPr>
            <w:r>
              <w:rPr>
                <w:kern w:val="0"/>
                <w:sz w:val="18"/>
                <w:szCs w:val="18"/>
                <w:lang w:bidi="ar"/>
              </w:rPr>
              <w:t>年度资金总额</w:t>
            </w: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CECC69">
            <w:pPr>
              <w:widowControl/>
              <w:jc w:val="center"/>
              <w:textAlignment w:val="center"/>
              <w:rPr>
                <w:rFonts w:hint="default" w:eastAsia="宋体"/>
                <w:sz w:val="18"/>
                <w:szCs w:val="18"/>
                <w:lang w:val="en-US" w:eastAsia="zh-CN"/>
              </w:rPr>
            </w:pPr>
            <w:r>
              <w:rPr>
                <w:rFonts w:hint="default" w:eastAsia="宋体"/>
                <w:sz w:val="18"/>
                <w:szCs w:val="18"/>
                <w:lang w:val="en-US" w:eastAsia="zh-CN"/>
              </w:rPr>
              <w:t>1</w:t>
            </w:r>
            <w:r>
              <w:rPr>
                <w:rFonts w:hint="eastAsia"/>
                <w:sz w:val="18"/>
                <w:szCs w:val="18"/>
                <w:lang w:val="en-US" w:eastAsia="zh-CN"/>
              </w:rPr>
              <w:t>52.50</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EF156D">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eastAsia="宋体"/>
                <w:sz w:val="18"/>
                <w:szCs w:val="18"/>
                <w:lang w:val="en-US" w:eastAsia="zh-CN"/>
              </w:rPr>
              <w:t>1</w:t>
            </w:r>
            <w:r>
              <w:rPr>
                <w:rFonts w:hint="eastAsia"/>
                <w:sz w:val="18"/>
                <w:szCs w:val="18"/>
                <w:lang w:val="en-US" w:eastAsia="zh-CN"/>
              </w:rPr>
              <w:t>52.50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63C7DC">
            <w:pPr>
              <w:widowControl/>
              <w:jc w:val="center"/>
              <w:textAlignment w:val="center"/>
              <w:rPr>
                <w:rFonts w:hint="default" w:ascii="Times New Roman" w:hAnsi="Times New Roman" w:eastAsia="宋体" w:cs="Times New Roman"/>
                <w:kern w:val="2"/>
                <w:sz w:val="18"/>
                <w:szCs w:val="18"/>
                <w:lang w:val="en-US" w:eastAsia="zh-CN" w:bidi="ar-SA"/>
              </w:rPr>
            </w:pPr>
            <w:r>
              <w:rPr>
                <w:rFonts w:hint="default" w:eastAsia="宋体"/>
                <w:sz w:val="18"/>
                <w:szCs w:val="18"/>
                <w:lang w:val="en-US" w:eastAsia="zh-CN"/>
              </w:rPr>
              <w:t>1</w:t>
            </w:r>
            <w:r>
              <w:rPr>
                <w:rFonts w:hint="eastAsia"/>
                <w:sz w:val="18"/>
                <w:szCs w:val="18"/>
                <w:lang w:val="en-US" w:eastAsia="zh-CN"/>
              </w:rPr>
              <w:t>50.73</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C76694">
            <w:pPr>
              <w:widowControl/>
              <w:jc w:val="center"/>
              <w:textAlignment w:val="center"/>
              <w:rPr>
                <w:rFonts w:hint="default" w:eastAsia="宋体"/>
                <w:sz w:val="18"/>
                <w:szCs w:val="18"/>
                <w:lang w:val="en-US" w:eastAsia="zh-CN"/>
              </w:rPr>
            </w:pPr>
            <w:r>
              <w:rPr>
                <w:rFonts w:hint="eastAsia"/>
                <w:sz w:val="18"/>
                <w:szCs w:val="18"/>
                <w:lang w:val="en-US" w:eastAsia="zh-CN"/>
              </w:rPr>
              <w:t>98.8%</w:t>
            </w:r>
          </w:p>
        </w:tc>
      </w:tr>
      <w:tr w14:paraId="789B374A">
        <w:tblPrEx>
          <w:tblCellMar>
            <w:top w:w="0" w:type="dxa"/>
            <w:left w:w="0" w:type="dxa"/>
            <w:bottom w:w="0" w:type="dxa"/>
            <w:right w:w="0" w:type="dxa"/>
          </w:tblCellMar>
        </w:tblPrEx>
        <w:trPr>
          <w:wBefore w:w="0" w:type="auto"/>
          <w:trHeight w:val="276" w:hRule="atLeast"/>
        </w:trPr>
        <w:tc>
          <w:tcPr>
            <w:tcW w:w="1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E1F0FB">
            <w:pPr>
              <w:jc w:val="center"/>
              <w:rPr>
                <w:sz w:val="18"/>
                <w:szCs w:val="18"/>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1192FD">
            <w:pPr>
              <w:widowControl/>
              <w:jc w:val="center"/>
              <w:textAlignment w:val="center"/>
              <w:rPr>
                <w:sz w:val="18"/>
                <w:szCs w:val="18"/>
              </w:rPr>
            </w:pPr>
            <w:r>
              <w:rPr>
                <w:kern w:val="0"/>
                <w:sz w:val="18"/>
                <w:szCs w:val="18"/>
                <w:lang w:bidi="ar"/>
              </w:rPr>
              <w:t>其中：当年财政拨款</w:t>
            </w: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80A74F">
            <w:pPr>
              <w:widowControl/>
              <w:jc w:val="center"/>
              <w:textAlignment w:val="center"/>
              <w:rPr>
                <w:rFonts w:hint="default" w:eastAsia="宋体"/>
                <w:sz w:val="18"/>
                <w:szCs w:val="18"/>
                <w:lang w:val="en-US" w:eastAsia="zh-CN"/>
              </w:rPr>
            </w:pPr>
            <w:r>
              <w:rPr>
                <w:rFonts w:hint="eastAsia"/>
                <w:sz w:val="18"/>
                <w:szCs w:val="18"/>
                <w:lang w:val="en-US" w:eastAsia="zh-CN"/>
              </w:rPr>
              <w:t>150.00</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986DC7">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150.00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00D7D8">
            <w:pPr>
              <w:widowControl/>
              <w:jc w:val="center"/>
              <w:textAlignment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150.00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2F1646">
            <w:pPr>
              <w:widowControl/>
              <w:jc w:val="center"/>
              <w:textAlignment w:val="center"/>
              <w:rPr>
                <w:sz w:val="18"/>
                <w:szCs w:val="18"/>
              </w:rPr>
            </w:pPr>
          </w:p>
        </w:tc>
      </w:tr>
      <w:tr w14:paraId="0B51AF17">
        <w:tblPrEx>
          <w:tblCellMar>
            <w:top w:w="0" w:type="dxa"/>
            <w:left w:w="0" w:type="dxa"/>
            <w:bottom w:w="0" w:type="dxa"/>
            <w:right w:w="0" w:type="dxa"/>
          </w:tblCellMar>
        </w:tblPrEx>
        <w:trPr>
          <w:wBefore w:w="0" w:type="auto"/>
          <w:trHeight w:val="276" w:hRule="atLeast"/>
        </w:trPr>
        <w:tc>
          <w:tcPr>
            <w:tcW w:w="1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912BF0">
            <w:pPr>
              <w:jc w:val="center"/>
              <w:rPr>
                <w:sz w:val="18"/>
                <w:szCs w:val="18"/>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76375B">
            <w:pPr>
              <w:widowControl/>
              <w:jc w:val="center"/>
              <w:textAlignment w:val="center"/>
              <w:rPr>
                <w:sz w:val="18"/>
                <w:szCs w:val="18"/>
              </w:rPr>
            </w:pPr>
            <w:r>
              <w:rPr>
                <w:kern w:val="0"/>
                <w:sz w:val="18"/>
                <w:szCs w:val="18"/>
                <w:lang w:bidi="ar"/>
              </w:rPr>
              <w:t>上年结转资金</w:t>
            </w: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509EB6">
            <w:pPr>
              <w:jc w:val="center"/>
              <w:rPr>
                <w:sz w:val="18"/>
                <w:szCs w:val="18"/>
              </w:rPr>
            </w:pP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EAC419">
            <w:pPr>
              <w:jc w:val="center"/>
              <w:rPr>
                <w:rFonts w:ascii="Times New Roman" w:hAnsi="Times New Roman" w:eastAsia="宋体" w:cs="Times New Roman"/>
                <w:kern w:val="2"/>
                <w:sz w:val="18"/>
                <w:szCs w:val="18"/>
                <w:lang w:val="en-US" w:eastAsia="zh-CN" w:bidi="ar-SA"/>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DCAB0B">
            <w:pPr>
              <w:jc w:val="center"/>
              <w:rPr>
                <w:rFonts w:ascii="Times New Roman" w:hAnsi="Times New Roman" w:eastAsia="宋体" w:cs="Times New Roman"/>
                <w:kern w:val="2"/>
                <w:sz w:val="18"/>
                <w:szCs w:val="18"/>
                <w:lang w:val="en-US" w:eastAsia="zh-CN" w:bidi="ar-SA"/>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037EBF">
            <w:pPr>
              <w:jc w:val="center"/>
              <w:rPr>
                <w:sz w:val="18"/>
                <w:szCs w:val="18"/>
              </w:rPr>
            </w:pPr>
          </w:p>
        </w:tc>
      </w:tr>
      <w:tr w14:paraId="60D61740">
        <w:tblPrEx>
          <w:tblCellMar>
            <w:top w:w="0" w:type="dxa"/>
            <w:left w:w="0" w:type="dxa"/>
            <w:bottom w:w="0" w:type="dxa"/>
            <w:right w:w="0" w:type="dxa"/>
          </w:tblCellMar>
        </w:tblPrEx>
        <w:trPr>
          <w:wBefore w:w="0" w:type="auto"/>
          <w:trHeight w:val="276" w:hRule="atLeast"/>
        </w:trPr>
        <w:tc>
          <w:tcPr>
            <w:tcW w:w="1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FE9EAE">
            <w:pPr>
              <w:jc w:val="center"/>
              <w:rPr>
                <w:sz w:val="18"/>
                <w:szCs w:val="18"/>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8691C3">
            <w:pPr>
              <w:widowControl/>
              <w:jc w:val="center"/>
              <w:textAlignment w:val="center"/>
              <w:rPr>
                <w:sz w:val="18"/>
                <w:szCs w:val="18"/>
              </w:rPr>
            </w:pPr>
            <w:r>
              <w:rPr>
                <w:kern w:val="0"/>
                <w:sz w:val="18"/>
                <w:szCs w:val="18"/>
                <w:lang w:bidi="ar"/>
              </w:rPr>
              <w:t xml:space="preserve">  其他资金</w:t>
            </w: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1A1D0F">
            <w:pPr>
              <w:jc w:val="center"/>
              <w:rPr>
                <w:rFonts w:hint="default" w:eastAsia="宋体"/>
                <w:sz w:val="18"/>
                <w:szCs w:val="18"/>
                <w:lang w:val="en-US" w:eastAsia="zh-CN"/>
              </w:rPr>
            </w:pPr>
            <w:r>
              <w:rPr>
                <w:rFonts w:hint="eastAsia"/>
                <w:sz w:val="18"/>
                <w:szCs w:val="18"/>
                <w:lang w:val="en-US" w:eastAsia="zh-CN"/>
              </w:rPr>
              <w:t>2.50</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480C82">
            <w:pPr>
              <w:jc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2.50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24F9B5">
            <w:pPr>
              <w:jc w:val="center"/>
              <w:rPr>
                <w:rFonts w:hint="default" w:ascii="Times New Roman" w:hAnsi="Times New Roman" w:eastAsia="宋体" w:cs="Times New Roman"/>
                <w:kern w:val="2"/>
                <w:sz w:val="18"/>
                <w:szCs w:val="18"/>
                <w:lang w:val="en-US" w:eastAsia="zh-CN" w:bidi="ar-SA"/>
              </w:rPr>
            </w:pPr>
            <w:r>
              <w:rPr>
                <w:rFonts w:hint="eastAsia" w:cs="Times New Roman"/>
                <w:kern w:val="2"/>
                <w:sz w:val="18"/>
                <w:szCs w:val="18"/>
                <w:lang w:val="en-US" w:eastAsia="zh-CN" w:bidi="ar-SA"/>
              </w:rPr>
              <w:t>0.73</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6E305B">
            <w:pPr>
              <w:jc w:val="center"/>
              <w:rPr>
                <w:sz w:val="18"/>
                <w:szCs w:val="18"/>
              </w:rPr>
            </w:pPr>
          </w:p>
        </w:tc>
      </w:tr>
      <w:tr w14:paraId="65524FF6">
        <w:tblPrEx>
          <w:tblCellMar>
            <w:top w:w="0" w:type="dxa"/>
            <w:left w:w="0" w:type="dxa"/>
            <w:bottom w:w="0" w:type="dxa"/>
            <w:right w:w="0" w:type="dxa"/>
          </w:tblCellMar>
        </w:tblPrEx>
        <w:trPr>
          <w:trHeight w:val="276"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16FA4D">
            <w:pPr>
              <w:widowControl/>
              <w:jc w:val="center"/>
              <w:textAlignment w:val="center"/>
              <w:rPr>
                <w:sz w:val="18"/>
                <w:szCs w:val="18"/>
              </w:rPr>
            </w:pPr>
            <w:r>
              <w:rPr>
                <w:kern w:val="0"/>
                <w:sz w:val="18"/>
                <w:szCs w:val="18"/>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28F492">
            <w:pPr>
              <w:widowControl/>
              <w:jc w:val="center"/>
              <w:textAlignment w:val="center"/>
              <w:rPr>
                <w:sz w:val="18"/>
                <w:szCs w:val="18"/>
              </w:rPr>
            </w:pPr>
            <w:r>
              <w:rPr>
                <w:kern w:val="0"/>
                <w:sz w:val="18"/>
                <w:szCs w:val="18"/>
                <w:lang w:bidi="ar"/>
              </w:rPr>
              <w:t>预期目标</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383869">
            <w:pPr>
              <w:widowControl/>
              <w:jc w:val="center"/>
              <w:textAlignment w:val="center"/>
              <w:rPr>
                <w:sz w:val="18"/>
                <w:szCs w:val="18"/>
              </w:rPr>
            </w:pPr>
            <w:r>
              <w:rPr>
                <w:kern w:val="0"/>
                <w:sz w:val="18"/>
                <w:szCs w:val="18"/>
                <w:lang w:bidi="ar"/>
              </w:rPr>
              <w:t>实际完成情况</w:t>
            </w:r>
          </w:p>
        </w:tc>
      </w:tr>
      <w:tr w14:paraId="43C962F9">
        <w:tblPrEx>
          <w:tblCellMar>
            <w:top w:w="0" w:type="dxa"/>
            <w:left w:w="0" w:type="dxa"/>
            <w:bottom w:w="0" w:type="dxa"/>
            <w:right w:w="0"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38463E">
            <w:pPr>
              <w:jc w:val="center"/>
              <w:rPr>
                <w:sz w:val="18"/>
                <w:szCs w:val="18"/>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75373D">
            <w:pPr>
              <w:widowControl/>
              <w:textAlignment w:val="center"/>
              <w:rPr>
                <w:sz w:val="18"/>
                <w:szCs w:val="18"/>
              </w:rPr>
            </w:pPr>
            <w:r>
              <w:rPr>
                <w:rFonts w:hint="eastAsia"/>
                <w:sz w:val="18"/>
                <w:szCs w:val="18"/>
              </w:rPr>
              <w:t>按照《自治区关于深入打好污染防治攻坚战的实施方案》《自治区“十四五”生态环境监测规划》《自治区生态环境监测工作要点》&lt;自治区生态环境监测方案》相关要求，结合单位职责，组织开展克拉玛依生态环境质量监测工作，完成克拉玛依水源地、地表水环境质量、城市声环境质量、生态环境质量的例行监测任务。通过监测客观、准确反映克拉玛依环境质量状况及变化趋势，为克拉玛依市环境质量管理及决策提供数据支撑。</w:t>
            </w:r>
          </w:p>
        </w:tc>
        <w:tc>
          <w:tcPr>
            <w:tcW w:w="28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BB5ED5">
            <w:pPr>
              <w:widowControl/>
              <w:jc w:val="left"/>
              <w:textAlignment w:val="center"/>
              <w:rPr>
                <w:sz w:val="18"/>
                <w:szCs w:val="18"/>
              </w:rPr>
            </w:pPr>
            <w:r>
              <w:rPr>
                <w:rFonts w:hint="eastAsia"/>
                <w:sz w:val="18"/>
                <w:szCs w:val="18"/>
              </w:rPr>
              <w:t>完成克拉玛依水源地、地表水环境质量、城市声环境质量、生态环境质量的例行监测任务。通过监测客观、准确反映克拉玛依环境质量状况及变化趋势，为克拉玛依市环境质量管理及决策提供数据支撑。</w:t>
            </w:r>
          </w:p>
        </w:tc>
      </w:tr>
      <w:tr w14:paraId="488CF93F">
        <w:tblPrEx>
          <w:tblCellMar>
            <w:top w:w="0" w:type="dxa"/>
            <w:left w:w="0" w:type="dxa"/>
            <w:bottom w:w="0" w:type="dxa"/>
            <w:right w:w="0" w:type="dxa"/>
          </w:tblCellMar>
        </w:tblPrEx>
        <w:trPr>
          <w:wBefore w:w="0" w:type="auto"/>
          <w:trHeight w:val="408"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2E70B7">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sz w:val="15"/>
                <w:szCs w:val="15"/>
              </w:rPr>
            </w:pPr>
            <w:r>
              <w:rPr>
                <w:kern w:val="0"/>
                <w:sz w:val="15"/>
                <w:szCs w:val="15"/>
                <w:lang w:bidi="ar"/>
              </w:rPr>
              <w:t>绩效指标</w:t>
            </w:r>
          </w:p>
        </w:tc>
        <w:tc>
          <w:tcPr>
            <w:tcW w:w="80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79DFF5">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sz w:val="15"/>
                <w:szCs w:val="15"/>
              </w:rPr>
            </w:pPr>
            <w:r>
              <w:rPr>
                <w:kern w:val="0"/>
                <w:sz w:val="15"/>
                <w:szCs w:val="15"/>
                <w:lang w:bidi="ar"/>
              </w:rPr>
              <w:t>一级指标</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62D36A">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sz w:val="15"/>
                <w:szCs w:val="15"/>
              </w:rPr>
            </w:pPr>
            <w:r>
              <w:rPr>
                <w:kern w:val="0"/>
                <w:sz w:val="15"/>
                <w:szCs w:val="15"/>
                <w:lang w:bidi="ar"/>
              </w:rPr>
              <w:t>二级指标</w:t>
            </w:r>
          </w:p>
        </w:tc>
        <w:tc>
          <w:tcPr>
            <w:tcW w:w="1709"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19ECAA">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sz w:val="15"/>
                <w:szCs w:val="15"/>
              </w:rPr>
            </w:pPr>
            <w:r>
              <w:rPr>
                <w:kern w:val="0"/>
                <w:sz w:val="15"/>
                <w:szCs w:val="15"/>
                <w:lang w:bidi="ar"/>
              </w:rPr>
              <w:t>三级指标</w:t>
            </w:r>
          </w:p>
        </w:tc>
        <w:tc>
          <w:tcPr>
            <w:tcW w:w="8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F1E27E">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sz w:val="15"/>
                <w:szCs w:val="15"/>
              </w:rPr>
            </w:pPr>
            <w:r>
              <w:rPr>
                <w:kern w:val="0"/>
                <w:sz w:val="15"/>
                <w:szCs w:val="15"/>
                <w:lang w:bidi="ar"/>
              </w:rPr>
              <w:t>年度指标值</w:t>
            </w:r>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F672D5">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sz w:val="15"/>
                <w:szCs w:val="15"/>
              </w:rPr>
            </w:pPr>
            <w:r>
              <w:rPr>
                <w:kern w:val="0"/>
                <w:sz w:val="15"/>
                <w:szCs w:val="15"/>
                <w:lang w:bidi="ar"/>
              </w:rPr>
              <w:t>实际完成值</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F274C7">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sz w:val="15"/>
                <w:szCs w:val="15"/>
              </w:rPr>
            </w:pPr>
            <w:r>
              <w:rPr>
                <w:kern w:val="0"/>
                <w:sz w:val="15"/>
                <w:szCs w:val="15"/>
                <w:lang w:bidi="ar"/>
              </w:rPr>
              <w:t>偏差原因分析及改进措施</w:t>
            </w:r>
          </w:p>
        </w:tc>
      </w:tr>
      <w:tr w14:paraId="5F05EE8C">
        <w:tblPrEx>
          <w:tblCellMar>
            <w:top w:w="0" w:type="dxa"/>
            <w:left w:w="0" w:type="dxa"/>
            <w:bottom w:w="0" w:type="dxa"/>
            <w:right w:w="0" w:type="dxa"/>
          </w:tblCellMar>
        </w:tblPrEx>
        <w:trPr>
          <w:wBefore w:w="0" w:type="auto"/>
          <w:trHeight w:val="31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95BE03">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A5BFC0">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5FA3AE">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17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82BEAC">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48D459">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B4C245">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82C772">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6EE0EE9E">
        <w:tblPrEx>
          <w:tblCellMar>
            <w:top w:w="0" w:type="dxa"/>
            <w:left w:w="0" w:type="dxa"/>
            <w:bottom w:w="0" w:type="dxa"/>
            <w:right w:w="0" w:type="dxa"/>
          </w:tblCellMar>
        </w:tblPrEx>
        <w:trPr>
          <w:wBefore w:w="0" w:type="auto"/>
          <w:trHeight w:val="23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DEE7CF">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89A5CF4">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sz w:val="15"/>
                <w:szCs w:val="15"/>
              </w:rPr>
            </w:pPr>
            <w:r>
              <w:rPr>
                <w:kern w:val="0"/>
                <w:sz w:val="15"/>
                <w:szCs w:val="15"/>
                <w:lang w:bidi="ar"/>
              </w:rPr>
              <w:t>产出指标</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8E5DAD">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数量指标</w:t>
            </w: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F1FF23">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sz w:val="15"/>
                <w:szCs w:val="15"/>
              </w:rPr>
            </w:pPr>
            <w:r>
              <w:rPr>
                <w:rFonts w:hint="eastAsia" w:ascii="宋体" w:hAnsi="宋体" w:eastAsia="宋体" w:cs="宋体"/>
                <w:i w:val="0"/>
                <w:iCs w:val="0"/>
                <w:color w:val="000000"/>
                <w:kern w:val="0"/>
                <w:sz w:val="15"/>
                <w:szCs w:val="15"/>
                <w:u w:val="none"/>
                <w:lang w:val="en-US" w:eastAsia="zh-CN" w:bidi="ar"/>
              </w:rPr>
              <w:t>水环境监测点位数</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C0C35E">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&gt;=10个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F505F0">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eastAsia="宋体"/>
                <w:sz w:val="15"/>
                <w:szCs w:val="15"/>
                <w:lang w:val="en-US" w:eastAsia="zh-CN"/>
              </w:rPr>
            </w:pPr>
            <w:r>
              <w:rPr>
                <w:rFonts w:hint="eastAsia"/>
                <w:sz w:val="15"/>
                <w:szCs w:val="15"/>
                <w:lang w:val="en-US" w:eastAsia="zh-CN"/>
              </w:rPr>
              <w:t>12个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52E0F4">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52999226">
        <w:tblPrEx>
          <w:tblCellMar>
            <w:top w:w="0" w:type="dxa"/>
            <w:left w:w="0" w:type="dxa"/>
            <w:bottom w:w="0" w:type="dxa"/>
            <w:right w:w="0" w:type="dxa"/>
          </w:tblCellMar>
        </w:tblPrEx>
        <w:trPr>
          <w:wBefore w:w="0" w:type="auto"/>
          <w:trHeight w:val="277"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5C31D8">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C8A40D">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kern w:val="0"/>
                <w:sz w:val="15"/>
                <w:szCs w:val="15"/>
                <w:lang w:bidi="ar"/>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4C7F03">
            <w:pPr>
              <w:keepNext w:val="0"/>
              <w:keepLines w:val="0"/>
              <w:pageBreakBefore w:val="0"/>
              <w:kinsoku/>
              <w:wordWrap/>
              <w:overflowPunct/>
              <w:topLinePunct w:val="0"/>
              <w:autoSpaceDE/>
              <w:autoSpaceDN/>
              <w:bidi w:val="0"/>
              <w:adjustRightInd w:val="0"/>
              <w:snapToGrid w:val="0"/>
              <w:spacing w:line="240" w:lineRule="atLeast"/>
              <w:jc w:val="center"/>
              <w:rPr>
                <w:kern w:val="0"/>
                <w:sz w:val="15"/>
                <w:szCs w:val="15"/>
                <w:lang w:bidi="ar"/>
              </w:rPr>
            </w:pP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6E9BD2">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sz w:val="15"/>
                <w:szCs w:val="15"/>
              </w:rPr>
            </w:pPr>
            <w:r>
              <w:rPr>
                <w:rFonts w:hint="eastAsia" w:ascii="宋体" w:hAnsi="宋体" w:eastAsia="宋体" w:cs="宋体"/>
                <w:i w:val="0"/>
                <w:iCs w:val="0"/>
                <w:color w:val="000000"/>
                <w:kern w:val="0"/>
                <w:sz w:val="15"/>
                <w:szCs w:val="15"/>
                <w:u w:val="none"/>
                <w:lang w:val="en-US" w:eastAsia="zh-CN" w:bidi="ar"/>
              </w:rPr>
              <w:t>城市声环境质量例行监测点位</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4723B1">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173个</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32FABC">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eastAsia="宋体"/>
                <w:sz w:val="15"/>
                <w:szCs w:val="15"/>
                <w:lang w:val="en-US" w:eastAsia="zh-CN"/>
              </w:rPr>
            </w:pPr>
            <w:r>
              <w:rPr>
                <w:rFonts w:hint="eastAsia" w:ascii="宋体" w:hAnsi="宋体" w:eastAsia="宋体" w:cs="宋体"/>
                <w:i w:val="0"/>
                <w:iCs w:val="0"/>
                <w:color w:val="000000"/>
                <w:kern w:val="0"/>
                <w:sz w:val="15"/>
                <w:szCs w:val="15"/>
                <w:u w:val="none"/>
                <w:lang w:val="en-US" w:eastAsia="zh-CN" w:bidi="ar"/>
              </w:rPr>
              <w:t>173个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B22B5D">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0ABBF71D">
        <w:tblPrEx>
          <w:tblCellMar>
            <w:top w:w="0" w:type="dxa"/>
            <w:left w:w="0" w:type="dxa"/>
            <w:bottom w:w="0" w:type="dxa"/>
            <w:right w:w="0" w:type="dxa"/>
          </w:tblCellMar>
        </w:tblPrEx>
        <w:trPr>
          <w:wBefore w:w="0" w:type="auto"/>
          <w:trHeight w:val="20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AC7F67">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8FF736">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kern w:val="0"/>
                <w:sz w:val="15"/>
                <w:szCs w:val="15"/>
                <w:lang w:bidi="ar"/>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B6037C">
            <w:pPr>
              <w:keepNext w:val="0"/>
              <w:keepLines w:val="0"/>
              <w:pageBreakBefore w:val="0"/>
              <w:kinsoku/>
              <w:wordWrap/>
              <w:overflowPunct/>
              <w:topLinePunct w:val="0"/>
              <w:autoSpaceDE/>
              <w:autoSpaceDN/>
              <w:bidi w:val="0"/>
              <w:adjustRightInd w:val="0"/>
              <w:snapToGrid w:val="0"/>
              <w:spacing w:line="240" w:lineRule="atLeast"/>
              <w:jc w:val="center"/>
              <w:rPr>
                <w:kern w:val="0"/>
                <w:sz w:val="15"/>
                <w:szCs w:val="15"/>
                <w:lang w:bidi="ar"/>
              </w:rPr>
            </w:pP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A31C47">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sz w:val="15"/>
                <w:szCs w:val="15"/>
              </w:rPr>
            </w:pPr>
            <w:r>
              <w:rPr>
                <w:rFonts w:hint="eastAsia" w:ascii="宋体" w:hAnsi="宋体" w:eastAsia="宋体" w:cs="宋体"/>
                <w:i w:val="0"/>
                <w:iCs w:val="0"/>
                <w:color w:val="000000"/>
                <w:kern w:val="0"/>
                <w:sz w:val="15"/>
                <w:szCs w:val="15"/>
                <w:u w:val="none"/>
                <w:lang w:val="en-US" w:eastAsia="zh-CN" w:bidi="ar"/>
              </w:rPr>
              <w:t>农村环境质量例行监测</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2A5F98">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&gt;=4次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C1EE40">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eastAsia="宋体"/>
                <w:sz w:val="15"/>
                <w:szCs w:val="15"/>
                <w:lang w:val="en-US" w:eastAsia="zh-CN"/>
              </w:rPr>
            </w:pPr>
            <w:r>
              <w:rPr>
                <w:rFonts w:hint="eastAsia"/>
                <w:sz w:val="15"/>
                <w:szCs w:val="15"/>
                <w:lang w:val="en-US" w:eastAsia="zh-CN"/>
              </w:rPr>
              <w:t>4次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D99FCC">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6F09FAAB">
        <w:tblPrEx>
          <w:tblCellMar>
            <w:top w:w="0" w:type="dxa"/>
            <w:left w:w="0" w:type="dxa"/>
            <w:bottom w:w="0" w:type="dxa"/>
            <w:right w:w="0" w:type="dxa"/>
          </w:tblCellMar>
        </w:tblPrEx>
        <w:trPr>
          <w:wBefore w:w="0" w:type="auto"/>
          <w:trHeight w:val="331"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29F412">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85A94F3">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kern w:val="0"/>
                <w:sz w:val="15"/>
                <w:szCs w:val="15"/>
                <w:lang w:bidi="ar"/>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F440FD">
            <w:pPr>
              <w:keepNext w:val="0"/>
              <w:keepLines w:val="0"/>
              <w:pageBreakBefore w:val="0"/>
              <w:kinsoku/>
              <w:wordWrap/>
              <w:overflowPunct/>
              <w:topLinePunct w:val="0"/>
              <w:autoSpaceDE/>
              <w:autoSpaceDN/>
              <w:bidi w:val="0"/>
              <w:adjustRightInd w:val="0"/>
              <w:snapToGrid w:val="0"/>
              <w:spacing w:line="240" w:lineRule="atLeast"/>
              <w:jc w:val="center"/>
              <w:rPr>
                <w:kern w:val="0"/>
                <w:sz w:val="15"/>
                <w:szCs w:val="15"/>
                <w:lang w:bidi="ar"/>
              </w:rPr>
            </w:pP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7BFC51">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宋体" w:hAnsi="宋体" w:eastAsia="宋体" w:cs="宋体"/>
                <w:i w:val="0"/>
                <w:iCs w:val="0"/>
                <w:color w:val="000000"/>
                <w:kern w:val="0"/>
                <w:sz w:val="15"/>
                <w:szCs w:val="15"/>
                <w:u w:val="none"/>
                <w:lang w:val="en-US" w:eastAsia="zh-CN" w:bidi="ar"/>
              </w:rPr>
            </w:pPr>
            <w:r>
              <w:rPr>
                <w:rFonts w:hint="eastAsia" w:ascii="宋体" w:hAnsi="宋体" w:eastAsia="宋体" w:cs="宋体"/>
                <w:i w:val="0"/>
                <w:iCs w:val="0"/>
                <w:color w:val="000000"/>
                <w:spacing w:val="-6"/>
                <w:kern w:val="0"/>
                <w:sz w:val="15"/>
                <w:szCs w:val="15"/>
                <w:u w:val="none"/>
                <w:lang w:val="en-US" w:eastAsia="zh-CN" w:bidi="ar"/>
              </w:rPr>
              <w:t>购置实验室专用设备配件耗材批次数</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1CDE48">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宋体" w:hAnsi="宋体" w:eastAsia="宋体" w:cs="宋体"/>
                <w:i w:val="0"/>
                <w:iCs w:val="0"/>
                <w:color w:val="000000"/>
                <w:kern w:val="0"/>
                <w:sz w:val="15"/>
                <w:szCs w:val="15"/>
                <w:u w:val="none"/>
                <w:lang w:val="en-US" w:eastAsia="zh-CN" w:bidi="ar"/>
              </w:rPr>
            </w:pPr>
            <w:r>
              <w:rPr>
                <w:rFonts w:hint="eastAsia" w:ascii="宋体" w:hAnsi="宋体" w:eastAsia="宋体" w:cs="宋体"/>
                <w:i w:val="0"/>
                <w:iCs w:val="0"/>
                <w:color w:val="000000"/>
                <w:kern w:val="0"/>
                <w:sz w:val="15"/>
                <w:szCs w:val="15"/>
                <w:u w:val="none"/>
                <w:lang w:val="en-US" w:eastAsia="zh-CN" w:bidi="ar"/>
              </w:rPr>
              <w:t>&gt;=3次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40F44A">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sz w:val="15"/>
                <w:szCs w:val="15"/>
                <w:lang w:val="en-US" w:eastAsia="zh-CN"/>
              </w:rPr>
            </w:pPr>
            <w:r>
              <w:rPr>
                <w:rFonts w:hint="eastAsia"/>
                <w:sz w:val="15"/>
                <w:szCs w:val="15"/>
                <w:lang w:val="en-US" w:eastAsia="zh-CN"/>
              </w:rPr>
              <w:t>3次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7B5A14">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3F47FFF3">
        <w:tblPrEx>
          <w:tblCellMar>
            <w:top w:w="0" w:type="dxa"/>
            <w:left w:w="0" w:type="dxa"/>
            <w:bottom w:w="0" w:type="dxa"/>
            <w:right w:w="0" w:type="dxa"/>
          </w:tblCellMar>
        </w:tblPrEx>
        <w:trPr>
          <w:wBefore w:w="0" w:type="auto"/>
          <w:trHeight w:val="25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FA9809">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AB1EB2E">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kern w:val="0"/>
                <w:sz w:val="15"/>
                <w:szCs w:val="15"/>
                <w:lang w:bidi="ar"/>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8518A4">
            <w:pPr>
              <w:keepNext w:val="0"/>
              <w:keepLines w:val="0"/>
              <w:pageBreakBefore w:val="0"/>
              <w:kinsoku/>
              <w:wordWrap/>
              <w:overflowPunct/>
              <w:topLinePunct w:val="0"/>
              <w:autoSpaceDE/>
              <w:autoSpaceDN/>
              <w:bidi w:val="0"/>
              <w:adjustRightInd w:val="0"/>
              <w:snapToGrid w:val="0"/>
              <w:spacing w:line="240" w:lineRule="atLeast"/>
              <w:jc w:val="center"/>
              <w:rPr>
                <w:kern w:val="0"/>
                <w:sz w:val="15"/>
                <w:szCs w:val="15"/>
                <w:lang w:bidi="ar"/>
              </w:rPr>
            </w:pP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AFA0F3">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sz w:val="15"/>
                <w:szCs w:val="15"/>
              </w:rPr>
            </w:pPr>
            <w:r>
              <w:rPr>
                <w:rFonts w:hint="eastAsia" w:ascii="宋体" w:hAnsi="宋体" w:eastAsia="宋体" w:cs="宋体"/>
                <w:i w:val="0"/>
                <w:iCs w:val="0"/>
                <w:color w:val="000000"/>
                <w:kern w:val="0"/>
                <w:sz w:val="15"/>
                <w:szCs w:val="15"/>
                <w:u w:val="none"/>
                <w:lang w:val="en-US" w:eastAsia="zh-CN" w:bidi="ar"/>
              </w:rPr>
              <w:t>重点排污单位执法监测</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46012E">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&gt;=2次</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CD51A0">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eastAsia="宋体"/>
                <w:sz w:val="15"/>
                <w:szCs w:val="15"/>
                <w:lang w:val="en-US" w:eastAsia="zh-CN"/>
              </w:rPr>
            </w:pPr>
            <w:r>
              <w:rPr>
                <w:rFonts w:hint="eastAsia"/>
                <w:sz w:val="15"/>
                <w:szCs w:val="15"/>
                <w:lang w:val="en-US" w:eastAsia="zh-CN"/>
              </w:rPr>
              <w:t>1次</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267214">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6ECF8677">
        <w:tblPrEx>
          <w:tblCellMar>
            <w:top w:w="0" w:type="dxa"/>
            <w:left w:w="0" w:type="dxa"/>
            <w:bottom w:w="0" w:type="dxa"/>
            <w:right w:w="0" w:type="dxa"/>
          </w:tblCellMar>
        </w:tblPrEx>
        <w:trPr>
          <w:wBefore w:w="0" w:type="auto"/>
          <w:trHeight w:val="28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5A59C6">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7452850">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kern w:val="0"/>
                <w:sz w:val="15"/>
                <w:szCs w:val="15"/>
                <w:lang w:bidi="ar"/>
              </w:rPr>
            </w:pP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CD8B71">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宋体" w:hAnsi="宋体" w:eastAsia="宋体" w:cs="宋体"/>
                <w:i w:val="0"/>
                <w:iCs w:val="0"/>
                <w:color w:val="000000"/>
                <w:kern w:val="0"/>
                <w:sz w:val="15"/>
                <w:szCs w:val="15"/>
                <w:u w:val="none"/>
                <w:lang w:val="en-US" w:eastAsia="zh-CN" w:bidi="ar"/>
              </w:rPr>
            </w:pPr>
            <w:r>
              <w:rPr>
                <w:rFonts w:hint="eastAsia" w:ascii="宋体" w:hAnsi="宋体" w:eastAsia="宋体" w:cs="宋体"/>
                <w:i w:val="0"/>
                <w:iCs w:val="0"/>
                <w:color w:val="000000"/>
                <w:kern w:val="0"/>
                <w:sz w:val="15"/>
                <w:szCs w:val="15"/>
                <w:u w:val="none"/>
                <w:lang w:val="en-US" w:eastAsia="zh-CN" w:bidi="ar"/>
              </w:rPr>
              <w:t>质量指标</w:t>
            </w: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8832D3">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宋体" w:hAnsi="宋体" w:eastAsia="宋体" w:cs="宋体"/>
                <w:i w:val="0"/>
                <w:iCs w:val="0"/>
                <w:color w:val="000000"/>
                <w:kern w:val="0"/>
                <w:sz w:val="15"/>
                <w:szCs w:val="15"/>
                <w:u w:val="none"/>
                <w:lang w:val="en-US" w:eastAsia="zh-CN" w:bidi="ar"/>
              </w:rPr>
            </w:pPr>
            <w:r>
              <w:rPr>
                <w:rFonts w:hint="eastAsia" w:ascii="宋体" w:hAnsi="宋体" w:eastAsia="宋体" w:cs="宋体"/>
                <w:i w:val="0"/>
                <w:iCs w:val="0"/>
                <w:color w:val="000000"/>
                <w:kern w:val="0"/>
                <w:sz w:val="15"/>
                <w:szCs w:val="15"/>
                <w:u w:val="none"/>
                <w:lang w:val="en-US" w:eastAsia="zh-CN" w:bidi="ar"/>
              </w:rPr>
              <w:t>监测数据准确率</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551D70">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宋体" w:hAnsi="宋体" w:eastAsia="宋体" w:cs="宋体"/>
                <w:i w:val="0"/>
                <w:iCs w:val="0"/>
                <w:color w:val="000000"/>
                <w:kern w:val="0"/>
                <w:sz w:val="15"/>
                <w:szCs w:val="15"/>
                <w:u w:val="none"/>
                <w:lang w:val="en-US" w:eastAsia="zh-CN" w:bidi="ar"/>
              </w:rPr>
            </w:pPr>
            <w:r>
              <w:rPr>
                <w:rFonts w:hint="eastAsia" w:ascii="宋体" w:hAnsi="宋体" w:eastAsia="宋体" w:cs="宋体"/>
                <w:i w:val="0"/>
                <w:iCs w:val="0"/>
                <w:color w:val="000000"/>
                <w:kern w:val="0"/>
                <w:sz w:val="15"/>
                <w:szCs w:val="15"/>
                <w:u w:val="none"/>
                <w:lang w:val="en-US" w:eastAsia="zh-CN" w:bidi="ar"/>
              </w:rPr>
              <w:t>&gt;=95%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6BE529">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eastAsia="宋体"/>
                <w:sz w:val="15"/>
                <w:szCs w:val="15"/>
                <w:lang w:val="en-US" w:eastAsia="zh-CN"/>
              </w:rPr>
            </w:pPr>
            <w:r>
              <w:rPr>
                <w:rFonts w:hint="eastAsia"/>
                <w:sz w:val="15"/>
                <w:szCs w:val="15"/>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99D861">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70667D70">
        <w:tblPrEx>
          <w:tblCellMar>
            <w:top w:w="0" w:type="dxa"/>
            <w:left w:w="0" w:type="dxa"/>
            <w:bottom w:w="0" w:type="dxa"/>
            <w:right w:w="0" w:type="dxa"/>
          </w:tblCellMar>
        </w:tblPrEx>
        <w:trPr>
          <w:wBefore w:w="0" w:type="auto"/>
          <w:trHeight w:val="264"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63638F">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4687F2D">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1800"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0755C67C">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78E784">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sz w:val="15"/>
                <w:szCs w:val="15"/>
              </w:rPr>
            </w:pPr>
            <w:r>
              <w:rPr>
                <w:rFonts w:hint="eastAsia" w:ascii="宋体" w:hAnsi="宋体" w:eastAsia="宋体" w:cs="宋体"/>
                <w:i w:val="0"/>
                <w:iCs w:val="0"/>
                <w:color w:val="000000"/>
                <w:spacing w:val="-6"/>
                <w:kern w:val="0"/>
                <w:sz w:val="15"/>
                <w:szCs w:val="15"/>
                <w:u w:val="none"/>
                <w:lang w:val="en-US" w:eastAsia="zh-CN" w:bidi="ar"/>
              </w:rPr>
              <w:t>实验室专用设备配件耗材验收合格率</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3D9582">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&gt;=95%</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7204DD">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eastAsia="宋体"/>
                <w:sz w:val="15"/>
                <w:szCs w:val="15"/>
                <w:lang w:val="en-US" w:eastAsia="zh-CN"/>
              </w:rPr>
            </w:pPr>
            <w:r>
              <w:rPr>
                <w:rFonts w:hint="eastAsia"/>
                <w:sz w:val="15"/>
                <w:szCs w:val="15"/>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8C6FB3">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269907FE">
        <w:tblPrEx>
          <w:tblCellMar>
            <w:top w:w="0" w:type="dxa"/>
            <w:left w:w="0" w:type="dxa"/>
            <w:bottom w:w="0" w:type="dxa"/>
            <w:right w:w="0" w:type="dxa"/>
          </w:tblCellMar>
        </w:tblPrEx>
        <w:trPr>
          <w:wBefore w:w="0" w:type="auto"/>
          <w:trHeight w:val="28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D2EFB7">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7FBE647">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1800" w:type="dxa"/>
            <w:vMerge w:val="restart"/>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4BEC35AC">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宋体" w:hAnsi="宋体" w:eastAsia="宋体" w:cs="宋体"/>
                <w:i w:val="0"/>
                <w:iCs w:val="0"/>
                <w:color w:val="000000"/>
                <w:kern w:val="0"/>
                <w:sz w:val="15"/>
                <w:szCs w:val="15"/>
                <w:u w:val="none"/>
                <w:lang w:val="en-US" w:eastAsia="zh-CN" w:bidi="ar"/>
              </w:rPr>
            </w:pPr>
            <w:r>
              <w:rPr>
                <w:rFonts w:hint="eastAsia" w:ascii="宋体" w:hAnsi="宋体" w:eastAsia="宋体" w:cs="宋体"/>
                <w:i w:val="0"/>
                <w:iCs w:val="0"/>
                <w:color w:val="000000"/>
                <w:kern w:val="0"/>
                <w:sz w:val="15"/>
                <w:szCs w:val="15"/>
                <w:u w:val="none"/>
                <w:lang w:val="en-US" w:eastAsia="zh-CN" w:bidi="ar"/>
              </w:rPr>
              <w:t>时效指标</w:t>
            </w: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944B1B">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宋体" w:hAnsi="宋体" w:eastAsia="宋体" w:cs="宋体"/>
                <w:i w:val="0"/>
                <w:iCs w:val="0"/>
                <w:color w:val="000000"/>
                <w:kern w:val="0"/>
                <w:sz w:val="15"/>
                <w:szCs w:val="15"/>
                <w:u w:val="none"/>
                <w:lang w:val="en-US" w:eastAsia="zh-CN" w:bidi="ar"/>
              </w:rPr>
            </w:pPr>
            <w:r>
              <w:rPr>
                <w:rFonts w:hint="eastAsia" w:ascii="宋体" w:hAnsi="宋体" w:eastAsia="宋体" w:cs="宋体"/>
                <w:i w:val="0"/>
                <w:iCs w:val="0"/>
                <w:color w:val="000000"/>
                <w:spacing w:val="-6"/>
                <w:kern w:val="0"/>
                <w:sz w:val="15"/>
                <w:szCs w:val="15"/>
                <w:u w:val="none"/>
                <w:lang w:val="en-US" w:eastAsia="zh-CN" w:bidi="ar"/>
              </w:rPr>
              <w:t>实验室专用设备配件耗材采购及时率</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7EC0E8">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宋体" w:hAnsi="宋体" w:eastAsia="宋体" w:cs="宋体"/>
                <w:i w:val="0"/>
                <w:iCs w:val="0"/>
                <w:color w:val="000000"/>
                <w:kern w:val="0"/>
                <w:sz w:val="15"/>
                <w:szCs w:val="15"/>
                <w:u w:val="none"/>
                <w:lang w:val="en-US" w:eastAsia="zh-CN" w:bidi="ar"/>
              </w:rPr>
            </w:pPr>
            <w:r>
              <w:rPr>
                <w:rFonts w:hint="eastAsia" w:ascii="宋体" w:hAnsi="宋体" w:eastAsia="宋体" w:cs="宋体"/>
                <w:i w:val="0"/>
                <w:iCs w:val="0"/>
                <w:color w:val="000000"/>
                <w:kern w:val="0"/>
                <w:sz w:val="15"/>
                <w:szCs w:val="15"/>
                <w:u w:val="none"/>
                <w:lang w:val="en-US" w:eastAsia="zh-CN" w:bidi="ar"/>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140248">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sz w:val="15"/>
                <w:szCs w:val="15"/>
                <w:lang w:val="en-US" w:eastAsia="zh-CN"/>
              </w:rPr>
            </w:pPr>
            <w:r>
              <w:rPr>
                <w:rFonts w:hint="eastAsia"/>
                <w:sz w:val="15"/>
                <w:szCs w:val="15"/>
                <w:lang w:val="en-US" w:eastAsia="zh-CN"/>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451A71">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318EE448">
        <w:tblPrEx>
          <w:tblCellMar>
            <w:top w:w="0" w:type="dxa"/>
            <w:left w:w="0" w:type="dxa"/>
            <w:bottom w:w="0" w:type="dxa"/>
            <w:right w:w="0" w:type="dxa"/>
          </w:tblCellMar>
        </w:tblPrEx>
        <w:trPr>
          <w:wBefore w:w="0" w:type="auto"/>
          <w:trHeight w:val="301"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2CA308">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continue"/>
            <w:tcBorders>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2EA22D6A">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1800" w:type="dxa"/>
            <w:vMerge w:val="continue"/>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5CB828">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968C53">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sz w:val="15"/>
                <w:szCs w:val="15"/>
              </w:rPr>
            </w:pPr>
            <w:r>
              <w:rPr>
                <w:rFonts w:hint="eastAsia" w:ascii="宋体" w:hAnsi="宋体" w:eastAsia="宋体" w:cs="宋体"/>
                <w:i w:val="0"/>
                <w:iCs w:val="0"/>
                <w:color w:val="000000"/>
                <w:kern w:val="0"/>
                <w:sz w:val="15"/>
                <w:szCs w:val="15"/>
                <w:u w:val="none"/>
                <w:lang w:val="en-US" w:eastAsia="zh-CN" w:bidi="ar"/>
              </w:rPr>
              <w:t>监测任务按时完成率</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C6AEDA">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100%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211EFF">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eastAsia="宋体"/>
                <w:sz w:val="15"/>
                <w:szCs w:val="15"/>
                <w:lang w:val="en-US" w:eastAsia="zh-CN"/>
              </w:rPr>
            </w:pPr>
            <w:r>
              <w:rPr>
                <w:rFonts w:hint="eastAsia"/>
                <w:sz w:val="15"/>
                <w:szCs w:val="15"/>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5AFDE1">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20937B70">
        <w:tblPrEx>
          <w:tblCellMar>
            <w:top w:w="0" w:type="dxa"/>
            <w:left w:w="0" w:type="dxa"/>
            <w:bottom w:w="0" w:type="dxa"/>
            <w:right w:w="0" w:type="dxa"/>
          </w:tblCellMar>
        </w:tblPrEx>
        <w:trPr>
          <w:wBefore w:w="0" w:type="auto"/>
          <w:trHeight w:val="268"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0B012C">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restart"/>
            <w:tcBorders>
              <w:top w:val="single" w:color="auto" w:sz="4" w:space="0"/>
              <w:left w:val="single" w:color="000000" w:sz="4" w:space="0"/>
              <w:right w:val="single" w:color="000000" w:sz="4" w:space="0"/>
            </w:tcBorders>
            <w:shd w:val="clear" w:color="auto" w:fill="auto"/>
            <w:tcMar>
              <w:top w:w="12" w:type="dxa"/>
              <w:left w:w="12" w:type="dxa"/>
              <w:right w:w="12" w:type="dxa"/>
            </w:tcMar>
            <w:vAlign w:val="center"/>
          </w:tcPr>
          <w:p w14:paraId="5A709922">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kern w:val="0"/>
                <w:sz w:val="15"/>
                <w:szCs w:val="15"/>
                <w:lang w:bidi="ar"/>
              </w:rPr>
            </w:pPr>
            <w:r>
              <w:rPr>
                <w:kern w:val="0"/>
                <w:sz w:val="15"/>
                <w:szCs w:val="15"/>
                <w:lang w:bidi="ar"/>
              </w:rPr>
              <w:t>效益指标</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AA1789">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kern w:val="0"/>
                <w:sz w:val="15"/>
                <w:szCs w:val="15"/>
                <w:lang w:bidi="ar"/>
              </w:rPr>
            </w:pPr>
            <w:r>
              <w:rPr>
                <w:rFonts w:hint="eastAsia" w:ascii="宋体" w:hAnsi="宋体" w:eastAsia="宋体" w:cs="宋体"/>
                <w:i w:val="0"/>
                <w:iCs w:val="0"/>
                <w:color w:val="000000"/>
                <w:kern w:val="0"/>
                <w:sz w:val="15"/>
                <w:szCs w:val="15"/>
                <w:u w:val="none"/>
                <w:lang w:val="en-US" w:eastAsia="zh-CN" w:bidi="ar"/>
              </w:rPr>
              <w:t>社会效益指标</w:t>
            </w: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C7EA46">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sz w:val="15"/>
                <w:szCs w:val="15"/>
              </w:rPr>
            </w:pPr>
            <w:r>
              <w:rPr>
                <w:rFonts w:hint="eastAsia" w:ascii="宋体" w:hAnsi="宋体" w:eastAsia="宋体" w:cs="宋体"/>
                <w:i w:val="0"/>
                <w:iCs w:val="0"/>
                <w:color w:val="000000"/>
                <w:kern w:val="0"/>
                <w:sz w:val="15"/>
                <w:szCs w:val="15"/>
                <w:u w:val="none"/>
                <w:lang w:val="en-US" w:eastAsia="zh-CN" w:bidi="ar"/>
              </w:rPr>
              <w:t>污染防治工作</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C67E06">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有效支撑</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6CB157">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eastAsia="宋体"/>
                <w:sz w:val="15"/>
                <w:szCs w:val="15"/>
                <w:lang w:val="en-US" w:eastAsia="zh-CN"/>
              </w:rPr>
            </w:pPr>
            <w:r>
              <w:rPr>
                <w:rFonts w:hint="eastAsia"/>
                <w:sz w:val="15"/>
                <w:szCs w:val="15"/>
                <w:lang w:val="en-US" w:eastAsia="zh-CN"/>
              </w:rPr>
              <w:t>有效支撑</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D7599D">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2D9BF99D">
        <w:tblPrEx>
          <w:tblCellMar>
            <w:top w:w="0" w:type="dxa"/>
            <w:left w:w="0" w:type="dxa"/>
            <w:bottom w:w="0" w:type="dxa"/>
            <w:right w:w="0" w:type="dxa"/>
          </w:tblCellMar>
        </w:tblPrEx>
        <w:trPr>
          <w:wBefore w:w="0" w:type="auto"/>
          <w:trHeight w:val="317"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661901">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continue"/>
            <w:tcBorders>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4FD2F252">
            <w:pPr>
              <w:keepNext w:val="0"/>
              <w:keepLines w:val="0"/>
              <w:pageBreakBefore w:val="0"/>
              <w:widowControl/>
              <w:kinsoku/>
              <w:wordWrap/>
              <w:overflowPunct/>
              <w:topLinePunct w:val="0"/>
              <w:autoSpaceDE/>
              <w:autoSpaceDN/>
              <w:bidi w:val="0"/>
              <w:adjustRightInd w:val="0"/>
              <w:snapToGrid w:val="0"/>
              <w:spacing w:line="240" w:lineRule="atLeast"/>
              <w:jc w:val="both"/>
              <w:textAlignment w:val="center"/>
              <w:rPr>
                <w:sz w:val="15"/>
                <w:szCs w:val="15"/>
              </w:rPr>
            </w:pP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0F7DB3">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生态效益指标</w:t>
            </w: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A2048B">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sz w:val="15"/>
                <w:szCs w:val="15"/>
              </w:rPr>
            </w:pPr>
            <w:r>
              <w:rPr>
                <w:rFonts w:hint="eastAsia" w:ascii="宋体" w:hAnsi="宋体" w:eastAsia="宋体" w:cs="宋体"/>
                <w:i w:val="0"/>
                <w:iCs w:val="0"/>
                <w:color w:val="000000"/>
                <w:kern w:val="0"/>
                <w:sz w:val="15"/>
                <w:szCs w:val="15"/>
                <w:u w:val="none"/>
                <w:lang w:val="en-US" w:eastAsia="zh-CN" w:bidi="ar"/>
              </w:rPr>
              <w:t>生态环境质量监测工作</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3276BE">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有效提升</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492A1B">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有效提升</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09A01C">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56CBE669">
        <w:tblPrEx>
          <w:tblCellMar>
            <w:top w:w="0" w:type="dxa"/>
            <w:left w:w="0" w:type="dxa"/>
            <w:bottom w:w="0" w:type="dxa"/>
            <w:right w:w="0" w:type="dxa"/>
          </w:tblCellMar>
        </w:tblPrEx>
        <w:trPr>
          <w:wBefore w:w="0" w:type="auto"/>
          <w:trHeight w:val="312"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CBA35F">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restart"/>
            <w:tcBorders>
              <w:top w:val="single" w:color="auto" w:sz="4" w:space="0"/>
              <w:left w:val="single" w:color="000000" w:sz="4" w:space="0"/>
              <w:right w:val="single" w:color="000000" w:sz="4" w:space="0"/>
            </w:tcBorders>
            <w:shd w:val="clear" w:color="auto" w:fill="auto"/>
            <w:tcMar>
              <w:top w:w="12" w:type="dxa"/>
              <w:left w:w="12" w:type="dxa"/>
              <w:right w:w="12" w:type="dxa"/>
            </w:tcMar>
            <w:vAlign w:val="center"/>
          </w:tcPr>
          <w:p w14:paraId="1CF6C70D">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kern w:val="0"/>
                <w:sz w:val="15"/>
                <w:szCs w:val="15"/>
                <w:lang w:bidi="ar"/>
              </w:rPr>
            </w:pPr>
            <w:r>
              <w:rPr>
                <w:rFonts w:hint="eastAsia" w:ascii="宋体" w:hAnsi="宋体" w:eastAsia="宋体" w:cs="宋体"/>
                <w:i w:val="0"/>
                <w:iCs w:val="0"/>
                <w:color w:val="000000"/>
                <w:kern w:val="0"/>
                <w:sz w:val="15"/>
                <w:szCs w:val="15"/>
                <w:u w:val="none"/>
                <w:lang w:val="en-US" w:eastAsia="zh-CN" w:bidi="ar"/>
              </w:rPr>
              <w:t>满意度指标</w:t>
            </w:r>
          </w:p>
        </w:tc>
        <w:tc>
          <w:tcPr>
            <w:tcW w:w="180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96212D">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kern w:val="0"/>
                <w:sz w:val="15"/>
                <w:szCs w:val="15"/>
                <w:lang w:bidi="ar"/>
              </w:rPr>
            </w:pPr>
            <w:r>
              <w:rPr>
                <w:rFonts w:hint="eastAsia" w:ascii="宋体" w:hAnsi="宋体" w:eastAsia="宋体" w:cs="宋体"/>
                <w:i w:val="0"/>
                <w:iCs w:val="0"/>
                <w:color w:val="000000"/>
                <w:kern w:val="0"/>
                <w:sz w:val="15"/>
                <w:szCs w:val="15"/>
                <w:u w:val="none"/>
                <w:lang w:val="en-US" w:eastAsia="zh-CN" w:bidi="ar"/>
              </w:rPr>
              <w:t>满意度指标</w:t>
            </w:r>
          </w:p>
        </w:tc>
        <w:tc>
          <w:tcPr>
            <w:tcW w:w="1709" w:type="dxa"/>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7122C4E">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sz w:val="15"/>
                <w:szCs w:val="15"/>
              </w:rPr>
            </w:pPr>
            <w:r>
              <w:rPr>
                <w:rFonts w:hint="eastAsia" w:ascii="宋体" w:hAnsi="宋体" w:eastAsia="宋体" w:cs="宋体"/>
                <w:i w:val="0"/>
                <w:iCs w:val="0"/>
                <w:color w:val="000000"/>
                <w:spacing w:val="-6"/>
                <w:kern w:val="0"/>
                <w:sz w:val="15"/>
                <w:szCs w:val="15"/>
                <w:u w:val="none"/>
                <w:lang w:val="en-US" w:eastAsia="zh-CN" w:bidi="ar"/>
              </w:rPr>
              <w:t>上级主管部门对监测工作满意度</w:t>
            </w:r>
          </w:p>
        </w:tc>
        <w:tc>
          <w:tcPr>
            <w:tcW w:w="894" w:type="dxa"/>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49EEE81">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&gt;=95%</w:t>
            </w:r>
          </w:p>
        </w:tc>
        <w:tc>
          <w:tcPr>
            <w:tcW w:w="1348" w:type="dxa"/>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84330C6">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sz w:val="15"/>
                <w:szCs w:val="15"/>
              </w:rPr>
            </w:pPr>
            <w:r>
              <w:rPr>
                <w:rFonts w:hint="eastAsia"/>
                <w:sz w:val="15"/>
                <w:szCs w:val="15"/>
              </w:rPr>
              <w:t>95%</w:t>
            </w:r>
          </w:p>
        </w:tc>
        <w:tc>
          <w:tcPr>
            <w:tcW w:w="1483" w:type="dxa"/>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4422D40">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r w14:paraId="45C03FA9">
        <w:tblPrEx>
          <w:tblCellMar>
            <w:top w:w="0" w:type="dxa"/>
            <w:left w:w="0" w:type="dxa"/>
            <w:bottom w:w="0" w:type="dxa"/>
            <w:right w:w="0" w:type="dxa"/>
          </w:tblCellMar>
        </w:tblPrEx>
        <w:trPr>
          <w:wBefore w:w="0" w:type="auto"/>
          <w:trHeight w:val="369"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D14738">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c>
          <w:tcPr>
            <w:tcW w:w="802"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B0AA4F">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kern w:val="0"/>
                <w:sz w:val="15"/>
                <w:szCs w:val="15"/>
                <w:lang w:bidi="ar"/>
              </w:rPr>
            </w:pPr>
          </w:p>
        </w:tc>
        <w:tc>
          <w:tcPr>
            <w:tcW w:w="18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3B6676">
            <w:pPr>
              <w:keepNext w:val="0"/>
              <w:keepLines w:val="0"/>
              <w:pageBreakBefore w:val="0"/>
              <w:kinsoku/>
              <w:wordWrap/>
              <w:overflowPunct/>
              <w:topLinePunct w:val="0"/>
              <w:autoSpaceDE/>
              <w:autoSpaceDN/>
              <w:bidi w:val="0"/>
              <w:adjustRightInd w:val="0"/>
              <w:snapToGrid w:val="0"/>
              <w:spacing w:line="240" w:lineRule="atLeast"/>
              <w:jc w:val="center"/>
              <w:rPr>
                <w:kern w:val="0"/>
                <w:sz w:val="15"/>
                <w:szCs w:val="15"/>
                <w:lang w:bidi="ar"/>
              </w:rPr>
            </w:pPr>
          </w:p>
        </w:tc>
        <w:tc>
          <w:tcPr>
            <w:tcW w:w="170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4D03FA">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sz w:val="15"/>
                <w:szCs w:val="15"/>
              </w:rPr>
            </w:pPr>
            <w:r>
              <w:rPr>
                <w:rFonts w:hint="eastAsia" w:ascii="宋体" w:hAnsi="宋体" w:eastAsia="宋体" w:cs="宋体"/>
                <w:i w:val="0"/>
                <w:iCs w:val="0"/>
                <w:color w:val="000000"/>
                <w:kern w:val="0"/>
                <w:sz w:val="15"/>
                <w:szCs w:val="15"/>
                <w:u w:val="none"/>
                <w:lang w:val="en-US" w:eastAsia="zh-CN" w:bidi="ar"/>
              </w:rPr>
              <w:t>仪器使用人员满意度</w:t>
            </w:r>
          </w:p>
        </w:tc>
        <w:tc>
          <w:tcPr>
            <w:tcW w:w="8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027A0F">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sz w:val="15"/>
                <w:szCs w:val="15"/>
              </w:rPr>
            </w:pPr>
            <w:r>
              <w:rPr>
                <w:rFonts w:hint="eastAsia" w:ascii="宋体" w:hAnsi="宋体" w:eastAsia="宋体" w:cs="宋体"/>
                <w:i w:val="0"/>
                <w:iCs w:val="0"/>
                <w:color w:val="000000"/>
                <w:kern w:val="0"/>
                <w:sz w:val="15"/>
                <w:szCs w:val="15"/>
                <w:u w:val="none"/>
                <w:lang w:val="en-US" w:eastAsia="zh-CN" w:bidi="ar"/>
              </w:rPr>
              <w:t>&gt;=90%</w:t>
            </w: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3A0FE7">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sz w:val="15"/>
                <w:szCs w:val="15"/>
              </w:rPr>
            </w:pPr>
            <w:r>
              <w:rPr>
                <w:rFonts w:hint="default" w:ascii="Times New Roman" w:hAnsi="Times New Roman" w:eastAsia="宋体" w:cs="Times New Roman"/>
                <w:i w:val="0"/>
                <w:iCs w:val="0"/>
                <w:color w:val="000000"/>
                <w:kern w:val="0"/>
                <w:sz w:val="15"/>
                <w:szCs w:val="15"/>
                <w:u w:val="none"/>
                <w:lang w:val="en-US" w:eastAsia="zh-CN" w:bidi="ar"/>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D1BE17">
            <w:pPr>
              <w:keepNext w:val="0"/>
              <w:keepLines w:val="0"/>
              <w:pageBreakBefore w:val="0"/>
              <w:kinsoku/>
              <w:wordWrap/>
              <w:overflowPunct/>
              <w:topLinePunct w:val="0"/>
              <w:autoSpaceDE/>
              <w:autoSpaceDN/>
              <w:bidi w:val="0"/>
              <w:adjustRightInd w:val="0"/>
              <w:snapToGrid w:val="0"/>
              <w:spacing w:line="240" w:lineRule="atLeast"/>
              <w:jc w:val="center"/>
              <w:rPr>
                <w:sz w:val="15"/>
                <w:szCs w:val="15"/>
              </w:rPr>
            </w:pPr>
          </w:p>
        </w:tc>
      </w:tr>
    </w:tbl>
    <w:p w14:paraId="4B93CD2A">
      <w:pPr>
        <w:pStyle w:val="2"/>
        <w:keepNext w:val="0"/>
        <w:keepLines w:val="0"/>
        <w:pageBreakBefore w:val="0"/>
        <w:kinsoku/>
        <w:wordWrap/>
        <w:overflowPunct/>
        <w:topLinePunct w:val="0"/>
        <w:autoSpaceDE/>
        <w:autoSpaceDN/>
        <w:bidi w:val="0"/>
        <w:adjustRightInd w:val="0"/>
        <w:snapToGrid w:val="0"/>
        <w:jc w:val="both"/>
        <w:rPr>
          <w:rFonts w:ascii="Times New Roman" w:hAnsi="Times New Roman" w:eastAsia="黑体"/>
          <w:b w:val="0"/>
          <w:bCs w:val="0"/>
        </w:rPr>
      </w:pPr>
    </w:p>
    <w:p w14:paraId="1823A1DB">
      <w:pPr>
        <w:pStyle w:val="2"/>
        <w:rPr>
          <w:rFonts w:ascii="Times New Roman" w:hAnsi="Times New Roman" w:eastAsia="黑体"/>
          <w:b w:val="0"/>
          <w:bCs w:val="0"/>
        </w:rPr>
      </w:pPr>
    </w:p>
    <w:p w14:paraId="0AA95F40">
      <w:pPr>
        <w:pStyle w:val="2"/>
        <w:jc w:val="both"/>
        <w:rPr>
          <w:rFonts w:ascii="Times New Roman" w:hAnsi="Times New Roman"/>
        </w:rPr>
        <w:sectPr>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41FC3697">
      <w:pPr>
        <w:spacing w:line="600" w:lineRule="exact"/>
        <w:rPr>
          <w:bCs/>
          <w:sz w:val="32"/>
          <w:szCs w:val="32"/>
        </w:rPr>
      </w:pPr>
      <w:r>
        <w:rPr>
          <w:bCs/>
          <w:sz w:val="32"/>
          <w:szCs w:val="32"/>
        </w:rPr>
        <w:t>附件1</w:t>
      </w:r>
    </w:p>
    <w:tbl>
      <w:tblPr>
        <w:tblStyle w:val="21"/>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14:paraId="569903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14:paraId="5E9CF3A4">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14:paraId="6CE23AE3">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3E840326">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00935C3B">
            <w:pPr>
              <w:widowControl/>
              <w:spacing w:line="0" w:lineRule="atLeast"/>
              <w:jc w:val="center"/>
              <w:rPr>
                <w:b/>
                <w:bCs/>
                <w:color w:val="000000"/>
                <w:kern w:val="0"/>
                <w:sz w:val="22"/>
                <w:szCs w:val="22"/>
              </w:rPr>
            </w:pPr>
            <w:r>
              <w:rPr>
                <w:b/>
                <w:bCs/>
                <w:color w:val="000000"/>
                <w:kern w:val="0"/>
                <w:sz w:val="22"/>
                <w:szCs w:val="22"/>
              </w:rPr>
              <w:t>指标解释</w:t>
            </w:r>
          </w:p>
        </w:tc>
        <w:tc>
          <w:tcPr>
            <w:tcW w:w="2044" w:type="pct"/>
            <w:shd w:val="clear" w:color="auto" w:fill="FFFFFF"/>
            <w:vAlign w:val="center"/>
          </w:tcPr>
          <w:p w14:paraId="408616BA">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027BE999">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7E1E883C">
            <w:pPr>
              <w:widowControl/>
              <w:spacing w:line="0" w:lineRule="atLeast"/>
              <w:jc w:val="center"/>
              <w:rPr>
                <w:b/>
                <w:bCs/>
                <w:color w:val="000000"/>
                <w:kern w:val="0"/>
                <w:sz w:val="22"/>
                <w:szCs w:val="22"/>
              </w:rPr>
            </w:pPr>
            <w:r>
              <w:rPr>
                <w:b/>
                <w:bCs/>
                <w:color w:val="000000"/>
                <w:kern w:val="0"/>
                <w:sz w:val="22"/>
                <w:szCs w:val="22"/>
              </w:rPr>
              <w:t>得分</w:t>
            </w:r>
          </w:p>
        </w:tc>
      </w:tr>
      <w:tr w14:paraId="6447E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331" w:type="pct"/>
            <w:vMerge w:val="restart"/>
            <w:shd w:val="clear" w:color="auto" w:fill="FFFFFF"/>
            <w:vAlign w:val="center"/>
          </w:tcPr>
          <w:p w14:paraId="00087AE1">
            <w:pPr>
              <w:widowControl/>
              <w:spacing w:line="0" w:lineRule="atLeast"/>
              <w:jc w:val="center"/>
              <w:rPr>
                <w:color w:val="000000"/>
                <w:kern w:val="0"/>
                <w:sz w:val="22"/>
                <w:szCs w:val="22"/>
              </w:rPr>
            </w:pPr>
            <w:r>
              <w:rPr>
                <w:color w:val="000000"/>
                <w:kern w:val="0"/>
                <w:sz w:val="22"/>
                <w:szCs w:val="22"/>
              </w:rPr>
              <w:t>决策　</w:t>
            </w:r>
          </w:p>
          <w:p w14:paraId="6B8FA7A9">
            <w:pPr>
              <w:widowControl/>
              <w:spacing w:line="0" w:lineRule="atLeast"/>
              <w:jc w:val="center"/>
              <w:rPr>
                <w:color w:val="000000"/>
                <w:kern w:val="0"/>
                <w:sz w:val="22"/>
                <w:szCs w:val="22"/>
              </w:rPr>
            </w:pPr>
            <w:r>
              <w:rPr>
                <w:color w:val="000000"/>
                <w:kern w:val="0"/>
                <w:sz w:val="22"/>
                <w:szCs w:val="22"/>
              </w:rPr>
              <w:t>　</w:t>
            </w:r>
          </w:p>
          <w:p w14:paraId="622CAFF5">
            <w:pPr>
              <w:spacing w:line="0" w:lineRule="atLeast"/>
              <w:jc w:val="center"/>
              <w:rPr>
                <w:color w:val="000000"/>
                <w:kern w:val="0"/>
                <w:sz w:val="22"/>
                <w:szCs w:val="22"/>
              </w:rPr>
            </w:pPr>
            <w:r>
              <w:rPr>
                <w:color w:val="000000"/>
                <w:kern w:val="0"/>
                <w:sz w:val="22"/>
                <w:szCs w:val="22"/>
              </w:rPr>
              <w:t>　</w:t>
            </w:r>
          </w:p>
        </w:tc>
        <w:tc>
          <w:tcPr>
            <w:tcW w:w="302" w:type="pct"/>
            <w:vMerge w:val="restart"/>
            <w:shd w:val="clear" w:color="auto" w:fill="FFFFFF"/>
            <w:vAlign w:val="center"/>
          </w:tcPr>
          <w:p w14:paraId="4FEA8BB4">
            <w:pPr>
              <w:widowControl/>
              <w:spacing w:line="0" w:lineRule="atLeast"/>
              <w:jc w:val="center"/>
              <w:rPr>
                <w:color w:val="000000"/>
                <w:kern w:val="0"/>
                <w:sz w:val="22"/>
                <w:szCs w:val="22"/>
              </w:rPr>
            </w:pPr>
            <w:r>
              <w:rPr>
                <w:color w:val="000000"/>
                <w:kern w:val="0"/>
                <w:sz w:val="22"/>
                <w:szCs w:val="22"/>
              </w:rPr>
              <w:t>项目立项　</w:t>
            </w:r>
          </w:p>
        </w:tc>
        <w:tc>
          <w:tcPr>
            <w:tcW w:w="344" w:type="pct"/>
            <w:shd w:val="clear" w:color="auto" w:fill="FFFFFF"/>
            <w:vAlign w:val="center"/>
          </w:tcPr>
          <w:p w14:paraId="686B1415">
            <w:pPr>
              <w:widowControl/>
              <w:spacing w:line="0" w:lineRule="atLeast"/>
              <w:jc w:val="center"/>
              <w:rPr>
                <w:color w:val="000000"/>
                <w:kern w:val="0"/>
                <w:sz w:val="22"/>
                <w:szCs w:val="22"/>
              </w:rPr>
            </w:pPr>
            <w:r>
              <w:rPr>
                <w:color w:val="000000"/>
                <w:kern w:val="0"/>
                <w:sz w:val="22"/>
                <w:szCs w:val="22"/>
              </w:rPr>
              <w:t>立项依据</w:t>
            </w:r>
          </w:p>
          <w:p w14:paraId="41E8E4A7">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76174A5D">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52A87695">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512" w:type="pct"/>
            <w:shd w:val="clear" w:color="auto" w:fill="FFFFFF"/>
            <w:vAlign w:val="center"/>
          </w:tcPr>
          <w:p w14:paraId="43EA68F4">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69E5FB5A">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336A7D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14:paraId="7DB087CC">
            <w:pPr>
              <w:spacing w:line="0" w:lineRule="atLeast"/>
              <w:jc w:val="center"/>
              <w:rPr>
                <w:color w:val="000000"/>
                <w:kern w:val="0"/>
                <w:sz w:val="22"/>
                <w:szCs w:val="22"/>
              </w:rPr>
            </w:pPr>
          </w:p>
        </w:tc>
        <w:tc>
          <w:tcPr>
            <w:tcW w:w="302" w:type="pct"/>
            <w:vMerge w:val="continue"/>
            <w:shd w:val="clear" w:color="auto" w:fill="FFFFFF"/>
            <w:vAlign w:val="center"/>
          </w:tcPr>
          <w:p w14:paraId="7948052D">
            <w:pPr>
              <w:widowControl/>
              <w:spacing w:line="0" w:lineRule="atLeast"/>
              <w:jc w:val="center"/>
              <w:rPr>
                <w:color w:val="000000"/>
                <w:kern w:val="0"/>
                <w:sz w:val="22"/>
                <w:szCs w:val="22"/>
              </w:rPr>
            </w:pPr>
          </w:p>
        </w:tc>
        <w:tc>
          <w:tcPr>
            <w:tcW w:w="344" w:type="pct"/>
            <w:shd w:val="clear" w:color="auto" w:fill="FFFFFF"/>
            <w:vAlign w:val="center"/>
          </w:tcPr>
          <w:p w14:paraId="6F0D63D4">
            <w:pPr>
              <w:widowControl/>
              <w:spacing w:line="0" w:lineRule="atLeast"/>
              <w:jc w:val="center"/>
              <w:rPr>
                <w:color w:val="000000"/>
                <w:kern w:val="0"/>
                <w:sz w:val="22"/>
                <w:szCs w:val="22"/>
              </w:rPr>
            </w:pPr>
            <w:r>
              <w:rPr>
                <w:color w:val="000000"/>
                <w:kern w:val="0"/>
                <w:sz w:val="22"/>
                <w:szCs w:val="22"/>
              </w:rPr>
              <w:t>立项程序</w:t>
            </w:r>
          </w:p>
          <w:p w14:paraId="07DCF96C">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41DFE6FC">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4" w:type="pct"/>
            <w:shd w:val="clear" w:color="auto" w:fill="FFFFFF"/>
            <w:vAlign w:val="center"/>
          </w:tcPr>
          <w:p w14:paraId="164554BB">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512" w:type="pct"/>
            <w:shd w:val="clear" w:color="auto" w:fill="FFFFFF"/>
            <w:vAlign w:val="center"/>
          </w:tcPr>
          <w:p w14:paraId="13470EFB">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52B2345D">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034662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14:paraId="40B6D704">
            <w:pPr>
              <w:spacing w:line="0" w:lineRule="atLeast"/>
              <w:jc w:val="center"/>
              <w:rPr>
                <w:color w:val="000000"/>
                <w:kern w:val="0"/>
                <w:sz w:val="22"/>
                <w:szCs w:val="22"/>
              </w:rPr>
            </w:pPr>
          </w:p>
        </w:tc>
        <w:tc>
          <w:tcPr>
            <w:tcW w:w="302" w:type="pct"/>
            <w:shd w:val="clear" w:color="auto" w:fill="FFFFFF"/>
            <w:vAlign w:val="center"/>
          </w:tcPr>
          <w:p w14:paraId="0FB145E2">
            <w:pPr>
              <w:widowControl/>
              <w:spacing w:line="0" w:lineRule="atLeast"/>
              <w:jc w:val="center"/>
              <w:rPr>
                <w:color w:val="000000"/>
                <w:kern w:val="0"/>
                <w:sz w:val="22"/>
                <w:szCs w:val="22"/>
              </w:rPr>
            </w:pPr>
            <w:r>
              <w:rPr>
                <w:color w:val="000000"/>
                <w:kern w:val="0"/>
                <w:sz w:val="22"/>
                <w:szCs w:val="22"/>
              </w:rPr>
              <w:t>绩效目标　</w:t>
            </w:r>
          </w:p>
        </w:tc>
        <w:tc>
          <w:tcPr>
            <w:tcW w:w="344" w:type="pct"/>
            <w:shd w:val="clear" w:color="auto" w:fill="FFFFFF"/>
            <w:vAlign w:val="center"/>
          </w:tcPr>
          <w:p w14:paraId="0E861CEA">
            <w:pPr>
              <w:widowControl/>
              <w:spacing w:line="0" w:lineRule="atLeast"/>
              <w:jc w:val="center"/>
              <w:rPr>
                <w:color w:val="000000"/>
                <w:kern w:val="0"/>
                <w:sz w:val="22"/>
                <w:szCs w:val="22"/>
              </w:rPr>
            </w:pPr>
            <w:r>
              <w:rPr>
                <w:color w:val="000000"/>
                <w:kern w:val="0"/>
                <w:sz w:val="22"/>
                <w:szCs w:val="22"/>
              </w:rPr>
              <w:t>绩效目标</w:t>
            </w:r>
          </w:p>
          <w:p w14:paraId="79CD446E">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083E31FC">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0C3F3B7E">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14:paraId="1AD3DCCA">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512" w:type="pct"/>
            <w:shd w:val="clear" w:color="000000" w:fill="FFFFFF"/>
            <w:vAlign w:val="center"/>
          </w:tcPr>
          <w:p w14:paraId="09DAEF9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3E14500F">
            <w:pPr>
              <w:widowControl/>
              <w:spacing w:line="0" w:lineRule="atLeast"/>
              <w:jc w:val="center"/>
              <w:rPr>
                <w:b/>
                <w:bCs/>
                <w:color w:val="000000"/>
                <w:kern w:val="0"/>
                <w:sz w:val="22"/>
                <w:szCs w:val="22"/>
                <w:highlight w:val="none"/>
              </w:rPr>
            </w:pPr>
            <w:r>
              <w:rPr>
                <w:rFonts w:hint="eastAsia"/>
                <w:b/>
                <w:bCs/>
                <w:color w:val="000000"/>
                <w:kern w:val="0"/>
                <w:sz w:val="22"/>
                <w:szCs w:val="22"/>
                <w:highlight w:val="none"/>
                <w:lang w:val="en-US" w:eastAsia="zh-CN"/>
              </w:rPr>
              <w:t>4</w:t>
            </w:r>
          </w:p>
        </w:tc>
      </w:tr>
      <w:tr w14:paraId="699C6C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14:paraId="0197F3F9">
            <w:pPr>
              <w:widowControl/>
              <w:spacing w:line="0" w:lineRule="atLeast"/>
              <w:jc w:val="center"/>
              <w:rPr>
                <w:color w:val="000000"/>
                <w:kern w:val="0"/>
                <w:sz w:val="22"/>
                <w:szCs w:val="22"/>
              </w:rPr>
            </w:pPr>
            <w:r>
              <w:rPr>
                <w:color w:val="000000"/>
                <w:kern w:val="0"/>
                <w:sz w:val="22"/>
                <w:szCs w:val="22"/>
              </w:rPr>
              <w:t>决策　</w:t>
            </w:r>
          </w:p>
        </w:tc>
        <w:tc>
          <w:tcPr>
            <w:tcW w:w="302" w:type="pct"/>
            <w:shd w:val="clear" w:color="auto" w:fill="FFFFFF"/>
            <w:vAlign w:val="center"/>
          </w:tcPr>
          <w:p w14:paraId="16ADC6CF">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1412C80D">
            <w:pPr>
              <w:widowControl/>
              <w:spacing w:line="0" w:lineRule="atLeast"/>
              <w:jc w:val="center"/>
              <w:rPr>
                <w:color w:val="000000"/>
                <w:kern w:val="0"/>
                <w:sz w:val="22"/>
                <w:szCs w:val="22"/>
              </w:rPr>
            </w:pPr>
            <w:r>
              <w:rPr>
                <w:color w:val="000000"/>
                <w:kern w:val="0"/>
                <w:sz w:val="22"/>
                <w:szCs w:val="22"/>
              </w:rPr>
              <w:t>绩效指标</w:t>
            </w:r>
          </w:p>
          <w:p w14:paraId="5ECCECFE">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2B876D62">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14:paraId="5444242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512" w:type="pct"/>
            <w:shd w:val="clear" w:color="000000" w:fill="FFFFFF"/>
            <w:vAlign w:val="center"/>
          </w:tcPr>
          <w:p w14:paraId="385A800A">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14:paraId="23FD8F6C">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5B6D9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14:paraId="43D51BA1">
            <w:pPr>
              <w:spacing w:line="0" w:lineRule="atLeast"/>
              <w:jc w:val="center"/>
              <w:rPr>
                <w:color w:val="000000"/>
                <w:kern w:val="0"/>
                <w:sz w:val="22"/>
                <w:szCs w:val="22"/>
              </w:rPr>
            </w:pPr>
          </w:p>
        </w:tc>
        <w:tc>
          <w:tcPr>
            <w:tcW w:w="302" w:type="pct"/>
            <w:vMerge w:val="restart"/>
            <w:shd w:val="clear" w:color="auto" w:fill="FFFFFF"/>
            <w:vAlign w:val="center"/>
          </w:tcPr>
          <w:p w14:paraId="30A3F723">
            <w:pPr>
              <w:widowControl/>
              <w:spacing w:line="0" w:lineRule="atLeast"/>
              <w:jc w:val="center"/>
              <w:rPr>
                <w:color w:val="000000"/>
                <w:kern w:val="0"/>
                <w:sz w:val="22"/>
                <w:szCs w:val="22"/>
              </w:rPr>
            </w:pPr>
            <w:r>
              <w:rPr>
                <w:color w:val="000000"/>
                <w:kern w:val="0"/>
                <w:sz w:val="22"/>
                <w:szCs w:val="22"/>
              </w:rPr>
              <w:t>资金投入</w:t>
            </w:r>
          </w:p>
          <w:p w14:paraId="74298361">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7B330DE8">
            <w:pPr>
              <w:widowControl/>
              <w:spacing w:line="0" w:lineRule="atLeast"/>
              <w:jc w:val="center"/>
              <w:rPr>
                <w:color w:val="000000"/>
                <w:kern w:val="0"/>
                <w:sz w:val="22"/>
                <w:szCs w:val="22"/>
              </w:rPr>
            </w:pPr>
            <w:r>
              <w:rPr>
                <w:color w:val="000000"/>
                <w:kern w:val="0"/>
                <w:sz w:val="22"/>
                <w:szCs w:val="22"/>
              </w:rPr>
              <w:t>预算编制</w:t>
            </w:r>
          </w:p>
          <w:p w14:paraId="1C11EED2">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1D72E506">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38672C1B">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512" w:type="pct"/>
            <w:shd w:val="clear" w:color="auto" w:fill="FFFFFF"/>
            <w:vAlign w:val="center"/>
          </w:tcPr>
          <w:p w14:paraId="19E5364F">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7E31E9C3">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2F4C2F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14:paraId="54903F79">
            <w:pPr>
              <w:widowControl/>
              <w:spacing w:line="0" w:lineRule="atLeast"/>
              <w:jc w:val="center"/>
              <w:rPr>
                <w:color w:val="000000"/>
                <w:kern w:val="0"/>
                <w:sz w:val="22"/>
                <w:szCs w:val="22"/>
              </w:rPr>
            </w:pPr>
          </w:p>
        </w:tc>
        <w:tc>
          <w:tcPr>
            <w:tcW w:w="302" w:type="pct"/>
            <w:vMerge w:val="continue"/>
            <w:shd w:val="clear" w:color="auto" w:fill="FFFFFF"/>
            <w:vAlign w:val="center"/>
          </w:tcPr>
          <w:p w14:paraId="089D193D">
            <w:pPr>
              <w:widowControl/>
              <w:spacing w:line="0" w:lineRule="atLeast"/>
              <w:jc w:val="center"/>
              <w:rPr>
                <w:color w:val="000000"/>
                <w:kern w:val="0"/>
                <w:sz w:val="22"/>
                <w:szCs w:val="22"/>
              </w:rPr>
            </w:pPr>
          </w:p>
        </w:tc>
        <w:tc>
          <w:tcPr>
            <w:tcW w:w="344" w:type="pct"/>
            <w:shd w:val="clear" w:color="auto" w:fill="FFFFFF"/>
            <w:vAlign w:val="center"/>
          </w:tcPr>
          <w:p w14:paraId="3EC6F813">
            <w:pPr>
              <w:widowControl/>
              <w:spacing w:line="0" w:lineRule="atLeast"/>
              <w:jc w:val="center"/>
              <w:rPr>
                <w:color w:val="000000"/>
                <w:kern w:val="0"/>
                <w:sz w:val="22"/>
                <w:szCs w:val="22"/>
              </w:rPr>
            </w:pPr>
            <w:r>
              <w:rPr>
                <w:color w:val="000000"/>
                <w:kern w:val="0"/>
                <w:sz w:val="22"/>
                <w:szCs w:val="22"/>
              </w:rPr>
              <w:t>资金分配</w:t>
            </w:r>
          </w:p>
          <w:p w14:paraId="1F1FFC11">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1CE9B2D7">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104B7E2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512" w:type="pct"/>
            <w:shd w:val="clear" w:color="auto" w:fill="FFFFFF"/>
            <w:vAlign w:val="center"/>
          </w:tcPr>
          <w:p w14:paraId="16BC4E95">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683F1550">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39EEBA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14:paraId="7259E01C">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14:paraId="157FEE70">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7591AD94">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74FCA76B">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20D4AEC3">
            <w:pPr>
              <w:widowControl/>
              <w:spacing w:line="0" w:lineRule="atLeast"/>
              <w:rPr>
                <w:color w:val="000000"/>
                <w:kern w:val="0"/>
                <w:sz w:val="22"/>
                <w:szCs w:val="22"/>
              </w:rPr>
            </w:pPr>
            <w:r>
              <w:rPr>
                <w:color w:val="000000"/>
                <w:kern w:val="0"/>
                <w:sz w:val="22"/>
                <w:szCs w:val="22"/>
              </w:rPr>
              <w:t>资金到位率=（实际到位资金/预算资金）×100%。</w:t>
            </w:r>
          </w:p>
          <w:p w14:paraId="1AD5D0EB">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40A338F6">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104D15C3">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59D69A67">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3D835C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14:paraId="08DA7026">
            <w:pPr>
              <w:spacing w:line="0" w:lineRule="atLeast"/>
              <w:jc w:val="center"/>
              <w:rPr>
                <w:color w:val="000000"/>
                <w:kern w:val="0"/>
                <w:sz w:val="22"/>
                <w:szCs w:val="22"/>
              </w:rPr>
            </w:pPr>
          </w:p>
        </w:tc>
        <w:tc>
          <w:tcPr>
            <w:tcW w:w="302" w:type="pct"/>
            <w:vMerge w:val="continue"/>
            <w:shd w:val="clear" w:color="auto" w:fill="FFFFFF"/>
            <w:vAlign w:val="center"/>
          </w:tcPr>
          <w:p w14:paraId="7356D07B">
            <w:pPr>
              <w:spacing w:line="0" w:lineRule="atLeast"/>
              <w:jc w:val="center"/>
              <w:rPr>
                <w:color w:val="000000"/>
                <w:kern w:val="0"/>
                <w:sz w:val="22"/>
                <w:szCs w:val="22"/>
              </w:rPr>
            </w:pPr>
          </w:p>
        </w:tc>
        <w:tc>
          <w:tcPr>
            <w:tcW w:w="344" w:type="pct"/>
            <w:shd w:val="clear" w:color="auto" w:fill="FFFFFF"/>
            <w:vAlign w:val="center"/>
          </w:tcPr>
          <w:p w14:paraId="37CF903A">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7A20B824">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4" w:type="pct"/>
            <w:shd w:val="clear" w:color="auto" w:fill="FFFFFF"/>
            <w:vAlign w:val="center"/>
          </w:tcPr>
          <w:p w14:paraId="28167ADA">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512" w:type="pct"/>
            <w:shd w:val="clear" w:color="auto" w:fill="FFFFFF"/>
            <w:vAlign w:val="center"/>
          </w:tcPr>
          <w:p w14:paraId="74A30C1C">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42BFF53E">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14:paraId="3B5CAA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14:paraId="6757B517">
            <w:pPr>
              <w:widowControl/>
              <w:spacing w:line="0" w:lineRule="atLeast"/>
              <w:jc w:val="center"/>
              <w:rPr>
                <w:color w:val="000000"/>
                <w:kern w:val="0"/>
                <w:sz w:val="22"/>
                <w:szCs w:val="22"/>
              </w:rPr>
            </w:pPr>
            <w:r>
              <w:rPr>
                <w:color w:val="000000"/>
                <w:kern w:val="0"/>
                <w:sz w:val="22"/>
                <w:szCs w:val="22"/>
              </w:rPr>
              <w:t>　</w:t>
            </w:r>
          </w:p>
          <w:p w14:paraId="20B44751">
            <w:pPr>
              <w:spacing w:line="0" w:lineRule="atLeast"/>
              <w:jc w:val="center"/>
              <w:rPr>
                <w:color w:val="000000"/>
                <w:kern w:val="0"/>
                <w:sz w:val="22"/>
                <w:szCs w:val="22"/>
              </w:rPr>
            </w:pPr>
            <w:r>
              <w:rPr>
                <w:color w:val="000000"/>
                <w:kern w:val="0"/>
                <w:sz w:val="22"/>
                <w:szCs w:val="22"/>
              </w:rPr>
              <w:t>过程　</w:t>
            </w:r>
          </w:p>
        </w:tc>
        <w:tc>
          <w:tcPr>
            <w:tcW w:w="302" w:type="pct"/>
            <w:shd w:val="clear" w:color="auto" w:fill="FFFFFF"/>
            <w:vAlign w:val="center"/>
          </w:tcPr>
          <w:p w14:paraId="0212DA5B">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4DDC952A">
            <w:pPr>
              <w:widowControl/>
              <w:spacing w:line="0" w:lineRule="atLeast"/>
              <w:jc w:val="center"/>
              <w:rPr>
                <w:color w:val="000000"/>
                <w:kern w:val="0"/>
                <w:sz w:val="22"/>
                <w:szCs w:val="22"/>
              </w:rPr>
            </w:pPr>
            <w:r>
              <w:rPr>
                <w:color w:val="000000"/>
                <w:kern w:val="0"/>
                <w:sz w:val="22"/>
                <w:szCs w:val="22"/>
              </w:rPr>
              <w:t>资金使用</w:t>
            </w:r>
          </w:p>
          <w:p w14:paraId="056263AE">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7D5058D5">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5BA929DD">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512" w:type="pct"/>
            <w:shd w:val="clear" w:color="000000" w:fill="FFFFFF"/>
            <w:vAlign w:val="center"/>
          </w:tcPr>
          <w:p w14:paraId="51F2CE7F">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602FD30E">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0CF52D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14:paraId="7703F21E">
            <w:pPr>
              <w:spacing w:line="0" w:lineRule="atLeast"/>
              <w:jc w:val="center"/>
              <w:rPr>
                <w:color w:val="000000"/>
                <w:kern w:val="0"/>
                <w:sz w:val="22"/>
                <w:szCs w:val="22"/>
              </w:rPr>
            </w:pPr>
          </w:p>
        </w:tc>
        <w:tc>
          <w:tcPr>
            <w:tcW w:w="302" w:type="pct"/>
            <w:vMerge w:val="restart"/>
            <w:shd w:val="clear" w:color="auto" w:fill="FFFFFF"/>
            <w:vAlign w:val="center"/>
          </w:tcPr>
          <w:p w14:paraId="1E1E4FB3">
            <w:pPr>
              <w:widowControl/>
              <w:spacing w:line="0" w:lineRule="atLeast"/>
              <w:jc w:val="center"/>
              <w:rPr>
                <w:color w:val="000000"/>
                <w:kern w:val="0"/>
                <w:sz w:val="22"/>
                <w:szCs w:val="22"/>
              </w:rPr>
            </w:pPr>
            <w:r>
              <w:rPr>
                <w:color w:val="000000"/>
                <w:kern w:val="0"/>
                <w:sz w:val="22"/>
                <w:szCs w:val="22"/>
              </w:rPr>
              <w:t>组织实施</w:t>
            </w:r>
          </w:p>
          <w:p w14:paraId="2104ACE8">
            <w:pPr>
              <w:spacing w:line="0" w:lineRule="atLeast"/>
              <w:jc w:val="center"/>
              <w:rPr>
                <w:color w:val="000000"/>
                <w:kern w:val="0"/>
                <w:sz w:val="22"/>
                <w:szCs w:val="22"/>
              </w:rPr>
            </w:pPr>
            <w:r>
              <w:rPr>
                <w:color w:val="000000"/>
                <w:kern w:val="0"/>
                <w:sz w:val="22"/>
                <w:szCs w:val="22"/>
              </w:rPr>
              <w:t>　</w:t>
            </w:r>
          </w:p>
        </w:tc>
        <w:tc>
          <w:tcPr>
            <w:tcW w:w="344" w:type="pct"/>
            <w:shd w:val="clear" w:color="auto" w:fill="FFFFFF"/>
            <w:vAlign w:val="center"/>
          </w:tcPr>
          <w:p w14:paraId="6D4317F8">
            <w:pPr>
              <w:widowControl/>
              <w:spacing w:line="0" w:lineRule="atLeast"/>
              <w:jc w:val="center"/>
              <w:rPr>
                <w:color w:val="000000"/>
                <w:kern w:val="0"/>
                <w:sz w:val="22"/>
                <w:szCs w:val="22"/>
              </w:rPr>
            </w:pPr>
            <w:r>
              <w:rPr>
                <w:color w:val="000000"/>
                <w:kern w:val="0"/>
                <w:sz w:val="22"/>
                <w:szCs w:val="22"/>
              </w:rPr>
              <w:t>管理制度</w:t>
            </w:r>
          </w:p>
          <w:p w14:paraId="5B5471C7">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0B492AF5">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587AA02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512" w:type="pct"/>
            <w:shd w:val="clear" w:color="000000" w:fill="FFFFFF"/>
            <w:vAlign w:val="center"/>
          </w:tcPr>
          <w:p w14:paraId="523998D4">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3058BD16">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2</w:t>
            </w:r>
          </w:p>
        </w:tc>
      </w:tr>
      <w:tr w14:paraId="0A5E87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14:paraId="041402E7">
            <w:pPr>
              <w:widowControl/>
              <w:spacing w:line="0" w:lineRule="atLeast"/>
              <w:jc w:val="center"/>
              <w:rPr>
                <w:color w:val="000000"/>
                <w:kern w:val="0"/>
                <w:sz w:val="22"/>
                <w:szCs w:val="22"/>
              </w:rPr>
            </w:pPr>
          </w:p>
        </w:tc>
        <w:tc>
          <w:tcPr>
            <w:tcW w:w="302" w:type="pct"/>
            <w:vMerge w:val="continue"/>
            <w:shd w:val="clear" w:color="auto" w:fill="FFFFFF"/>
            <w:vAlign w:val="center"/>
          </w:tcPr>
          <w:p w14:paraId="08C418C7">
            <w:pPr>
              <w:widowControl/>
              <w:spacing w:line="0" w:lineRule="atLeast"/>
              <w:jc w:val="center"/>
              <w:rPr>
                <w:color w:val="000000"/>
                <w:kern w:val="0"/>
                <w:sz w:val="22"/>
                <w:szCs w:val="22"/>
              </w:rPr>
            </w:pPr>
          </w:p>
        </w:tc>
        <w:tc>
          <w:tcPr>
            <w:tcW w:w="344" w:type="pct"/>
            <w:shd w:val="clear" w:color="auto" w:fill="FFFFFF"/>
            <w:vAlign w:val="center"/>
          </w:tcPr>
          <w:p w14:paraId="125818DB">
            <w:pPr>
              <w:widowControl/>
              <w:spacing w:line="0" w:lineRule="atLeast"/>
              <w:jc w:val="center"/>
              <w:rPr>
                <w:color w:val="000000"/>
                <w:kern w:val="0"/>
                <w:sz w:val="22"/>
                <w:szCs w:val="22"/>
              </w:rPr>
            </w:pPr>
            <w:r>
              <w:rPr>
                <w:color w:val="000000"/>
                <w:kern w:val="0"/>
                <w:sz w:val="22"/>
                <w:szCs w:val="22"/>
              </w:rPr>
              <w:t>制度执行</w:t>
            </w:r>
          </w:p>
          <w:p w14:paraId="67C63266">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625F0FD2">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4" w:type="pct"/>
            <w:shd w:val="clear" w:color="000000" w:fill="FFFFFF"/>
            <w:vAlign w:val="center"/>
          </w:tcPr>
          <w:p w14:paraId="084179B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512" w:type="pct"/>
            <w:shd w:val="clear" w:color="000000" w:fill="FFFFFF"/>
            <w:vAlign w:val="center"/>
          </w:tcPr>
          <w:p w14:paraId="099769E5">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7696227D">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14:paraId="0155B4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14:paraId="38175964">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2AB5EE0C">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54979348">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24B60D89">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5E919779">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0C1EF88B">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54C2DC23">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9</w:t>
            </w:r>
          </w:p>
        </w:tc>
      </w:tr>
      <w:tr w14:paraId="3C995E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14:paraId="47010441">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40B3B3D2">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37E849FC">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6698FEFA">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14:paraId="544CE065">
            <w:pPr>
              <w:widowControl/>
              <w:spacing w:line="0" w:lineRule="atLeast"/>
              <w:rPr>
                <w:color w:val="000000"/>
                <w:kern w:val="0"/>
                <w:sz w:val="22"/>
                <w:szCs w:val="22"/>
              </w:rPr>
            </w:pPr>
            <w:r>
              <w:rPr>
                <w:color w:val="000000"/>
                <w:kern w:val="0"/>
                <w:sz w:val="22"/>
                <w:szCs w:val="22"/>
              </w:rPr>
              <w:t>质量达标率=（质量达标产出数/实际产出数）×100%。</w:t>
            </w:r>
          </w:p>
          <w:p w14:paraId="224219A2">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690DF9C6">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01356BC4">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29C35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14:paraId="4E492A1D">
            <w:pPr>
              <w:spacing w:line="0" w:lineRule="atLeast"/>
              <w:jc w:val="center"/>
              <w:rPr>
                <w:color w:val="000000"/>
                <w:kern w:val="0"/>
                <w:sz w:val="22"/>
                <w:szCs w:val="22"/>
              </w:rPr>
            </w:pPr>
          </w:p>
        </w:tc>
        <w:tc>
          <w:tcPr>
            <w:tcW w:w="302" w:type="pct"/>
            <w:shd w:val="clear" w:color="auto" w:fill="FFFFFF"/>
            <w:vAlign w:val="center"/>
          </w:tcPr>
          <w:p w14:paraId="408BBD81">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2D18A64E">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562681D7">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4" w:type="pct"/>
            <w:shd w:val="clear" w:color="000000" w:fill="FFFFFF"/>
            <w:vAlign w:val="center"/>
          </w:tcPr>
          <w:p w14:paraId="1A61FEDB">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5195A5B4">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0CD8F21F">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762DCA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14:paraId="551CD557">
            <w:pPr>
              <w:widowControl/>
              <w:spacing w:line="0" w:lineRule="atLeast"/>
              <w:jc w:val="center"/>
              <w:rPr>
                <w:color w:val="000000"/>
                <w:kern w:val="0"/>
                <w:sz w:val="22"/>
                <w:szCs w:val="22"/>
              </w:rPr>
            </w:pPr>
          </w:p>
        </w:tc>
        <w:tc>
          <w:tcPr>
            <w:tcW w:w="302" w:type="pct"/>
            <w:shd w:val="clear" w:color="auto" w:fill="FFFFFF"/>
            <w:vAlign w:val="center"/>
          </w:tcPr>
          <w:p w14:paraId="0963F62A">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3851E2B7">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1BB4D21C">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07254554">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5BDFEAE0">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4502CF8F">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14:paraId="47EFCC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14:paraId="5AAF3945">
            <w:pPr>
              <w:widowControl/>
              <w:spacing w:line="0" w:lineRule="atLeast"/>
              <w:jc w:val="center"/>
              <w:rPr>
                <w:color w:val="000000"/>
                <w:kern w:val="0"/>
                <w:sz w:val="22"/>
                <w:szCs w:val="22"/>
              </w:rPr>
            </w:pPr>
            <w:r>
              <w:rPr>
                <w:color w:val="000000"/>
                <w:kern w:val="0"/>
                <w:sz w:val="22"/>
                <w:szCs w:val="22"/>
              </w:rPr>
              <w:t>效益　</w:t>
            </w:r>
          </w:p>
        </w:tc>
        <w:tc>
          <w:tcPr>
            <w:tcW w:w="302" w:type="pct"/>
            <w:vMerge w:val="restart"/>
            <w:shd w:val="clear" w:color="auto" w:fill="FFFFFF"/>
            <w:vAlign w:val="center"/>
          </w:tcPr>
          <w:p w14:paraId="6E212017">
            <w:pPr>
              <w:widowControl/>
              <w:spacing w:line="0" w:lineRule="atLeast"/>
              <w:jc w:val="center"/>
              <w:rPr>
                <w:color w:val="000000"/>
                <w:kern w:val="0"/>
                <w:sz w:val="22"/>
                <w:szCs w:val="22"/>
              </w:rPr>
            </w:pPr>
            <w:r>
              <w:rPr>
                <w:color w:val="000000"/>
                <w:kern w:val="0"/>
                <w:sz w:val="22"/>
                <w:szCs w:val="22"/>
              </w:rPr>
              <w:t>项目效益　</w:t>
            </w:r>
          </w:p>
        </w:tc>
        <w:tc>
          <w:tcPr>
            <w:tcW w:w="344" w:type="pct"/>
            <w:shd w:val="clear" w:color="auto" w:fill="FFFFFF"/>
            <w:vAlign w:val="center"/>
          </w:tcPr>
          <w:p w14:paraId="50E9C93E">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2DA6BA80">
            <w:pPr>
              <w:widowControl/>
              <w:spacing w:line="0" w:lineRule="atLeast"/>
              <w:jc w:val="left"/>
              <w:rPr>
                <w:color w:val="000000"/>
                <w:kern w:val="0"/>
                <w:sz w:val="22"/>
                <w:szCs w:val="22"/>
              </w:rPr>
            </w:pPr>
            <w:r>
              <w:rPr>
                <w:color w:val="000000"/>
                <w:kern w:val="0"/>
                <w:sz w:val="22"/>
                <w:szCs w:val="22"/>
              </w:rPr>
              <w:t>项目实施所产生的效益。</w:t>
            </w:r>
          </w:p>
        </w:tc>
        <w:tc>
          <w:tcPr>
            <w:tcW w:w="2044" w:type="pct"/>
            <w:shd w:val="clear" w:color="auto" w:fill="FFFFFF"/>
            <w:vAlign w:val="center"/>
          </w:tcPr>
          <w:p w14:paraId="328ED9D5">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1532EFC1">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14:paraId="1460B570">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15</w:t>
            </w:r>
          </w:p>
        </w:tc>
      </w:tr>
      <w:tr w14:paraId="760000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14:paraId="7BC984B4">
            <w:pPr>
              <w:widowControl/>
              <w:spacing w:line="0" w:lineRule="atLeast"/>
              <w:jc w:val="center"/>
              <w:rPr>
                <w:color w:val="000000"/>
                <w:kern w:val="0"/>
                <w:sz w:val="22"/>
                <w:szCs w:val="22"/>
              </w:rPr>
            </w:pPr>
          </w:p>
        </w:tc>
        <w:tc>
          <w:tcPr>
            <w:tcW w:w="302" w:type="pct"/>
            <w:vMerge w:val="continue"/>
            <w:shd w:val="clear" w:color="auto" w:fill="FFFFFF"/>
            <w:vAlign w:val="center"/>
          </w:tcPr>
          <w:p w14:paraId="15651E4F">
            <w:pPr>
              <w:widowControl/>
              <w:spacing w:line="0" w:lineRule="atLeast"/>
              <w:jc w:val="center"/>
              <w:rPr>
                <w:color w:val="000000"/>
                <w:kern w:val="0"/>
                <w:sz w:val="22"/>
                <w:szCs w:val="22"/>
              </w:rPr>
            </w:pPr>
          </w:p>
        </w:tc>
        <w:tc>
          <w:tcPr>
            <w:tcW w:w="344" w:type="pct"/>
            <w:shd w:val="clear" w:color="auto" w:fill="FFFFFF"/>
            <w:vAlign w:val="center"/>
          </w:tcPr>
          <w:p w14:paraId="48829984">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14D0C31D">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4" w:type="pct"/>
            <w:shd w:val="clear" w:color="000000" w:fill="FFFFFF"/>
            <w:vAlign w:val="center"/>
          </w:tcPr>
          <w:p w14:paraId="040AFD33">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2ACADFDB">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14:paraId="14CEC7FA">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5</w:t>
            </w:r>
          </w:p>
        </w:tc>
      </w:tr>
    </w:tbl>
    <w:p w14:paraId="3F7357CF">
      <w:pPr>
        <w:pStyle w:val="2"/>
        <w:rPr>
          <w:rFonts w:ascii="Times New Roman" w:hAnsi="Times New Roman"/>
        </w:rPr>
      </w:pPr>
    </w:p>
    <w:p w14:paraId="4815C2D9"/>
    <w:p w14:paraId="1C962337">
      <w:pPr>
        <w:spacing w:line="540" w:lineRule="exact"/>
        <w:ind w:firstLine="640"/>
        <w:rPr>
          <w:rStyle w:val="23"/>
          <w:rFonts w:eastAsia="黑体"/>
          <w:bCs w:val="0"/>
          <w:spacing w:val="-4"/>
          <w:sz w:val="32"/>
          <w:szCs w:val="32"/>
        </w:rPr>
      </w:pPr>
    </w:p>
    <w:p w14:paraId="0AC0748A">
      <w:pPr>
        <w:spacing w:line="540" w:lineRule="exact"/>
        <w:ind w:firstLine="640"/>
        <w:rPr>
          <w:rStyle w:val="23"/>
          <w:rFonts w:eastAsia="黑体"/>
          <w:bCs w:val="0"/>
          <w:spacing w:val="-4"/>
          <w:sz w:val="32"/>
          <w:szCs w:val="32"/>
        </w:rPr>
      </w:pPr>
    </w:p>
    <w:p w14:paraId="4F53DC02">
      <w:pPr>
        <w:spacing w:line="540" w:lineRule="exact"/>
        <w:ind w:firstLine="640"/>
        <w:rPr>
          <w:rStyle w:val="23"/>
          <w:rFonts w:eastAsia="黑体"/>
          <w:bCs w:val="0"/>
          <w:spacing w:val="-4"/>
          <w:sz w:val="32"/>
          <w:szCs w:val="32"/>
        </w:rPr>
      </w:pPr>
    </w:p>
    <w:p w14:paraId="116E6935">
      <w:pPr>
        <w:spacing w:line="540" w:lineRule="exact"/>
        <w:ind w:firstLine="640"/>
        <w:rPr>
          <w:rStyle w:val="23"/>
          <w:rFonts w:eastAsia="黑体"/>
          <w:bCs w:val="0"/>
          <w:spacing w:val="-4"/>
          <w:sz w:val="32"/>
          <w:szCs w:val="32"/>
        </w:rPr>
      </w:pPr>
    </w:p>
    <w:p w14:paraId="5A14F722">
      <w:pPr>
        <w:spacing w:line="540" w:lineRule="exact"/>
        <w:ind w:firstLine="640"/>
        <w:rPr>
          <w:rStyle w:val="23"/>
          <w:rFonts w:eastAsia="黑体"/>
          <w:bCs w:val="0"/>
          <w:spacing w:val="-4"/>
          <w:sz w:val="32"/>
          <w:szCs w:val="32"/>
        </w:rPr>
      </w:pPr>
    </w:p>
    <w:p w14:paraId="35BE9ECB">
      <w:pPr>
        <w:spacing w:line="540" w:lineRule="exact"/>
        <w:ind w:firstLine="640"/>
        <w:rPr>
          <w:rStyle w:val="23"/>
          <w:rFonts w:eastAsia="黑体"/>
          <w:bCs w:val="0"/>
          <w:spacing w:val="-4"/>
          <w:sz w:val="32"/>
          <w:szCs w:val="32"/>
        </w:rPr>
      </w:pPr>
    </w:p>
    <w:p w14:paraId="2B459F5B">
      <w:pPr>
        <w:spacing w:line="540" w:lineRule="exact"/>
        <w:rPr>
          <w:rStyle w:val="23"/>
          <w:rFonts w:eastAsia="仿宋"/>
          <w:b w:val="0"/>
          <w:spacing w:val="-4"/>
          <w:sz w:val="32"/>
          <w:szCs w:val="32"/>
        </w:rPr>
      </w:pPr>
    </w:p>
    <w:sectPr>
      <w:pgSz w:w="16838" w:h="11906" w:orient="landscape"/>
      <w:pgMar w:top="1800" w:right="1440" w:bottom="1558"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FF4E2A6">
        <w:pPr>
          <w:pStyle w:val="16"/>
          <w:jc w:val="center"/>
        </w:pPr>
        <w:r>
          <w:fldChar w:fldCharType="begin"/>
        </w:r>
        <w:r>
          <w:instrText xml:space="preserve">PAGE   \* MERGEFORMAT</w:instrText>
        </w:r>
        <w:r>
          <w:fldChar w:fldCharType="separate"/>
        </w:r>
        <w:r>
          <w:rPr>
            <w:lang w:val="zh-CN"/>
          </w:rPr>
          <w:t>17</w:t>
        </w:r>
        <w:r>
          <w:fldChar w:fldCharType="end"/>
        </w:r>
      </w:p>
    </w:sdtContent>
  </w:sdt>
  <w:p w14:paraId="689F68E7">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D2FA9"/>
    <w:multiLevelType w:val="singleLevel"/>
    <w:tmpl w:val="9D3D2FA9"/>
    <w:lvl w:ilvl="0" w:tentative="0">
      <w:start w:val="6"/>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5NzM4MDAwODlkYzk3NzBmNWU3NzAwZDJkOGUxNzM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20F12"/>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51A56F5"/>
    <w:rsid w:val="066D6EAA"/>
    <w:rsid w:val="06DC1681"/>
    <w:rsid w:val="08C662D4"/>
    <w:rsid w:val="09BD4D95"/>
    <w:rsid w:val="0AC059C1"/>
    <w:rsid w:val="0B0F58D6"/>
    <w:rsid w:val="0C660E3E"/>
    <w:rsid w:val="0D966A00"/>
    <w:rsid w:val="0F2E6C27"/>
    <w:rsid w:val="0F8D41CB"/>
    <w:rsid w:val="0FEE2F21"/>
    <w:rsid w:val="11C75270"/>
    <w:rsid w:val="12637CC3"/>
    <w:rsid w:val="12E657C5"/>
    <w:rsid w:val="133C6E2A"/>
    <w:rsid w:val="167C7687"/>
    <w:rsid w:val="168B3546"/>
    <w:rsid w:val="170A5282"/>
    <w:rsid w:val="18895E64"/>
    <w:rsid w:val="1A2374E0"/>
    <w:rsid w:val="1C317CE2"/>
    <w:rsid w:val="1D053CAB"/>
    <w:rsid w:val="1D0A610A"/>
    <w:rsid w:val="1D954099"/>
    <w:rsid w:val="1DD45808"/>
    <w:rsid w:val="1DED42AC"/>
    <w:rsid w:val="20005763"/>
    <w:rsid w:val="20FB313D"/>
    <w:rsid w:val="220B4804"/>
    <w:rsid w:val="24267227"/>
    <w:rsid w:val="242C292F"/>
    <w:rsid w:val="253B0138"/>
    <w:rsid w:val="254E3662"/>
    <w:rsid w:val="278B653F"/>
    <w:rsid w:val="28082222"/>
    <w:rsid w:val="282475E3"/>
    <w:rsid w:val="29E421D9"/>
    <w:rsid w:val="2C6100C1"/>
    <w:rsid w:val="2D586B13"/>
    <w:rsid w:val="310D2DE2"/>
    <w:rsid w:val="3235157C"/>
    <w:rsid w:val="3264220D"/>
    <w:rsid w:val="32A83563"/>
    <w:rsid w:val="350B7678"/>
    <w:rsid w:val="37846628"/>
    <w:rsid w:val="37D81774"/>
    <w:rsid w:val="38872456"/>
    <w:rsid w:val="3963178C"/>
    <w:rsid w:val="39D80B4F"/>
    <w:rsid w:val="3BA5236D"/>
    <w:rsid w:val="3CED0699"/>
    <w:rsid w:val="3CEF440A"/>
    <w:rsid w:val="3EB02FD6"/>
    <w:rsid w:val="3F1422F7"/>
    <w:rsid w:val="41CC2676"/>
    <w:rsid w:val="44155A08"/>
    <w:rsid w:val="46B21672"/>
    <w:rsid w:val="46C039D3"/>
    <w:rsid w:val="4E9A0D3F"/>
    <w:rsid w:val="4ECD2C45"/>
    <w:rsid w:val="4F552460"/>
    <w:rsid w:val="4FCC6863"/>
    <w:rsid w:val="4FFF55F5"/>
    <w:rsid w:val="500A214A"/>
    <w:rsid w:val="522D604D"/>
    <w:rsid w:val="5297585E"/>
    <w:rsid w:val="52AD7D6F"/>
    <w:rsid w:val="52F71DAF"/>
    <w:rsid w:val="5549519D"/>
    <w:rsid w:val="5557596B"/>
    <w:rsid w:val="55710B27"/>
    <w:rsid w:val="561B37E8"/>
    <w:rsid w:val="57047048"/>
    <w:rsid w:val="57FA59A9"/>
    <w:rsid w:val="58481D78"/>
    <w:rsid w:val="5A1471CA"/>
    <w:rsid w:val="5A96642F"/>
    <w:rsid w:val="5B0A6B75"/>
    <w:rsid w:val="5B596DFC"/>
    <w:rsid w:val="5DAE6D00"/>
    <w:rsid w:val="5DD11284"/>
    <w:rsid w:val="5DF03945"/>
    <w:rsid w:val="5F03526B"/>
    <w:rsid w:val="604574BE"/>
    <w:rsid w:val="62E515AF"/>
    <w:rsid w:val="637C2815"/>
    <w:rsid w:val="64856620"/>
    <w:rsid w:val="64CF6EA6"/>
    <w:rsid w:val="65A049DD"/>
    <w:rsid w:val="666B4FDC"/>
    <w:rsid w:val="67FF13C8"/>
    <w:rsid w:val="682144B7"/>
    <w:rsid w:val="6A38087A"/>
    <w:rsid w:val="6AD741FB"/>
    <w:rsid w:val="6B503F77"/>
    <w:rsid w:val="6E311968"/>
    <w:rsid w:val="71AE48A3"/>
    <w:rsid w:val="72191EAC"/>
    <w:rsid w:val="745370E2"/>
    <w:rsid w:val="75EA7E3A"/>
    <w:rsid w:val="76E6423D"/>
    <w:rsid w:val="77A231B9"/>
    <w:rsid w:val="785035BC"/>
    <w:rsid w:val="7917329E"/>
    <w:rsid w:val="7A353D0B"/>
    <w:rsid w:val="7C036D48"/>
    <w:rsid w:val="7C3E79F6"/>
    <w:rsid w:val="7CB927D8"/>
    <w:rsid w:val="7D3A5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6"/>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7"/>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8"/>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9"/>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30"/>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31"/>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32"/>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3"/>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34"/>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text"/>
    <w:basedOn w:val="1"/>
    <w:semiHidden/>
    <w:unhideWhenUsed/>
    <w:uiPriority w:val="99"/>
    <w:pPr>
      <w:jc w:val="left"/>
    </w:pPr>
  </w:style>
  <w:style w:type="paragraph" w:styleId="13">
    <w:name w:val="Body Text"/>
    <w:basedOn w:val="1"/>
    <w:qFormat/>
    <w:uiPriority w:val="0"/>
    <w:pPr>
      <w:spacing w:after="120"/>
    </w:pPr>
  </w:style>
  <w:style w:type="paragraph" w:styleId="14">
    <w:name w:val="Body Text Indent"/>
    <w:basedOn w:val="1"/>
    <w:qFormat/>
    <w:uiPriority w:val="0"/>
    <w:pPr>
      <w:spacing w:after="120"/>
      <w:ind w:left="420" w:leftChars="200"/>
    </w:pPr>
    <w:rPr>
      <w:rFonts w:ascii="Calibri" w:hAnsi="Calibri"/>
    </w:rPr>
  </w:style>
  <w:style w:type="paragraph" w:styleId="15">
    <w:name w:val="Balloon Text"/>
    <w:basedOn w:val="1"/>
    <w:link w:val="50"/>
    <w:semiHidden/>
    <w:unhideWhenUsed/>
    <w:qFormat/>
    <w:uiPriority w:val="99"/>
    <w:rPr>
      <w:sz w:val="18"/>
      <w:szCs w:val="18"/>
    </w:rPr>
  </w:style>
  <w:style w:type="paragraph" w:styleId="16">
    <w:name w:val="footer"/>
    <w:basedOn w:val="1"/>
    <w:link w:val="49"/>
    <w:unhideWhenUsed/>
    <w:qFormat/>
    <w:uiPriority w:val="99"/>
    <w:pPr>
      <w:tabs>
        <w:tab w:val="center" w:pos="4153"/>
        <w:tab w:val="right" w:pos="8306"/>
      </w:tabs>
      <w:snapToGrid w:val="0"/>
      <w:jc w:val="left"/>
    </w:pPr>
    <w:rPr>
      <w:rFonts w:ascii="Calibri" w:hAnsi="Calibri"/>
      <w:sz w:val="18"/>
      <w:szCs w:val="18"/>
    </w:rPr>
  </w:style>
  <w:style w:type="paragraph" w:styleId="17">
    <w:name w:val="header"/>
    <w:basedOn w:val="1"/>
    <w:link w:val="4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8">
    <w:name w:val="Subtitle"/>
    <w:basedOn w:val="1"/>
    <w:next w:val="1"/>
    <w:link w:val="35"/>
    <w:qFormat/>
    <w:uiPriority w:val="11"/>
    <w:pPr>
      <w:widowControl/>
      <w:spacing w:after="60"/>
      <w:jc w:val="center"/>
      <w:outlineLvl w:val="1"/>
    </w:pPr>
    <w:rPr>
      <w:rFonts w:asciiTheme="majorHAnsi" w:hAnsiTheme="majorHAnsi" w:eastAsiaTheme="majorEastAsia"/>
      <w:kern w:val="0"/>
      <w:sz w:val="24"/>
    </w:rPr>
  </w:style>
  <w:style w:type="paragraph" w:styleId="19">
    <w:name w:val="Body Text First Indent"/>
    <w:basedOn w:val="13"/>
    <w:qFormat/>
    <w:uiPriority w:val="0"/>
    <w:pPr>
      <w:spacing w:after="0"/>
      <w:ind w:firstLine="200" w:firstLineChars="200"/>
    </w:pPr>
  </w:style>
  <w:style w:type="paragraph" w:styleId="20">
    <w:name w:val="Body Text First Indent 2"/>
    <w:basedOn w:val="14"/>
    <w:qFormat/>
    <w:uiPriority w:val="0"/>
    <w:pPr>
      <w:ind w:firstLine="420" w:firstLineChars="200"/>
    </w:pPr>
  </w:style>
  <w:style w:type="character" w:styleId="23">
    <w:name w:val="Strong"/>
    <w:basedOn w:val="22"/>
    <w:qFormat/>
    <w:uiPriority w:val="0"/>
    <w:rPr>
      <w:b/>
      <w:bCs/>
    </w:rPr>
  </w:style>
  <w:style w:type="character" w:styleId="24">
    <w:name w:val="Emphasis"/>
    <w:basedOn w:val="22"/>
    <w:qFormat/>
    <w:uiPriority w:val="20"/>
    <w:rPr>
      <w:rFonts w:asciiTheme="minorHAnsi" w:hAnsiTheme="minorHAnsi"/>
      <w:b/>
      <w:i/>
      <w:iCs/>
    </w:rPr>
  </w:style>
  <w:style w:type="character" w:customStyle="1" w:styleId="25">
    <w:name w:val="标题 1 字符"/>
    <w:basedOn w:val="22"/>
    <w:link w:val="3"/>
    <w:qFormat/>
    <w:uiPriority w:val="9"/>
    <w:rPr>
      <w:rFonts w:asciiTheme="majorHAnsi" w:hAnsiTheme="majorHAnsi" w:eastAsiaTheme="majorEastAsia"/>
      <w:b/>
      <w:bCs/>
      <w:kern w:val="32"/>
      <w:sz w:val="32"/>
      <w:szCs w:val="32"/>
    </w:rPr>
  </w:style>
  <w:style w:type="character" w:customStyle="1" w:styleId="26">
    <w:name w:val="标题 2 字符"/>
    <w:basedOn w:val="22"/>
    <w:link w:val="4"/>
    <w:semiHidden/>
    <w:qFormat/>
    <w:uiPriority w:val="9"/>
    <w:rPr>
      <w:rFonts w:asciiTheme="majorHAnsi" w:hAnsiTheme="majorHAnsi" w:eastAsiaTheme="majorEastAsia"/>
      <w:b/>
      <w:bCs/>
      <w:i/>
      <w:iCs/>
      <w:sz w:val="28"/>
      <w:szCs w:val="28"/>
    </w:rPr>
  </w:style>
  <w:style w:type="character" w:customStyle="1" w:styleId="27">
    <w:name w:val="标题 3 字符"/>
    <w:basedOn w:val="22"/>
    <w:link w:val="5"/>
    <w:semiHidden/>
    <w:qFormat/>
    <w:uiPriority w:val="9"/>
    <w:rPr>
      <w:rFonts w:asciiTheme="majorHAnsi" w:hAnsiTheme="majorHAnsi" w:eastAsiaTheme="majorEastAsia"/>
      <w:b/>
      <w:bCs/>
      <w:sz w:val="26"/>
      <w:szCs w:val="26"/>
    </w:rPr>
  </w:style>
  <w:style w:type="character" w:customStyle="1" w:styleId="28">
    <w:name w:val="标题 4 字符"/>
    <w:basedOn w:val="22"/>
    <w:link w:val="6"/>
    <w:semiHidden/>
    <w:qFormat/>
    <w:uiPriority w:val="9"/>
    <w:rPr>
      <w:b/>
      <w:bCs/>
      <w:sz w:val="28"/>
      <w:szCs w:val="28"/>
    </w:rPr>
  </w:style>
  <w:style w:type="character" w:customStyle="1" w:styleId="29">
    <w:name w:val="标题 5 字符"/>
    <w:basedOn w:val="22"/>
    <w:link w:val="7"/>
    <w:semiHidden/>
    <w:qFormat/>
    <w:uiPriority w:val="9"/>
    <w:rPr>
      <w:b/>
      <w:bCs/>
      <w:i/>
      <w:iCs/>
      <w:sz w:val="26"/>
      <w:szCs w:val="26"/>
    </w:rPr>
  </w:style>
  <w:style w:type="character" w:customStyle="1" w:styleId="30">
    <w:name w:val="标题 6 字符"/>
    <w:basedOn w:val="22"/>
    <w:link w:val="8"/>
    <w:semiHidden/>
    <w:qFormat/>
    <w:uiPriority w:val="9"/>
    <w:rPr>
      <w:b/>
      <w:bCs/>
    </w:rPr>
  </w:style>
  <w:style w:type="character" w:customStyle="1" w:styleId="31">
    <w:name w:val="标题 7 字符"/>
    <w:basedOn w:val="22"/>
    <w:link w:val="9"/>
    <w:semiHidden/>
    <w:qFormat/>
    <w:uiPriority w:val="9"/>
    <w:rPr>
      <w:sz w:val="24"/>
      <w:szCs w:val="24"/>
    </w:rPr>
  </w:style>
  <w:style w:type="character" w:customStyle="1" w:styleId="32">
    <w:name w:val="标题 8 字符"/>
    <w:basedOn w:val="22"/>
    <w:link w:val="10"/>
    <w:semiHidden/>
    <w:qFormat/>
    <w:uiPriority w:val="9"/>
    <w:rPr>
      <w:i/>
      <w:iCs/>
      <w:sz w:val="24"/>
      <w:szCs w:val="24"/>
    </w:rPr>
  </w:style>
  <w:style w:type="character" w:customStyle="1" w:styleId="33">
    <w:name w:val="标题 9 字符"/>
    <w:basedOn w:val="22"/>
    <w:link w:val="11"/>
    <w:semiHidden/>
    <w:qFormat/>
    <w:uiPriority w:val="9"/>
    <w:rPr>
      <w:rFonts w:asciiTheme="majorHAnsi" w:hAnsiTheme="majorHAnsi" w:eastAsiaTheme="majorEastAsia"/>
    </w:rPr>
  </w:style>
  <w:style w:type="character" w:customStyle="1" w:styleId="34">
    <w:name w:val="标题 字符"/>
    <w:basedOn w:val="22"/>
    <w:link w:val="2"/>
    <w:qFormat/>
    <w:uiPriority w:val="10"/>
    <w:rPr>
      <w:rFonts w:asciiTheme="majorHAnsi" w:hAnsiTheme="majorHAnsi" w:eastAsiaTheme="majorEastAsia"/>
      <w:b/>
      <w:bCs/>
      <w:kern w:val="28"/>
      <w:sz w:val="32"/>
      <w:szCs w:val="32"/>
    </w:rPr>
  </w:style>
  <w:style w:type="character" w:customStyle="1" w:styleId="35">
    <w:name w:val="副标题 字符"/>
    <w:basedOn w:val="22"/>
    <w:link w:val="18"/>
    <w:qFormat/>
    <w:uiPriority w:val="11"/>
    <w:rPr>
      <w:rFonts w:asciiTheme="majorHAnsi" w:hAnsiTheme="majorHAnsi" w:eastAsiaTheme="majorEastAsia"/>
      <w:sz w:val="24"/>
      <w:szCs w:val="24"/>
    </w:rPr>
  </w:style>
  <w:style w:type="paragraph" w:styleId="36">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7">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8">
    <w:name w:val="Quote"/>
    <w:basedOn w:val="1"/>
    <w:next w:val="1"/>
    <w:link w:val="39"/>
    <w:qFormat/>
    <w:uiPriority w:val="29"/>
    <w:pPr>
      <w:widowControl/>
      <w:jc w:val="left"/>
    </w:pPr>
    <w:rPr>
      <w:rFonts w:asciiTheme="minorHAnsi" w:hAnsiTheme="minorHAnsi" w:eastAsiaTheme="minorEastAsia"/>
      <w:i/>
      <w:kern w:val="0"/>
      <w:sz w:val="24"/>
    </w:rPr>
  </w:style>
  <w:style w:type="character" w:customStyle="1" w:styleId="39">
    <w:name w:val="引用 字符"/>
    <w:basedOn w:val="22"/>
    <w:link w:val="38"/>
    <w:qFormat/>
    <w:uiPriority w:val="29"/>
    <w:rPr>
      <w:i/>
      <w:sz w:val="24"/>
      <w:szCs w:val="24"/>
    </w:rPr>
  </w:style>
  <w:style w:type="paragraph" w:styleId="40">
    <w:name w:val="Intense Quote"/>
    <w:basedOn w:val="1"/>
    <w:next w:val="1"/>
    <w:link w:val="41"/>
    <w:qFormat/>
    <w:uiPriority w:val="30"/>
    <w:pPr>
      <w:widowControl/>
      <w:ind w:left="720" w:right="720"/>
      <w:jc w:val="left"/>
    </w:pPr>
    <w:rPr>
      <w:rFonts w:asciiTheme="minorHAnsi" w:hAnsiTheme="minorHAnsi" w:eastAsiaTheme="minorEastAsia"/>
      <w:b/>
      <w:i/>
      <w:kern w:val="0"/>
      <w:sz w:val="24"/>
      <w:szCs w:val="22"/>
    </w:rPr>
  </w:style>
  <w:style w:type="character" w:customStyle="1" w:styleId="41">
    <w:name w:val="明显引用 字符"/>
    <w:basedOn w:val="22"/>
    <w:link w:val="40"/>
    <w:qFormat/>
    <w:uiPriority w:val="30"/>
    <w:rPr>
      <w:b/>
      <w:i/>
      <w:sz w:val="24"/>
    </w:rPr>
  </w:style>
  <w:style w:type="character" w:customStyle="1" w:styleId="42">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3">
    <w:name w:val="明显强调1"/>
    <w:basedOn w:val="22"/>
    <w:qFormat/>
    <w:uiPriority w:val="21"/>
    <w:rPr>
      <w:b/>
      <w:i/>
      <w:sz w:val="24"/>
      <w:szCs w:val="24"/>
      <w:u w:val="single"/>
    </w:rPr>
  </w:style>
  <w:style w:type="character" w:customStyle="1" w:styleId="44">
    <w:name w:val="不明显参考1"/>
    <w:basedOn w:val="22"/>
    <w:qFormat/>
    <w:uiPriority w:val="31"/>
    <w:rPr>
      <w:sz w:val="24"/>
      <w:szCs w:val="24"/>
      <w:u w:val="single"/>
    </w:rPr>
  </w:style>
  <w:style w:type="character" w:customStyle="1" w:styleId="45">
    <w:name w:val="明显参考1"/>
    <w:basedOn w:val="22"/>
    <w:qFormat/>
    <w:uiPriority w:val="32"/>
    <w:rPr>
      <w:b/>
      <w:sz w:val="24"/>
      <w:u w:val="single"/>
    </w:rPr>
  </w:style>
  <w:style w:type="character" w:customStyle="1" w:styleId="46">
    <w:name w:val="书籍标题1"/>
    <w:basedOn w:val="22"/>
    <w:qFormat/>
    <w:uiPriority w:val="33"/>
    <w:rPr>
      <w:rFonts w:asciiTheme="majorHAnsi" w:hAnsiTheme="majorHAnsi" w:eastAsiaTheme="majorEastAsia"/>
      <w:b/>
      <w:i/>
      <w:sz w:val="24"/>
      <w:szCs w:val="24"/>
    </w:rPr>
  </w:style>
  <w:style w:type="paragraph" w:customStyle="1" w:styleId="47">
    <w:name w:val="TOC 标题1"/>
    <w:basedOn w:val="3"/>
    <w:next w:val="1"/>
    <w:semiHidden/>
    <w:unhideWhenUsed/>
    <w:qFormat/>
    <w:uiPriority w:val="39"/>
    <w:pPr>
      <w:outlineLvl w:val="9"/>
    </w:pPr>
    <w:rPr>
      <w:lang w:eastAsia="en-US" w:bidi="en-US"/>
    </w:rPr>
  </w:style>
  <w:style w:type="character" w:customStyle="1" w:styleId="48">
    <w:name w:val="页眉 字符"/>
    <w:basedOn w:val="22"/>
    <w:link w:val="17"/>
    <w:qFormat/>
    <w:uiPriority w:val="99"/>
    <w:rPr>
      <w:rFonts w:ascii="Calibri" w:hAnsi="Calibri" w:eastAsia="宋体"/>
      <w:kern w:val="2"/>
      <w:sz w:val="18"/>
      <w:szCs w:val="18"/>
    </w:rPr>
  </w:style>
  <w:style w:type="character" w:customStyle="1" w:styleId="49">
    <w:name w:val="页脚 字符"/>
    <w:basedOn w:val="22"/>
    <w:link w:val="16"/>
    <w:qFormat/>
    <w:uiPriority w:val="99"/>
    <w:rPr>
      <w:rFonts w:ascii="Calibri" w:hAnsi="Calibri" w:eastAsia="宋体"/>
      <w:kern w:val="2"/>
      <w:sz w:val="18"/>
      <w:szCs w:val="18"/>
    </w:rPr>
  </w:style>
  <w:style w:type="character" w:customStyle="1" w:styleId="50">
    <w:name w:val="批注框文本 字符"/>
    <w:basedOn w:val="22"/>
    <w:link w:val="15"/>
    <w:semiHidden/>
    <w:qFormat/>
    <w:uiPriority w:val="99"/>
    <w:rPr>
      <w:rFonts w:ascii="Times New Roman" w:hAnsi="Times New Roman" w:eastAsia="宋体"/>
      <w:kern w:val="2"/>
      <w:sz w:val="18"/>
      <w:szCs w:val="18"/>
    </w:rPr>
  </w:style>
  <w:style w:type="paragraph" w:customStyle="1" w:styleId="51">
    <w:name w:val="Heading2"/>
    <w:next w:val="1"/>
    <w:qFormat/>
    <w:uiPriority w:val="0"/>
    <w:pPr>
      <w:keepNext/>
      <w:keepLines/>
      <w:widowControl w:val="0"/>
      <w:spacing w:before="260" w:after="260" w:line="413" w:lineRule="auto"/>
      <w:jc w:val="both"/>
    </w:pPr>
    <w:rPr>
      <w:rFonts w:ascii="Arial" w:hAnsi="Arial" w:eastAsia="黑体" w:cs="Times New Roman"/>
      <w:b/>
      <w:kern w:val="2"/>
      <w:sz w:val="32"/>
      <w:szCs w:val="22"/>
      <w:lang w:val="en-US" w:eastAsia="zh-CN" w:bidi="ar-SA"/>
    </w:rPr>
  </w:style>
  <w:style w:type="character" w:customStyle="1" w:styleId="52">
    <w:name w:val="fontstyle01"/>
    <w:qFormat/>
    <w:uiPriority w:val="0"/>
    <w:rPr>
      <w:rFonts w:ascii="仿宋_GB2312" w:hAnsi="仿宋_GB2312" w:eastAsia="仿宋_GB2312" w:cs="仿宋_GB2312"/>
      <w:color w:val="000000"/>
      <w:sz w:val="32"/>
      <w:szCs w:val="32"/>
    </w:rPr>
  </w:style>
  <w:style w:type="paragraph" w:customStyle="1" w:styleId="53">
    <w:name w:val="正文1"/>
    <w:basedOn w:val="54"/>
    <w:qFormat/>
    <w:uiPriority w:val="99"/>
    <w:pPr>
      <w:widowControl/>
      <w:autoSpaceDE/>
      <w:autoSpaceDN/>
      <w:adjustRightInd/>
      <w:jc w:val="both"/>
    </w:pPr>
    <w:rPr>
      <w:rFonts w:ascii="Calibri" w:cs="Calibri"/>
      <w:sz w:val="21"/>
      <w:szCs w:val="21"/>
      <w:lang w:val="zh-CN"/>
    </w:rPr>
  </w:style>
  <w:style w:type="paragraph" w:customStyle="1" w:styleId="54">
    <w:name w:val="[Normal]"/>
    <w:qFormat/>
    <w:uiPriority w:val="99"/>
    <w:pPr>
      <w:widowControl w:val="0"/>
      <w:autoSpaceDE w:val="0"/>
      <w:autoSpaceDN w:val="0"/>
      <w:adjustRightInd w:val="0"/>
    </w:pPr>
    <w:rPr>
      <w:rFonts w:ascii="宋体" w:hAnsi="Calibri"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9059</Words>
  <Characters>9586</Characters>
  <Lines>50</Lines>
  <Paragraphs>14</Paragraphs>
  <TotalTime>107</TotalTime>
  <ScaleCrop>false</ScaleCrop>
  <LinksUpToDate>false</LinksUpToDate>
  <CharactersWithSpaces>9615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2020-07-04T16:35:00Z</dcterms:created>
  <dc:creator>赵 恺（预算处）</dc:creator>
  <cp:lastModifiedBy>默</cp:lastModifiedBy>
  <cp:lastPrinted>2024-03-01T07:47:00Z</cp:lastPrinted>
  <dcterms:modified xsi:type="dcterms:W3CDTF">2024-08-27T12:45:06Z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013360FACCE1418B80C968824022A9DF</vt:lpwstr>
  </property>
  <property fmtid="{D5CDD505-2E9C-101B-9397-08002B2CF9AE}" pid="4" name="KSOSaveFontToCloudKey">
    <vt:lpwstr>0_btnclosed</vt:lpwstr>
  </property>
</Properties>
</file>