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bookmarkStart w:id="2" w:name="_GoBack"/>
      <w:bookmarkEnd w:id="2"/>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hint="eastAsia" w:eastAsia="方正小标宋_GBK"/>
          <w:kern w:val="0"/>
          <w:sz w:val="48"/>
          <w:szCs w:val="48"/>
        </w:rPr>
      </w:pPr>
      <w:r>
        <w:rPr>
          <w:rFonts w:hint="eastAsia" w:eastAsia="方正小标宋_GBK"/>
          <w:kern w:val="0"/>
          <w:sz w:val="48"/>
          <w:szCs w:val="48"/>
        </w:rPr>
        <w:t>生态环境执法信息系统维护项目</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生态环境执法信息系统维护项目</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eastAsia="zh-CN"/>
        </w:rPr>
        <w:t>新疆维吾尔自治区生态环境保护综合行政执法局</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22</w:t>
      </w:r>
      <w:r>
        <w:rPr>
          <w:rFonts w:eastAsia="仿宋_GB2312"/>
          <w:kern w:val="0"/>
          <w:sz w:val="36"/>
          <w:szCs w:val="36"/>
        </w:rPr>
        <w:t>日</w:t>
      </w:r>
    </w:p>
    <w:p>
      <w:pPr>
        <w:spacing w:line="540" w:lineRule="exact"/>
        <w:jc w:val="center"/>
        <w:rPr>
          <w:rFonts w:eastAsia="仿宋_GB2312"/>
          <w:kern w:val="0"/>
          <w:sz w:val="30"/>
          <w:szCs w:val="30"/>
        </w:rPr>
      </w:pPr>
    </w:p>
    <w:p>
      <w:pPr>
        <w:pStyle w:val="2"/>
      </w:pPr>
    </w:p>
    <w:p>
      <w:pPr>
        <w:spacing w:line="540" w:lineRule="exact"/>
        <w:rPr>
          <w:rStyle w:val="24"/>
          <w:rFonts w:eastAsia="黑体"/>
          <w:b w:val="0"/>
          <w:spacing w:val="-4"/>
          <w:sz w:val="32"/>
          <w:szCs w:val="32"/>
        </w:rPr>
      </w:pPr>
    </w:p>
    <w:p>
      <w:pPr>
        <w:spacing w:line="540" w:lineRule="exact"/>
        <w:ind w:firstLine="640"/>
        <w:rPr>
          <w:rStyle w:val="24"/>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w:t>
      </w:r>
      <w:r>
        <w:rPr>
          <w:rFonts w:hint="eastAsia" w:eastAsia="仿宋_GB2312"/>
          <w:b/>
          <w:bCs/>
          <w:sz w:val="32"/>
          <w:szCs w:val="32"/>
          <w:lang w:val="en-US" w:eastAsia="zh-CN"/>
        </w:rPr>
        <w:t>.</w:t>
      </w:r>
      <w:r>
        <w:rPr>
          <w:rFonts w:eastAsia="仿宋_GB2312"/>
          <w:b/>
          <w:bCs/>
          <w:sz w:val="32"/>
          <w:szCs w:val="32"/>
        </w:rPr>
        <w:t>项目背景</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为维护生态环境保护综合行政执法系统的正常使用，为生态环境保护综合行政执法提供信息化平台服务，保障2023年生态环境执法工作顺利开展；加强兵地联动，推动兵地联合开展执法工作，为兵地执法工作加强信息共享，提供数据保障；按照《信息安全等级保护管理办法》（公通字</w:t>
      </w:r>
      <w:r>
        <w:rPr>
          <w:rFonts w:hint="eastAsia" w:ascii="方正书宋_GBK" w:hAnsi="方正书宋_GBK" w:eastAsia="方正书宋_GBK" w:cs="方正书宋_GBK"/>
          <w:sz w:val="32"/>
          <w:szCs w:val="32"/>
          <w:highlight w:val="none"/>
          <w:lang w:val="en-US" w:eastAsia="zh-CN"/>
        </w:rPr>
        <w:t>〔</w:t>
      </w:r>
      <w:r>
        <w:rPr>
          <w:rFonts w:hint="eastAsia" w:eastAsia="仿宋_GB2312"/>
          <w:sz w:val="32"/>
          <w:szCs w:val="32"/>
          <w:highlight w:val="none"/>
          <w:lang w:val="en-US" w:eastAsia="zh-CN"/>
        </w:rPr>
        <w:t>2007</w:t>
      </w:r>
      <w:r>
        <w:rPr>
          <w:rFonts w:hint="eastAsia" w:ascii="方正书宋_GBK" w:hAnsi="方正书宋_GBK" w:eastAsia="方正书宋_GBK" w:cs="方正书宋_GBK"/>
          <w:sz w:val="32"/>
          <w:szCs w:val="32"/>
          <w:highlight w:val="none"/>
          <w:lang w:val="en-US" w:eastAsia="zh-CN"/>
        </w:rPr>
        <w:t>〕</w:t>
      </w:r>
      <w:r>
        <w:rPr>
          <w:rFonts w:hint="eastAsia" w:eastAsia="仿宋_GB2312"/>
          <w:sz w:val="32"/>
          <w:szCs w:val="32"/>
          <w:highlight w:val="none"/>
          <w:lang w:val="en-US" w:eastAsia="zh-CN"/>
        </w:rPr>
        <w:t>43号）要求，新疆生态环境执法一体化系统每年进行一次网络等保三级测评，并在公安机关备案。提升非现场执法监管手段，运用科技技术手段使用卫星遥感等为生态环境保护综合行政执法提供技术支持。提升执法文书电子归档管理能力，维护电子档案管理系统正常运行，保证执法文书及时入档归档。畅通人民群众投诉平台，保障人民群众的合法权益。</w:t>
      </w:r>
    </w:p>
    <w:p>
      <w:pPr>
        <w:numPr>
          <w:ilvl w:val="0"/>
          <w:numId w:val="1"/>
        </w:numPr>
        <w:spacing w:before="0" w:after="0" w:line="560" w:lineRule="exact"/>
        <w:ind w:firstLine="642" w:firstLineChars="200"/>
        <w:jc w:val="both"/>
        <w:rPr>
          <w:rFonts w:ascii="Times New Roman" w:hAnsi="Times New Roman" w:eastAsia="仿宋_GB2312"/>
          <w:b/>
          <w:bCs/>
          <w:kern w:val="2"/>
          <w:sz w:val="32"/>
          <w:szCs w:val="32"/>
        </w:rPr>
      </w:pPr>
      <w:r>
        <w:rPr>
          <w:rFonts w:hint="default" w:eastAsia="仿宋_GB2312"/>
          <w:b/>
          <w:bCs/>
          <w:sz w:val="32"/>
          <w:szCs w:val="32"/>
          <w:highlight w:val="none"/>
          <w:lang w:val="en-US" w:eastAsia="zh-CN"/>
        </w:rPr>
        <w:t>2.</w:t>
      </w:r>
      <w:r>
        <w:rPr>
          <w:rFonts w:ascii="Times New Roman" w:hAnsi="Times New Roman" w:eastAsia="仿宋_GB2312"/>
          <w:b/>
          <w:bCs/>
          <w:kern w:val="2"/>
          <w:sz w:val="32"/>
          <w:szCs w:val="32"/>
        </w:rPr>
        <w:t>项目主要内容：</w:t>
      </w:r>
    </w:p>
    <w:p>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val="en-US" w:eastAsia="zh-CN"/>
        </w:rPr>
        <w:t>2023</w:t>
      </w:r>
      <w:r>
        <w:rPr>
          <w:rFonts w:hint="eastAsia" w:eastAsia="仿宋_GB2312"/>
          <w:sz w:val="32"/>
          <w:szCs w:val="32"/>
          <w:highlight w:val="none"/>
        </w:rPr>
        <w:t>年按项目内容签订相关系统维护合同，</w:t>
      </w:r>
      <w:r>
        <w:rPr>
          <w:rFonts w:hint="eastAsia" w:eastAsia="仿宋_GB2312"/>
          <w:sz w:val="32"/>
          <w:szCs w:val="32"/>
          <w:highlight w:val="none"/>
          <w:lang w:eastAsia="zh-CN"/>
        </w:rPr>
        <w:t>为</w:t>
      </w:r>
      <w:r>
        <w:rPr>
          <w:rFonts w:hint="eastAsia" w:eastAsia="仿宋_GB2312"/>
          <w:sz w:val="32"/>
          <w:szCs w:val="32"/>
          <w:highlight w:val="none"/>
        </w:rPr>
        <w:t>我局生态环境保护综合行政执法工作提供了行之有效的帮助，为</w:t>
      </w:r>
      <w:r>
        <w:rPr>
          <w:rFonts w:hint="eastAsia" w:eastAsia="仿宋_GB2312"/>
          <w:sz w:val="32"/>
          <w:szCs w:val="32"/>
          <w:highlight w:val="none"/>
          <w:lang w:eastAsia="zh-CN"/>
        </w:rPr>
        <w:t>推进</w:t>
      </w:r>
      <w:r>
        <w:rPr>
          <w:rFonts w:hint="eastAsia" w:eastAsia="仿宋_GB2312"/>
          <w:sz w:val="32"/>
          <w:szCs w:val="32"/>
          <w:highlight w:val="none"/>
        </w:rPr>
        <w:t>202</w:t>
      </w:r>
      <w:r>
        <w:rPr>
          <w:rFonts w:hint="eastAsia" w:eastAsia="仿宋_GB2312"/>
          <w:sz w:val="32"/>
          <w:szCs w:val="32"/>
          <w:highlight w:val="none"/>
          <w:lang w:val="en-US" w:eastAsia="zh-CN"/>
        </w:rPr>
        <w:t>3</w:t>
      </w:r>
      <w:r>
        <w:rPr>
          <w:rFonts w:hint="eastAsia" w:eastAsia="仿宋_GB2312"/>
          <w:sz w:val="32"/>
          <w:szCs w:val="32"/>
          <w:highlight w:val="none"/>
        </w:rPr>
        <w:t>年生态环境非现场监管执法工作开展提供了坚强有力的保障。举报平台的维护优化，保障了人民群众投诉需求，缓解环境信访投诉矛盾。</w:t>
      </w:r>
      <w:r>
        <w:rPr>
          <w:rFonts w:hint="eastAsia" w:eastAsia="仿宋_GB2312"/>
          <w:sz w:val="32"/>
          <w:szCs w:val="32"/>
          <w:highlight w:val="none"/>
          <w:lang w:eastAsia="zh-CN"/>
        </w:rPr>
        <w:t>电子档案系统对生态环境行政处罚案件归档提供了有力支撑。</w:t>
      </w:r>
    </w:p>
    <w:p>
      <w:pPr>
        <w:spacing w:line="56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项目实施情况：项目目前已经完成实际设立的目标，项目在实施过程中严格按照目标设立的各阶段任务开展工作，在前期立项过程中严把质量关，建立安全防护机制，保证项目实施各阶段安全</w:t>
      </w:r>
      <w:r>
        <w:rPr>
          <w:rFonts w:hint="eastAsia" w:eastAsia="仿宋_GB2312"/>
          <w:sz w:val="32"/>
          <w:szCs w:val="32"/>
          <w:highlight w:val="none"/>
          <w:lang w:eastAsia="zh-CN"/>
        </w:rPr>
        <w:t>、</w:t>
      </w:r>
      <w:r>
        <w:rPr>
          <w:rFonts w:eastAsia="仿宋_GB2312"/>
          <w:sz w:val="32"/>
          <w:szCs w:val="32"/>
          <w:highlight w:val="none"/>
        </w:rPr>
        <w:t>顺利进行。</w:t>
      </w:r>
    </w:p>
    <w:p>
      <w:pPr>
        <w:spacing w:line="560" w:lineRule="exact"/>
        <w:ind w:firstLine="640" w:firstLineChars="200"/>
        <w:rPr>
          <w:highlight w:val="yellow"/>
        </w:rPr>
      </w:pPr>
      <w:r>
        <w:rPr>
          <w:rFonts w:eastAsia="仿宋_GB2312"/>
          <w:sz w:val="32"/>
          <w:szCs w:val="32"/>
          <w:highlight w:val="none"/>
        </w:rPr>
        <w:t>本项目总投资</w:t>
      </w:r>
      <w:r>
        <w:rPr>
          <w:rFonts w:hint="eastAsia" w:eastAsia="仿宋_GB2312"/>
          <w:sz w:val="32"/>
          <w:szCs w:val="32"/>
          <w:highlight w:val="none"/>
          <w:lang w:val="en-US" w:eastAsia="zh-CN"/>
        </w:rPr>
        <w:t>143</w:t>
      </w:r>
      <w:r>
        <w:rPr>
          <w:rFonts w:eastAsia="仿宋_GB2312"/>
          <w:sz w:val="32"/>
          <w:szCs w:val="32"/>
          <w:highlight w:val="none"/>
        </w:rPr>
        <w:t>万元，其中：财政本级资金</w:t>
      </w:r>
      <w:r>
        <w:rPr>
          <w:rFonts w:hint="eastAsia" w:eastAsia="仿宋_GB2312"/>
          <w:sz w:val="32"/>
          <w:szCs w:val="32"/>
          <w:highlight w:val="none"/>
          <w:lang w:val="en-US" w:eastAsia="zh-CN"/>
        </w:rPr>
        <w:t>143</w:t>
      </w:r>
      <w:r>
        <w:rPr>
          <w:rFonts w:eastAsia="仿宋_GB2312"/>
          <w:sz w:val="32"/>
          <w:szCs w:val="32"/>
          <w:highlight w:val="none"/>
        </w:rPr>
        <w:t>万元。项目实际支出</w:t>
      </w:r>
      <w:r>
        <w:rPr>
          <w:rFonts w:hint="eastAsia" w:eastAsia="仿宋_GB2312"/>
          <w:sz w:val="32"/>
          <w:szCs w:val="32"/>
          <w:highlight w:val="none"/>
          <w:lang w:val="en-US" w:eastAsia="zh-CN"/>
        </w:rPr>
        <w:t>142.2</w:t>
      </w:r>
      <w:r>
        <w:rPr>
          <w:rFonts w:eastAsia="仿宋_GB2312"/>
          <w:sz w:val="32"/>
          <w:szCs w:val="32"/>
          <w:highlight w:val="none"/>
        </w:rPr>
        <w:t>万元，支出率为</w:t>
      </w:r>
      <w:r>
        <w:rPr>
          <w:rFonts w:hint="eastAsia" w:eastAsia="仿宋_GB2312"/>
          <w:sz w:val="32"/>
          <w:szCs w:val="32"/>
          <w:highlight w:val="none"/>
          <w:lang w:val="en-US" w:eastAsia="zh-CN"/>
        </w:rPr>
        <w:t>99.44</w:t>
      </w:r>
      <w:r>
        <w:rPr>
          <w:rFonts w:eastAsia="仿宋_GB2312"/>
          <w:sz w:val="32"/>
          <w:szCs w:val="32"/>
          <w:highlight w:val="none"/>
        </w:rPr>
        <w:t>%。</w:t>
      </w:r>
    </w:p>
    <w:p>
      <w:pPr>
        <w:spacing w:line="560" w:lineRule="exact"/>
        <w:ind w:firstLine="642" w:firstLineChars="200"/>
        <w:rPr>
          <w:rFonts w:eastAsia="仿宋_GB2312"/>
          <w:b/>
          <w:bCs/>
          <w:sz w:val="32"/>
          <w:szCs w:val="32"/>
        </w:rPr>
      </w:pPr>
      <w:r>
        <w:rPr>
          <w:rFonts w:eastAsia="仿宋_GB2312"/>
          <w:b/>
          <w:bCs/>
          <w:sz w:val="32"/>
          <w:szCs w:val="32"/>
        </w:rPr>
        <w:t>3</w:t>
      </w:r>
      <w:r>
        <w:rPr>
          <w:rFonts w:hint="eastAsia" w:eastAsia="仿宋_GB2312"/>
          <w:b/>
          <w:bCs/>
          <w:sz w:val="32"/>
          <w:szCs w:val="32"/>
          <w:lang w:val="en-US" w:eastAsia="zh-CN"/>
        </w:rPr>
        <w:t>.</w:t>
      </w:r>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lang w:val="en-US" w:eastAsia="zh-CN"/>
        </w:rPr>
        <w:t>143</w:t>
      </w:r>
      <w:r>
        <w:rPr>
          <w:rFonts w:eastAsia="仿宋_GB2312"/>
          <w:sz w:val="32"/>
          <w:szCs w:val="32"/>
        </w:rPr>
        <w:t>万元，按照单位财务制度等相关规定，资金支出符合</w:t>
      </w:r>
      <w:r>
        <w:rPr>
          <w:rFonts w:hint="eastAsia" w:eastAsia="仿宋_GB2312"/>
          <w:sz w:val="32"/>
          <w:szCs w:val="32"/>
        </w:rPr>
        <w:t>生态环境执法信息系统维护项目</w:t>
      </w:r>
      <w:r>
        <w:rPr>
          <w:rFonts w:eastAsia="仿宋_GB2312"/>
          <w:sz w:val="32"/>
          <w:szCs w:val="32"/>
        </w:rPr>
        <w:t>专项资金费用范围，做到了专款专用。在项目资金拨付和使用过程中，为确保项目资金的安全性，提高项目资金使用效率，</w:t>
      </w:r>
      <w:r>
        <w:rPr>
          <w:rFonts w:hint="eastAsia" w:eastAsia="仿宋_GB2312"/>
          <w:sz w:val="32"/>
          <w:szCs w:val="32"/>
        </w:rPr>
        <w:t>严格遵循生态环境执法信息系统维护项目资金的拨付程序，</w:t>
      </w:r>
      <w:r>
        <w:rPr>
          <w:rFonts w:eastAsia="仿宋_GB2312"/>
          <w:sz w:val="32"/>
          <w:szCs w:val="32"/>
        </w:rPr>
        <w:t>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lang w:eastAsia="zh-CN"/>
        </w:rPr>
        <w:t>一般公共预算</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lang w:val="en-US" w:eastAsia="zh-CN"/>
        </w:rPr>
        <w:t>143</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142.2</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99.44</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lang w:eastAsia="zh-CN"/>
        </w:rPr>
        <w:t>系统维护</w:t>
      </w:r>
      <w:r>
        <w:rPr>
          <w:rFonts w:ascii="Times New Roman" w:hAnsi="Times New Roman" w:eastAsia="仿宋_GB2312"/>
          <w:b w:val="0"/>
          <w:bCs w:val="0"/>
          <w:kern w:val="2"/>
        </w:rPr>
        <w:t>费用。</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val="en-US" w:eastAsia="zh-CN"/>
        </w:rPr>
        <w:t>.</w:t>
      </w:r>
      <w:r>
        <w:rPr>
          <w:rFonts w:eastAsia="仿宋_GB2312"/>
          <w:sz w:val="32"/>
          <w:szCs w:val="32"/>
        </w:rPr>
        <w:t>总体目标</w:t>
      </w:r>
    </w:p>
    <w:p>
      <w:pPr>
        <w:spacing w:line="56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p>
      <w:pPr>
        <w:spacing w:line="560" w:lineRule="exact"/>
        <w:ind w:firstLine="640" w:firstLineChars="200"/>
      </w:pPr>
      <w:r>
        <w:rPr>
          <w:rFonts w:eastAsia="仿宋_GB2312"/>
          <w:sz w:val="32"/>
          <w:szCs w:val="32"/>
        </w:rPr>
        <w:t>2</w:t>
      </w:r>
      <w:r>
        <w:rPr>
          <w:rFonts w:hint="eastAsia" w:eastAsia="仿宋_GB2312"/>
          <w:sz w:val="32"/>
          <w:szCs w:val="32"/>
          <w:lang w:val="en-US" w:eastAsia="zh-CN"/>
        </w:rPr>
        <w:t>.</w:t>
      </w:r>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生态环境执法信息系统维护项目项目所包含的全部项目</w:t>
      </w:r>
      <w:r>
        <w:rPr>
          <w:rFonts w:hint="eastAsia" w:ascii="仿宋_GB2312" w:hAnsi="仿宋_GB2312" w:eastAsia="仿宋_GB2312" w:cs="仿宋_GB2312"/>
          <w:sz w:val="32"/>
          <w:szCs w:val="32"/>
          <w:highlight w:val="none"/>
          <w:lang w:eastAsia="zh-CN"/>
        </w:rPr>
        <w:t>内各个信息系统维护</w:t>
      </w:r>
      <w:r>
        <w:rPr>
          <w:rFonts w:hint="eastAsia" w:ascii="仿宋_GB2312" w:hAnsi="仿宋_GB2312" w:eastAsia="仿宋_GB2312" w:cs="仿宋_GB2312"/>
          <w:sz w:val="32"/>
          <w:szCs w:val="32"/>
          <w:highlight w:val="none"/>
        </w:rPr>
        <w:t>内容</w:t>
      </w:r>
      <w:r>
        <w:rPr>
          <w:rFonts w:hint="eastAsia" w:ascii="仿宋_GB2312" w:hAnsi="仿宋_GB2312" w:eastAsia="仿宋_GB2312" w:cs="仿宋_GB2312"/>
          <w:sz w:val="32"/>
          <w:szCs w:val="32"/>
          <w:highlight w:val="none"/>
          <w:lang w:eastAsia="zh-CN"/>
        </w:rPr>
        <w:t>。</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绩效评价的范围</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生态环境执法信息系统维护项目项目的决策、过程、产出、效益等。</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r>
        <w:rPr>
          <w:rFonts w:hint="eastAsia" w:ascii="Times New Roman" w:hAnsi="Times New Roman" w:eastAsia="仿宋_GB2312"/>
          <w:b w:val="0"/>
          <w:bCs w:val="0"/>
          <w:lang w:eastAsia="zh-CN"/>
        </w:rPr>
        <w:t>“</w:t>
      </w:r>
      <w:r>
        <w:rPr>
          <w:rFonts w:ascii="Times New Roman" w:hAnsi="Times New Roman" w:eastAsia="仿宋_GB2312"/>
          <w:b w:val="0"/>
          <w:bCs w:val="0"/>
        </w:rPr>
        <w:t>谁支出、谁自评</w:t>
      </w:r>
      <w:r>
        <w:rPr>
          <w:rFonts w:hint="eastAsia" w:ascii="Times New Roman" w:hAnsi="Times New Roman" w:eastAsia="仿宋_GB2312"/>
          <w:b w:val="0"/>
          <w:bCs w:val="0"/>
          <w:lang w:eastAsia="zh-CN"/>
        </w:rPr>
        <w:t>”</w:t>
      </w:r>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val="en-US" w:eastAsia="zh-CN"/>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分，项目产出权重为</w:t>
      </w:r>
      <w:r>
        <w:rPr>
          <w:rFonts w:hint="eastAsia" w:eastAsia="仿宋_GB2312"/>
          <w:color w:val="000000"/>
          <w:spacing w:val="17"/>
          <w:sz w:val="32"/>
          <w:szCs w:val="32"/>
          <w:lang w:val="en-US" w:eastAsia="zh-CN"/>
        </w:rPr>
        <w:t>40</w:t>
      </w:r>
      <w:r>
        <w:rPr>
          <w:rFonts w:eastAsia="仿宋_GB2312"/>
          <w:color w:val="000000"/>
          <w:spacing w:val="17"/>
          <w:sz w:val="32"/>
          <w:szCs w:val="32"/>
        </w:rPr>
        <w:t>分，项目效益权重为</w:t>
      </w:r>
      <w:r>
        <w:rPr>
          <w:rFonts w:hint="eastAsia" w:eastAsia="仿宋_GB2312"/>
          <w:color w:val="000000"/>
          <w:spacing w:val="17"/>
          <w:sz w:val="32"/>
          <w:szCs w:val="32"/>
          <w:lang w:val="en-US" w:eastAsia="zh-CN"/>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val="en-US" w:eastAsia="zh-CN"/>
        </w:rPr>
        <w:t>.</w:t>
      </w:r>
      <w:r>
        <w:rPr>
          <w:rFonts w:ascii="Times New Roman" w:hAnsi="Times New Roman" w:eastAsia="仿宋_GB2312"/>
          <w:b w:val="0"/>
          <w:bCs w:val="0"/>
        </w:rPr>
        <w:t>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1"/>
          <w:numId w:val="0"/>
        </w:numPr>
        <w:spacing w:line="560" w:lineRule="exact"/>
        <w:ind w:firstLine="640" w:firstLineChars="200"/>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1"/>
          <w:numId w:val="0"/>
        </w:numPr>
        <w:spacing w:line="560" w:lineRule="exact"/>
        <w:ind w:firstLine="640" w:firstLineChars="200"/>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highlight w:val="none"/>
        </w:rPr>
      </w:pPr>
      <w:r>
        <w:rPr>
          <w:rFonts w:ascii="Times New Roman" w:hAnsi="Times New Roman" w:eastAsia="仿宋_GB2312"/>
          <w:b w:val="0"/>
          <w:bCs w:val="0"/>
        </w:rPr>
        <w:t>对</w:t>
      </w:r>
      <w:r>
        <w:rPr>
          <w:rFonts w:hint="eastAsia" w:ascii="Times New Roman" w:hAnsi="Times New Roman" w:eastAsia="仿宋_GB2312"/>
          <w:b w:val="0"/>
          <w:bCs w:val="0"/>
        </w:rPr>
        <w:t>生态环境执法信息系统维护项目</w:t>
      </w:r>
      <w:r>
        <w:rPr>
          <w:rFonts w:ascii="Times New Roman" w:hAnsi="Times New Roman" w:eastAsia="仿宋_GB2312"/>
          <w:b w:val="0"/>
          <w:bCs w:val="0"/>
        </w:rPr>
        <w:t>项目进行客观评价，最终评分结果：总得</w:t>
      </w:r>
      <w:r>
        <w:rPr>
          <w:rFonts w:ascii="Times New Roman" w:hAnsi="Times New Roman" w:eastAsia="仿宋_GB2312"/>
          <w:b w:val="0"/>
          <w:bCs w:val="0"/>
          <w:highlight w:val="none"/>
        </w:rPr>
        <w:t>分为</w:t>
      </w:r>
      <w:r>
        <w:rPr>
          <w:rFonts w:hint="eastAsia" w:ascii="Times New Roman" w:hAnsi="Times New Roman" w:eastAsia="仿宋_GB2312"/>
          <w:b w:val="0"/>
          <w:bCs w:val="0"/>
          <w:highlight w:val="none"/>
          <w:lang w:val="en-US" w:eastAsia="zh-CN"/>
        </w:rPr>
        <w:t>99.98</w:t>
      </w:r>
      <w:r>
        <w:rPr>
          <w:rFonts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优</w:t>
      </w:r>
      <w:r>
        <w:rPr>
          <w:rFonts w:hint="eastAsia" w:ascii="Times New Roman" w:hAnsi="Times New Roman" w:eastAsia="仿宋_GB2312"/>
          <w:b w:val="0"/>
          <w:bCs w:val="0"/>
          <w:highlight w:val="none"/>
          <w:lang w:eastAsia="zh-CN"/>
        </w:rPr>
        <w:t>”</w:t>
      </w:r>
      <w:r>
        <w:rPr>
          <w:rFonts w:ascii="Times New Roman" w:hAnsi="Times New Roman" w:eastAsia="仿宋_GB2312"/>
          <w:b w:val="0"/>
          <w:bCs w:val="0"/>
          <w:highlight w:val="none"/>
        </w:rPr>
        <w:t>。其中，项目决策类指标权重为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19.98</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99.9</w:t>
      </w:r>
      <w:r>
        <w:rPr>
          <w:rFonts w:ascii="Times New Roman" w:hAnsi="Times New Roman" w:eastAsia="仿宋_GB2312"/>
          <w:b w:val="0"/>
          <w:bCs w:val="0"/>
          <w:highlight w:val="none"/>
        </w:rPr>
        <w:t>%。项目产出类指标权重为</w:t>
      </w:r>
      <w:r>
        <w:rPr>
          <w:rFonts w:hint="eastAsia" w:ascii="Times New Roman" w:hAnsi="Times New Roman" w:eastAsia="仿宋_GB2312"/>
          <w:b w:val="0"/>
          <w:bCs w:val="0"/>
          <w:highlight w:val="none"/>
        </w:rPr>
        <w:t>40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p>
    <w:p>
      <w:pPr>
        <w:pStyle w:val="2"/>
        <w:spacing w:line="560" w:lineRule="exact"/>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pPr>
        <w:rPr>
          <w:highlight w:val="none"/>
        </w:rPr>
      </w:pPr>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highlight w:val="none"/>
              </w:rPr>
            </w:pPr>
            <w:r>
              <w:rPr>
                <w:b/>
                <w:bCs/>
                <w:color w:val="000000"/>
                <w:kern w:val="0"/>
                <w:sz w:val="22"/>
                <w:szCs w:val="22"/>
                <w:highlight w:val="none"/>
              </w:rPr>
              <w:t>一级指标</w:t>
            </w:r>
          </w:p>
        </w:tc>
        <w:tc>
          <w:tcPr>
            <w:tcW w:w="990"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分值</w:t>
            </w:r>
          </w:p>
        </w:tc>
        <w:tc>
          <w:tcPr>
            <w:tcW w:w="1283"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170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727" w:type="dxa"/>
            <w:shd w:val="clear" w:color="auto" w:fill="BFBFB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决策　</w:t>
            </w:r>
          </w:p>
          <w:p>
            <w:pPr>
              <w:widowControl/>
              <w:spacing w:line="0" w:lineRule="atLeast"/>
              <w:jc w:val="center"/>
              <w:rPr>
                <w:color w:val="000000"/>
                <w:kern w:val="0"/>
                <w:sz w:val="22"/>
                <w:szCs w:val="22"/>
                <w:highlight w:val="none"/>
              </w:rPr>
            </w:pPr>
            <w:r>
              <w:rPr>
                <w:color w:val="000000"/>
                <w:kern w:val="0"/>
                <w:sz w:val="22"/>
                <w:szCs w:val="22"/>
                <w:highlight w:val="none"/>
              </w:rPr>
              <w:t>　</w:t>
            </w:r>
          </w:p>
          <w:p>
            <w:pPr>
              <w:spacing w:line="0" w:lineRule="atLeast"/>
              <w:jc w:val="center"/>
              <w:rPr>
                <w:color w:val="000000"/>
                <w:kern w:val="0"/>
                <w:sz w:val="22"/>
                <w:szCs w:val="22"/>
                <w:highlight w:val="none"/>
              </w:rPr>
            </w:pPr>
            <w:r>
              <w:rPr>
                <w:color w:val="000000"/>
                <w:kern w:val="0"/>
                <w:sz w:val="22"/>
                <w:szCs w:val="22"/>
                <w:highlight w:val="none"/>
              </w:rPr>
              <w:t>　</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充分</w:t>
            </w:r>
          </w:p>
        </w:tc>
        <w:tc>
          <w:tcPr>
            <w:tcW w:w="1215"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规范</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明确</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科学</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3</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合理</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过程</w:t>
            </w:r>
          </w:p>
          <w:p>
            <w:pPr>
              <w:spacing w:line="0" w:lineRule="atLeast"/>
              <w:jc w:val="center"/>
              <w:rPr>
                <w:color w:val="000000"/>
                <w:kern w:val="0"/>
                <w:sz w:val="22"/>
                <w:szCs w:val="22"/>
                <w:highlight w:val="none"/>
              </w:rPr>
            </w:pPr>
            <w:r>
              <w:rPr>
                <w:color w:val="000000"/>
                <w:kern w:val="0"/>
                <w:sz w:val="22"/>
                <w:szCs w:val="22"/>
                <w:highlight w:val="none"/>
              </w:rPr>
              <w:t>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20</w:t>
            </w:r>
            <w:r>
              <w:rPr>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continue"/>
            <w:shd w:val="clear" w:color="auto" w:fill="FFFFFF"/>
            <w:vAlign w:val="center"/>
          </w:tcPr>
          <w:p>
            <w:pPr>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99.44%</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合格</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健全</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4</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kern w:val="0"/>
                <w:sz w:val="22"/>
                <w:szCs w:val="22"/>
                <w:highlight w:val="none"/>
              </w:rPr>
              <w:t>40</w:t>
            </w:r>
            <w:r>
              <w:rPr>
                <w:kern w:val="0"/>
                <w:sz w:val="22"/>
                <w:szCs w:val="22"/>
                <w:highlight w:val="none"/>
              </w:rPr>
              <w:t>分</w:t>
            </w: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highlight w:val="none"/>
              </w:rPr>
            </w:pPr>
          </w:p>
        </w:tc>
        <w:tc>
          <w:tcPr>
            <w:tcW w:w="990" w:type="dxa"/>
            <w:vMerge w:val="continue"/>
            <w:shd w:val="clear" w:color="auto" w:fill="FFFFFF"/>
            <w:vAlign w:val="center"/>
          </w:tcPr>
          <w:p>
            <w:pPr>
              <w:spacing w:line="0" w:lineRule="atLeast"/>
              <w:jc w:val="center"/>
              <w:rPr>
                <w:color w:val="000000"/>
                <w:kern w:val="0"/>
                <w:sz w:val="22"/>
                <w:szCs w:val="22"/>
                <w:highlight w:val="none"/>
              </w:rPr>
            </w:pPr>
          </w:p>
        </w:tc>
        <w:tc>
          <w:tcPr>
            <w:tcW w:w="1283"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w:t>
            </w:r>
            <w:r>
              <w:rPr>
                <w:rFonts w:hint="eastAsia"/>
                <w:color w:val="000000"/>
                <w:kern w:val="0"/>
                <w:sz w:val="22"/>
                <w:szCs w:val="22"/>
                <w:highlight w:val="none"/>
              </w:rPr>
              <w:t>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92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及时</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727"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100%</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990" w:type="dxa"/>
            <w:vMerge w:val="restart"/>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20</w:t>
            </w:r>
            <w:r>
              <w:rPr>
                <w:color w:val="000000"/>
                <w:kern w:val="0"/>
                <w:sz w:val="22"/>
                <w:szCs w:val="22"/>
                <w:highlight w:val="none"/>
              </w:rPr>
              <w:t>分</w:t>
            </w:r>
          </w:p>
        </w:tc>
        <w:tc>
          <w:tcPr>
            <w:tcW w:w="1283"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p>
            <w:pPr>
              <w:widowControl/>
              <w:spacing w:line="0" w:lineRule="atLeast"/>
              <w:jc w:val="center"/>
              <w:rPr>
                <w:color w:val="000000"/>
                <w:kern w:val="0"/>
                <w:sz w:val="22"/>
                <w:szCs w:val="22"/>
                <w:highlight w:val="none"/>
              </w:rPr>
            </w:pPr>
            <w:r>
              <w:rPr>
                <w:color w:val="000000"/>
                <w:kern w:val="0"/>
                <w:sz w:val="22"/>
                <w:szCs w:val="22"/>
                <w:highlight w:val="none"/>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15</w:t>
            </w:r>
          </w:p>
        </w:tc>
        <w:tc>
          <w:tcPr>
            <w:tcW w:w="104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92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有效</w:t>
            </w:r>
          </w:p>
        </w:tc>
        <w:tc>
          <w:tcPr>
            <w:tcW w:w="1215" w:type="dxa"/>
            <w:shd w:val="clear" w:color="auto"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auto" w:fill="FFFFFF"/>
            <w:vAlign w:val="center"/>
          </w:tcPr>
          <w:p>
            <w:pPr>
              <w:widowControl/>
              <w:spacing w:line="0" w:lineRule="atLeast"/>
              <w:jc w:val="center"/>
              <w:rPr>
                <w:rFonts w:hint="default" w:eastAsia="宋体"/>
                <w:color w:val="000000"/>
                <w:kern w:val="0"/>
                <w:sz w:val="22"/>
                <w:szCs w:val="22"/>
                <w:highlight w:val="none"/>
                <w:lang w:val="en-US" w:eastAsia="zh-CN"/>
              </w:rPr>
            </w:pPr>
            <w:r>
              <w:rPr>
                <w:rFonts w:hint="eastAsia"/>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highlight w:val="none"/>
              </w:rPr>
            </w:pPr>
          </w:p>
        </w:tc>
        <w:tc>
          <w:tcPr>
            <w:tcW w:w="990" w:type="dxa"/>
            <w:vMerge w:val="continue"/>
            <w:shd w:val="clear" w:color="auto" w:fill="FFFFFF"/>
            <w:vAlign w:val="center"/>
          </w:tcPr>
          <w:p>
            <w:pPr>
              <w:widowControl/>
              <w:spacing w:line="0" w:lineRule="atLeast"/>
              <w:jc w:val="center"/>
              <w:rPr>
                <w:color w:val="000000"/>
                <w:kern w:val="0"/>
                <w:sz w:val="22"/>
                <w:szCs w:val="22"/>
                <w:highlight w:val="none"/>
              </w:rPr>
            </w:pPr>
          </w:p>
        </w:tc>
        <w:tc>
          <w:tcPr>
            <w:tcW w:w="1283" w:type="dxa"/>
            <w:vMerge w:val="continue"/>
            <w:shd w:val="clear" w:color="auto" w:fill="FFFFFF"/>
            <w:vAlign w:val="center"/>
          </w:tcPr>
          <w:p>
            <w:pPr>
              <w:widowControl/>
              <w:spacing w:line="0" w:lineRule="atLeast"/>
              <w:jc w:val="center"/>
              <w:rPr>
                <w:color w:val="000000"/>
                <w:kern w:val="0"/>
                <w:sz w:val="22"/>
                <w:szCs w:val="22"/>
                <w:highlight w:val="none"/>
              </w:rPr>
            </w:pPr>
          </w:p>
        </w:tc>
        <w:tc>
          <w:tcPr>
            <w:tcW w:w="1707"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727"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rPr>
              <w:t>5</w:t>
            </w:r>
          </w:p>
        </w:tc>
        <w:tc>
          <w:tcPr>
            <w:tcW w:w="1044" w:type="dxa"/>
            <w:shd w:val="clear" w:color="000000"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w:t>
            </w:r>
            <w:r>
              <w:rPr>
                <w:rFonts w:hint="eastAsia"/>
                <w:color w:val="000000"/>
                <w:kern w:val="0"/>
                <w:sz w:val="22"/>
                <w:szCs w:val="22"/>
                <w:highlight w:val="none"/>
                <w:lang w:val="en-US" w:eastAsia="zh-CN"/>
              </w:rPr>
              <w:t>95</w:t>
            </w:r>
            <w:r>
              <w:rPr>
                <w:color w:val="000000"/>
                <w:kern w:val="0"/>
                <w:sz w:val="22"/>
                <w:szCs w:val="22"/>
                <w:highlight w:val="none"/>
              </w:rPr>
              <w:t>%</w:t>
            </w:r>
          </w:p>
        </w:tc>
        <w:tc>
          <w:tcPr>
            <w:tcW w:w="924"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95</w:t>
            </w:r>
            <w:r>
              <w:rPr>
                <w:color w:val="000000"/>
                <w:kern w:val="0"/>
                <w:sz w:val="22"/>
                <w:szCs w:val="22"/>
                <w:highlight w:val="none"/>
              </w:rPr>
              <w:t>%</w:t>
            </w:r>
          </w:p>
        </w:tc>
        <w:tc>
          <w:tcPr>
            <w:tcW w:w="1215" w:type="dxa"/>
            <w:shd w:val="clear" w:color="000000" w:fill="FFFFFF"/>
            <w:vAlign w:val="center"/>
          </w:tcPr>
          <w:p>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100%</w:t>
            </w:r>
          </w:p>
        </w:tc>
        <w:tc>
          <w:tcPr>
            <w:tcW w:w="960" w:type="dxa"/>
            <w:shd w:val="clear" w:color="000000" w:fill="FFFFFF"/>
            <w:vAlign w:val="center"/>
          </w:tcPr>
          <w:p>
            <w:pPr>
              <w:widowControl/>
              <w:spacing w:line="0" w:lineRule="atLeast"/>
              <w:jc w:val="center"/>
              <w:rPr>
                <w:rFonts w:hint="eastAsia" w:eastAsia="宋体"/>
                <w:color w:val="000000"/>
                <w:kern w:val="0"/>
                <w:sz w:val="22"/>
                <w:szCs w:val="22"/>
                <w:highlight w:val="none"/>
                <w:lang w:eastAsia="zh-CN"/>
              </w:rPr>
            </w:pPr>
            <w:r>
              <w:rPr>
                <w:rFonts w:hint="eastAsia"/>
                <w:color w:val="000000"/>
                <w:kern w:val="0"/>
                <w:sz w:val="22"/>
                <w:szCs w:val="22"/>
                <w:highlight w:val="none"/>
                <w:lang w:val="en-US" w:eastAsia="zh-CN"/>
              </w:rPr>
              <w:t>5</w:t>
            </w:r>
          </w:p>
        </w:tc>
      </w:tr>
    </w:tbl>
    <w:p>
      <w:pPr>
        <w:spacing w:line="600" w:lineRule="exact"/>
        <w:ind w:firstLine="320" w:firstLineChars="100"/>
        <w:rPr>
          <w:rFonts w:eastAsia="黑体"/>
          <w:sz w:val="32"/>
          <w:szCs w:val="32"/>
          <w:highlight w:val="none"/>
        </w:rPr>
      </w:pPr>
      <w:r>
        <w:rPr>
          <w:rFonts w:eastAsia="黑体"/>
          <w:sz w:val="32"/>
          <w:szCs w:val="32"/>
          <w:highlight w:val="none"/>
        </w:rPr>
        <w:t>四、绩效评价指标分析</w:t>
      </w:r>
    </w:p>
    <w:p>
      <w:pPr>
        <w:pStyle w:val="2"/>
        <w:spacing w:before="0" w:after="0" w:line="560" w:lineRule="exact"/>
        <w:ind w:firstLine="642"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w:t>
      </w:r>
      <w:r>
        <w:rPr>
          <w:rFonts w:hint="eastAsia" w:ascii="仿宋_GB2312" w:hAnsi="仿宋_GB2312" w:eastAsia="仿宋_GB2312" w:cs="仿宋_GB2312"/>
          <w:sz w:val="32"/>
          <w:szCs w:val="32"/>
          <w:lang w:val="en-US" w:eastAsia="zh-CN"/>
        </w:rPr>
        <w:t>部门发展规划及职能文件等归档完整。</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集体决策，保障了程序的规范性。</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56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项目过程类指标包括资金管理和组织实施两方面的内容，由5个三级指标构成，权重分值为20分，实际得分19.98分，得分率为99.9%。</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本项目总投资143万元，财政资金及时足额到位，到位率100%，预算资金按计划进度执行。</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预算编制较为详细，项目资金支出总体能够按照预算执行，预算资金支出142.2万元，预算执行率为99.44%。</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4"/>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2"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56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20"/>
        <w:numPr>
          <w:ilvl w:val="0"/>
          <w:numId w:val="5"/>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lang w:val="en-US" w:eastAsia="zh-CN"/>
        </w:rPr>
        <w:t>情况</w:t>
      </w:r>
    </w:p>
    <w:p>
      <w:pPr>
        <w:shd w:val="clear"/>
        <w:spacing w:line="56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项目产出类指标包括产出数量、产出质量、产出时效、产出成本四方面的内容，由7个三级指标构成，权重分为40分，实际得分40分，得分率为100%。具体产出指标完成情况如下：</w:t>
      </w:r>
    </w:p>
    <w:p>
      <w:pPr>
        <w:spacing w:line="560" w:lineRule="exact"/>
        <w:ind w:firstLine="640" w:firstLineChars="200"/>
        <w:outlineLvl w:val="0"/>
        <w:rPr>
          <w:rStyle w:val="24"/>
          <w:rFonts w:eastAsia="仿宋"/>
          <w:b w:val="0"/>
          <w:spacing w:val="-4"/>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pStyle w:val="2"/>
        <w:numPr>
          <w:ilvl w:val="0"/>
          <w:numId w:val="0"/>
        </w:numPr>
        <w:spacing w:line="560" w:lineRule="exact"/>
        <w:ind w:firstLine="642"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Style w:val="24"/>
          <w:rFonts w:hint="eastAsia" w:eastAsia="仿宋"/>
          <w:b w:val="0"/>
          <w:bCs/>
          <w:color w:val="auto"/>
          <w:spacing w:val="-4"/>
          <w:sz w:val="32"/>
          <w:szCs w:val="32"/>
          <w:highlight w:val="none"/>
          <w:lang w:val="en-US" w:eastAsia="zh-CN"/>
        </w:rPr>
        <w:t>维护系统数量，指标值：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5个，实际完成值：5个，指标完成率100%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numPr>
          <w:ilvl w:val="0"/>
          <w:numId w:val="0"/>
        </w:numPr>
        <w:spacing w:line="560" w:lineRule="exact"/>
        <w:ind w:firstLine="642" w:firstLineChars="200"/>
        <w:jc w:val="left"/>
        <w:rPr>
          <w:rFonts w:hint="eastAsia"/>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24"/>
          <w:rFonts w:hint="eastAsia" w:eastAsia="仿宋"/>
          <w:b w:val="0"/>
          <w:bCs/>
          <w:color w:val="auto"/>
          <w:spacing w:val="-4"/>
          <w:sz w:val="32"/>
          <w:szCs w:val="32"/>
          <w:highlight w:val="none"/>
          <w:lang w:val="en-US" w:eastAsia="zh-CN"/>
        </w:rPr>
        <w:t>维护应用程序数量，指标值：</w:t>
      </w:r>
      <w:r>
        <w:rPr>
          <w:rStyle w:val="24"/>
          <w:rFonts w:hint="eastAsia" w:ascii="东文宋体" w:hAnsi="东文宋体" w:eastAsia="东文宋体" w:cs="东文宋体"/>
          <w:b w:val="0"/>
          <w:bCs/>
          <w:color w:val="auto"/>
          <w:spacing w:val="-4"/>
          <w:sz w:val="32"/>
          <w:szCs w:val="32"/>
          <w:highlight w:val="none"/>
        </w:rPr>
        <w:t>≥</w:t>
      </w:r>
      <w:r>
        <w:rPr>
          <w:rStyle w:val="24"/>
          <w:rFonts w:hint="eastAsia" w:eastAsia="仿宋"/>
          <w:b w:val="0"/>
          <w:bCs/>
          <w:color w:val="auto"/>
          <w:spacing w:val="-4"/>
          <w:sz w:val="32"/>
          <w:szCs w:val="32"/>
          <w:highlight w:val="none"/>
          <w:lang w:val="en-US" w:eastAsia="zh-CN"/>
        </w:rPr>
        <w:t>3个，实际完成值：3个，指标完成率100%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0" w:firstLineChars="200"/>
        <w:rPr>
          <w:rStyle w:val="53"/>
          <w:rFonts w:hint="eastAsia" w:ascii="Times New Roman" w:hAnsi="Times New Roman" w:eastAsia="仿宋_GB2312" w:cs="Times New Roman"/>
          <w:color w:val="auto"/>
          <w:highlight w:val="none"/>
          <w:lang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pStyle w:val="2"/>
        <w:numPr>
          <w:ilvl w:val="-1"/>
          <w:numId w:val="0"/>
        </w:numPr>
        <w:spacing w:line="560" w:lineRule="exact"/>
        <w:ind w:firstLine="642"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b w:val="0"/>
          <w:bCs w:val="0"/>
          <w:color w:val="auto"/>
          <w:kern w:val="2"/>
          <w:sz w:val="32"/>
          <w:szCs w:val="32"/>
          <w:highlight w:val="none"/>
          <w:lang w:val="en-US" w:eastAsia="zh-CN" w:bidi="ar-SA"/>
        </w:rPr>
        <w:t>故障修复验收合格率，指标值：≥95%，实际完成值：95%，指标完成率100%</w:t>
      </w:r>
      <w:r>
        <w:rPr>
          <w:rStyle w:val="53"/>
          <w:rFonts w:hint="eastAsia" w:cs="Times New Roman"/>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spacing w:line="560" w:lineRule="exact"/>
        <w:ind w:firstLine="642" w:firstLineChars="200"/>
        <w:rPr>
          <w:rFonts w:hint="eastAsia"/>
          <w:highlight w:val="none"/>
          <w:lang w:val="en-US" w:eastAsia="zh-CN"/>
        </w:rPr>
      </w:pPr>
      <w:r>
        <w:rPr>
          <w:rFonts w:hint="eastAsia" w:ascii="仿宋_GB2312" w:hAnsi="仿宋_GB2312" w:eastAsia="仿宋_GB2312" w:cs="仿宋_GB2312"/>
          <w:b/>
          <w:bCs/>
          <w:sz w:val="32"/>
          <w:szCs w:val="32"/>
          <w:highlight w:val="none"/>
        </w:rPr>
        <w:t>指标</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w:t>
      </w:r>
      <w:r>
        <w:rPr>
          <w:rStyle w:val="24"/>
          <w:rFonts w:hint="eastAsia" w:eastAsia="仿宋"/>
          <w:b w:val="0"/>
          <w:spacing w:val="-4"/>
          <w:sz w:val="32"/>
          <w:szCs w:val="32"/>
          <w:highlight w:val="none"/>
          <w:lang w:val="en-US" w:eastAsia="zh-CN"/>
        </w:rPr>
        <w:t>系统故障率，指标值：</w:t>
      </w:r>
      <w:r>
        <w:rPr>
          <w:rStyle w:val="24"/>
          <w:rFonts w:hint="eastAsia" w:ascii="东文宋体" w:hAnsi="东文宋体" w:eastAsia="东文宋体" w:cs="东文宋体"/>
          <w:b w:val="0"/>
          <w:spacing w:val="-4"/>
          <w:sz w:val="32"/>
          <w:szCs w:val="32"/>
          <w:highlight w:val="none"/>
        </w:rPr>
        <w:t>≤</w:t>
      </w:r>
      <w:r>
        <w:rPr>
          <w:rStyle w:val="24"/>
          <w:rFonts w:hint="eastAsia" w:eastAsia="仿宋"/>
          <w:b w:val="0"/>
          <w:spacing w:val="-4"/>
          <w:sz w:val="32"/>
          <w:szCs w:val="32"/>
          <w:highlight w:val="none"/>
          <w:lang w:val="en-US" w:eastAsia="zh-CN"/>
        </w:rPr>
        <w:t>5%，实际完成值：5%，指标完成率100%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r>
        <w:rPr>
          <w:rStyle w:val="24"/>
          <w:rFonts w:hint="eastAsia" w:eastAsia="仿宋"/>
          <w:b w:val="0"/>
          <w:spacing w:val="-4"/>
          <w:sz w:val="32"/>
          <w:szCs w:val="32"/>
          <w:highlight w:val="none"/>
          <w:lang w:val="en-US" w:eastAsia="zh-CN"/>
        </w:rPr>
        <w:t>。</w:t>
      </w:r>
    </w:p>
    <w:p>
      <w:pPr>
        <w:spacing w:line="560" w:lineRule="exact"/>
        <w:ind w:firstLine="640" w:firstLineChars="200"/>
        <w:rPr>
          <w:rStyle w:val="53"/>
          <w:rFonts w:ascii="Times New Roman" w:hAnsi="Times New Roman" w:cs="Times New Roman"/>
          <w:color w:val="auto"/>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pacing w:line="560" w:lineRule="exact"/>
        <w:ind w:firstLine="642"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rPr>
        <w:t>指标1：</w:t>
      </w:r>
      <w:r>
        <w:rPr>
          <w:rStyle w:val="53"/>
          <w:rFonts w:hint="eastAsia" w:ascii="Times New Roman" w:hAnsi="Times New Roman" w:cs="Times New Roman"/>
          <w:color w:val="auto"/>
          <w:highlight w:val="none"/>
          <w:lang w:val="en-US" w:eastAsia="zh-CN"/>
        </w:rPr>
        <w:t>系统故障修复处理时间，指标值</w:t>
      </w:r>
      <w:r>
        <w:rPr>
          <w:rStyle w:val="53"/>
          <w:rFonts w:hint="eastAsia" w:cs="Times New Roman"/>
          <w:color w:val="auto"/>
          <w:highlight w:val="none"/>
          <w:lang w:val="en-US" w:eastAsia="zh-CN"/>
        </w:rPr>
        <w:t>：</w:t>
      </w:r>
      <w:r>
        <w:rPr>
          <w:rStyle w:val="24"/>
          <w:rFonts w:hint="eastAsia" w:ascii="东文宋体" w:hAnsi="东文宋体" w:eastAsia="东文宋体" w:cs="东文宋体"/>
          <w:b w:val="0"/>
          <w:spacing w:val="-4"/>
          <w:sz w:val="32"/>
          <w:szCs w:val="32"/>
          <w:highlight w:val="none"/>
        </w:rPr>
        <w:t>≤</w:t>
      </w:r>
      <w:r>
        <w:rPr>
          <w:rStyle w:val="53"/>
          <w:rFonts w:hint="eastAsia" w:ascii="Times New Roman" w:hAnsi="Times New Roman" w:cs="Times New Roman"/>
          <w:color w:val="auto"/>
          <w:highlight w:val="none"/>
          <w:lang w:val="en-US" w:eastAsia="zh-CN"/>
        </w:rPr>
        <w:t>3天，实际完成</w:t>
      </w:r>
      <w:r>
        <w:rPr>
          <w:rStyle w:val="53"/>
          <w:rFonts w:hint="eastAsia" w:cs="Times New Roman"/>
          <w:color w:val="auto"/>
          <w:highlight w:val="none"/>
          <w:lang w:val="en-US" w:eastAsia="zh-CN"/>
        </w:rPr>
        <w:t>值：</w:t>
      </w:r>
      <w:r>
        <w:rPr>
          <w:rStyle w:val="53"/>
          <w:rFonts w:hint="eastAsia" w:ascii="Times New Roman" w:hAnsi="Times New Roman" w:cs="Times New Roman"/>
          <w:color w:val="auto"/>
          <w:highlight w:val="none"/>
          <w:lang w:val="en-US" w:eastAsia="zh-CN"/>
        </w:rPr>
        <w:t>3天，</w:t>
      </w:r>
      <w:r>
        <w:rPr>
          <w:rStyle w:val="53"/>
          <w:rFonts w:hint="eastAsia" w:cs="Times New Roman"/>
          <w:color w:val="auto"/>
          <w:highlight w:val="none"/>
          <w:lang w:val="en-US" w:eastAsia="zh-CN"/>
        </w:rPr>
        <w:t>指标</w:t>
      </w:r>
      <w:r>
        <w:rPr>
          <w:rStyle w:val="53"/>
          <w:rFonts w:hint="eastAsia" w:ascii="Times New Roman" w:hAnsi="Times New Roman" w:cs="Times New Roman"/>
          <w:color w:val="auto"/>
          <w:highlight w:val="none"/>
          <w:lang w:val="en-US" w:eastAsia="zh-CN"/>
        </w:rPr>
        <w:t>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before="0" w:after="0" w:line="560" w:lineRule="exact"/>
        <w:ind w:firstLine="642" w:firstLineChars="200"/>
        <w:jc w:val="both"/>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Style w:val="53"/>
          <w:rFonts w:hint="eastAsia" w:ascii="Times New Roman" w:hAnsi="Times New Roman" w:cs="Times New Roman"/>
          <w:b w:val="0"/>
          <w:bCs w:val="0"/>
          <w:color w:val="auto"/>
          <w:highlight w:val="none"/>
          <w:lang w:val="en-US" w:eastAsia="zh-CN"/>
        </w:rPr>
        <w:t>系统运行维护响应时间，指标值：</w:t>
      </w:r>
      <w:r>
        <w:rPr>
          <w:rStyle w:val="24"/>
          <w:rFonts w:hint="eastAsia" w:ascii="东文宋体" w:hAnsi="东文宋体" w:eastAsia="东文宋体" w:cs="东文宋体"/>
          <w:b w:val="0"/>
          <w:bCs w:val="0"/>
          <w:spacing w:val="-4"/>
          <w:sz w:val="32"/>
          <w:szCs w:val="32"/>
          <w:highlight w:val="none"/>
        </w:rPr>
        <w:t>≤</w:t>
      </w:r>
      <w:r>
        <w:rPr>
          <w:rStyle w:val="24"/>
          <w:rFonts w:hint="eastAsia" w:ascii="东文宋体" w:hAnsi="东文宋体" w:eastAsia="东文宋体" w:cs="东文宋体"/>
          <w:b w:val="0"/>
          <w:bCs w:val="0"/>
          <w:spacing w:val="-4"/>
          <w:sz w:val="32"/>
          <w:szCs w:val="32"/>
          <w:highlight w:val="none"/>
          <w:lang w:val="en-US" w:eastAsia="zh-CN"/>
        </w:rPr>
        <w:t>2</w:t>
      </w:r>
      <w:r>
        <w:rPr>
          <w:rStyle w:val="53"/>
          <w:rFonts w:hint="eastAsia" w:ascii="Times New Roman" w:hAnsi="Times New Roman" w:cs="Times New Roman"/>
          <w:b w:val="0"/>
          <w:bCs w:val="0"/>
          <w:color w:val="auto"/>
          <w:highlight w:val="none"/>
          <w:lang w:val="en-US" w:eastAsia="zh-CN"/>
        </w:rPr>
        <w:t>4小时，实际完成值：24小时，指标完成率100%</w:t>
      </w:r>
      <w:r>
        <w:rPr>
          <w:rStyle w:val="53"/>
          <w:rFonts w:hint="eastAsia" w:cs="Times New Roman"/>
          <w:b w:val="0"/>
          <w:bCs w:val="0"/>
          <w:color w:val="auto"/>
          <w:highlight w:val="none"/>
          <w:lang w:val="en-US" w:eastAsia="zh-CN"/>
        </w:rPr>
        <w:t>，</w:t>
      </w:r>
      <w:r>
        <w:rPr>
          <w:rStyle w:val="53"/>
          <w:rFonts w:hint="eastAsia" w:ascii="Times New Roman" w:hAnsi="Times New Roman" w:cs="Times New Roman"/>
          <w:b w:val="0"/>
          <w:bCs w:val="0"/>
          <w:color w:val="auto"/>
          <w:highlight w:val="none"/>
          <w:lang w:val="en-US" w:eastAsia="zh-CN"/>
        </w:rPr>
        <w:t>偏差率0%。</w:t>
      </w:r>
    </w:p>
    <w:p>
      <w:pPr>
        <w:pStyle w:val="2"/>
        <w:spacing w:before="0" w:after="0" w:line="560" w:lineRule="exact"/>
        <w:ind w:firstLine="640" w:firstLineChars="200"/>
        <w:jc w:val="both"/>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 4 \* GB3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④</w:t>
      </w:r>
      <w:r>
        <w:rPr>
          <w:rFonts w:hint="eastAsia" w:ascii="仿宋_GB2312" w:hAnsi="仿宋_GB2312" w:eastAsia="仿宋_GB2312" w:cs="仿宋_GB2312"/>
          <w:b w:val="0"/>
          <w:bCs w:val="0"/>
          <w:sz w:val="32"/>
          <w:szCs w:val="32"/>
          <w:highlight w:val="none"/>
        </w:rPr>
        <w:fldChar w:fldCharType="end"/>
      </w:r>
      <w:r>
        <w:rPr>
          <w:rFonts w:hint="eastAsia" w:ascii="仿宋_GB2312" w:hAnsi="仿宋_GB2312" w:eastAsia="仿宋_GB2312" w:cs="仿宋_GB2312"/>
          <w:b w:val="0"/>
          <w:bCs w:val="0"/>
          <w:sz w:val="32"/>
          <w:szCs w:val="32"/>
          <w:highlight w:val="none"/>
        </w:rPr>
        <w:t>成本指标</w:t>
      </w:r>
      <w:r>
        <w:rPr>
          <w:rFonts w:hint="eastAsia" w:ascii="仿宋_GB2312" w:hAnsi="仿宋_GB2312" w:eastAsia="仿宋_GB2312" w:cs="仿宋_GB2312"/>
          <w:b w:val="0"/>
          <w:bCs w:val="0"/>
          <w:sz w:val="32"/>
          <w:szCs w:val="32"/>
          <w:highlight w:val="none"/>
          <w:lang w:eastAsia="zh-CN"/>
        </w:rPr>
        <w:t>：</w:t>
      </w:r>
    </w:p>
    <w:p>
      <w:pPr>
        <w:spacing w:line="560" w:lineRule="exact"/>
        <w:ind w:firstLine="642" w:firstLineChars="200"/>
        <w:rPr>
          <w:rStyle w:val="53"/>
          <w:rFonts w:hint="eastAsia" w:ascii="Times New Roman" w:hAnsi="Times New Roman" w:cs="Times New Roman"/>
          <w:color w:val="auto"/>
          <w:highlight w:val="none"/>
          <w:lang w:val="en-US" w:eastAsia="zh-CN"/>
        </w:rPr>
      </w:pPr>
      <w:r>
        <w:rPr>
          <w:rFonts w:hint="eastAsia" w:ascii="仿宋_GB2312" w:hAnsi="仿宋_GB2312" w:eastAsia="仿宋_GB2312" w:cs="仿宋_GB2312"/>
          <w:b/>
          <w:bCs/>
          <w:sz w:val="32"/>
          <w:szCs w:val="32"/>
          <w:highlight w:val="none"/>
          <w:lang w:eastAsia="zh-CN"/>
        </w:rPr>
        <w:t>指标</w:t>
      </w:r>
      <w:r>
        <w:rPr>
          <w:rFonts w:hint="eastAsia" w:ascii="仿宋_GB2312" w:hAnsi="仿宋_GB2312" w:eastAsia="仿宋_GB2312" w:cs="仿宋_GB2312"/>
          <w:b/>
          <w:bCs/>
          <w:sz w:val="32"/>
          <w:szCs w:val="32"/>
          <w:highlight w:val="none"/>
          <w:lang w:val="en-US" w:eastAsia="zh-CN"/>
        </w:rPr>
        <w:t>1：</w:t>
      </w:r>
      <w:r>
        <w:rPr>
          <w:rStyle w:val="53"/>
          <w:rFonts w:hint="eastAsia" w:ascii="Times New Roman" w:hAnsi="Times New Roman" w:cs="Times New Roman"/>
          <w:b w:val="0"/>
          <w:bCs w:val="0"/>
          <w:color w:val="auto"/>
          <w:highlight w:val="none"/>
          <w:lang w:val="en-US" w:eastAsia="zh-CN"/>
        </w:rPr>
        <w:t>年度维护成本增长率，指标值：</w:t>
      </w:r>
      <w:r>
        <w:rPr>
          <w:rStyle w:val="24"/>
          <w:rFonts w:hint="eastAsia" w:ascii="东文宋体" w:hAnsi="东文宋体" w:eastAsia="东文宋体" w:cs="东文宋体"/>
          <w:b w:val="0"/>
          <w:bCs/>
          <w:spacing w:val="-4"/>
          <w:sz w:val="32"/>
          <w:szCs w:val="32"/>
          <w:highlight w:val="none"/>
        </w:rPr>
        <w:t>≤</w:t>
      </w:r>
      <w:r>
        <w:rPr>
          <w:rStyle w:val="53"/>
          <w:rFonts w:hint="eastAsia" w:ascii="Times New Roman" w:hAnsi="Times New Roman" w:cs="Times New Roman"/>
          <w:b w:val="0"/>
          <w:bCs w:val="0"/>
          <w:color w:val="auto"/>
          <w:highlight w:val="none"/>
          <w:lang w:val="en-US" w:eastAsia="zh-CN"/>
        </w:rPr>
        <w:t>2%，实际完成值：2%，指标完成率100%</w:t>
      </w:r>
      <w:r>
        <w:rPr>
          <w:rStyle w:val="53"/>
          <w:rFonts w:hint="eastAsia" w:cs="Times New Roman"/>
          <w:color w:val="auto"/>
          <w:highlight w:val="none"/>
          <w:lang w:val="en-US" w:eastAsia="zh-CN"/>
        </w:rPr>
        <w:t>，</w:t>
      </w:r>
      <w:r>
        <w:rPr>
          <w:rStyle w:val="53"/>
          <w:rFonts w:hint="eastAsia" w:ascii="Times New Roman" w:hAnsi="Times New Roman" w:cs="Times New Roman"/>
          <w:color w:val="auto"/>
          <w:highlight w:val="none"/>
          <w:lang w:val="en-US" w:eastAsia="zh-CN"/>
        </w:rPr>
        <w:t>偏差率0%。</w:t>
      </w:r>
    </w:p>
    <w:p>
      <w:pPr>
        <w:pStyle w:val="2"/>
        <w:spacing w:line="560" w:lineRule="exact"/>
        <w:ind w:firstLine="642"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项目效益类指标包括项目实施效益和满意度两方面的内容，由2个三级指标构成，权重分为20分，实际得分20分，得分率为100%。具体效益指标及满意度指标完成情况如下：</w:t>
      </w:r>
    </w:p>
    <w:p>
      <w:pPr>
        <w:spacing w:line="560" w:lineRule="exact"/>
        <w:ind w:firstLine="640" w:firstLineChars="200"/>
        <w:rPr>
          <w:rStyle w:val="53"/>
          <w:rFonts w:ascii="Times New Roman" w:hAnsi="Times New Roman" w:cs="Times New Roman"/>
          <w:color w:val="auto"/>
        </w:rPr>
      </w:pPr>
      <w:r>
        <w:rPr>
          <w:rFonts w:hint="eastAsia" w:ascii="仿宋_GB2312" w:hAnsi="仿宋_GB2312" w:eastAsia="仿宋_GB2312" w:cs="仿宋_GB2312"/>
          <w:sz w:val="32"/>
          <w:szCs w:val="32"/>
          <w:highlight w:val="none"/>
          <w:lang w:val="en-US" w:eastAsia="zh-CN"/>
        </w:rPr>
        <w:t>1.实施效益</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p>
    <w:p>
      <w:pPr>
        <w:spacing w:line="560" w:lineRule="exact"/>
        <w:ind w:firstLine="640" w:firstLineChars="200"/>
        <w:rPr>
          <w:rStyle w:val="53"/>
          <w:rFonts w:hint="eastAsia" w:ascii="Times New Roman" w:hAnsi="Times New Roman" w:cs="Times New Roman"/>
          <w:color w:val="auto"/>
          <w:lang w:eastAsia="zh-CN"/>
        </w:rPr>
      </w:pPr>
      <w:r>
        <w:rPr>
          <w:rFonts w:hint="eastAsia" w:ascii="仿宋_GB2312" w:hAnsi="仿宋_GB2312" w:eastAsia="仿宋_GB2312" w:cs="仿宋_GB2312"/>
          <w:sz w:val="32"/>
          <w:szCs w:val="32"/>
          <w:highlight w:val="none"/>
          <w:lang w:eastAsia="zh-CN"/>
        </w:rPr>
        <w:t>指标</w:t>
      </w:r>
      <w:r>
        <w:rPr>
          <w:rFonts w:hint="eastAsia" w:ascii="仿宋_GB2312" w:hAnsi="仿宋_GB2312" w:eastAsia="仿宋_GB2312" w:cs="仿宋_GB2312"/>
          <w:sz w:val="32"/>
          <w:szCs w:val="32"/>
          <w:highlight w:val="none"/>
          <w:lang w:val="en-US" w:eastAsia="zh-CN"/>
        </w:rPr>
        <w:t>1：</w:t>
      </w:r>
      <w:r>
        <w:rPr>
          <w:rStyle w:val="53"/>
          <w:rFonts w:hint="eastAsia" w:ascii="Times New Roman" w:hAnsi="Times New Roman" w:cs="Times New Roman"/>
          <w:color w:val="auto"/>
        </w:rPr>
        <w:t>减少对守法企业的干扰</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，实际完成</w:t>
      </w:r>
      <w:r>
        <w:rPr>
          <w:rStyle w:val="53"/>
          <w:rFonts w:hint="eastAsia" w:cs="Times New Roman"/>
          <w:color w:val="auto"/>
          <w:lang w:val="en-US" w:eastAsia="zh-CN"/>
        </w:rPr>
        <w:t>值：</w:t>
      </w:r>
      <w:r>
        <w:rPr>
          <w:rStyle w:val="53"/>
          <w:rFonts w:hint="eastAsia" w:ascii="Times New Roman" w:hAnsi="Times New Roman" w:cs="Times New Roman"/>
          <w:color w:val="auto"/>
          <w:lang w:eastAsia="zh-CN"/>
        </w:rPr>
        <w:t>持续减少</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2.满意度</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sz w:val="32"/>
          <w:szCs w:val="32"/>
          <w:highlight w:val="none"/>
          <w:lang w:val="en-US" w:eastAsia="zh-CN"/>
        </w:rPr>
        <w:t>满意度指标：</w:t>
      </w:r>
    </w:p>
    <w:p>
      <w:pPr>
        <w:spacing w:line="560" w:lineRule="exact"/>
        <w:ind w:firstLine="640" w:firstLineChars="200"/>
        <w:rPr>
          <w:rStyle w:val="53"/>
          <w:rFonts w:hint="eastAsia" w:ascii="Times New Roman" w:hAnsi="Times New Roman" w:cs="Times New Roman"/>
          <w:color w:val="auto"/>
          <w:lang w:val="en-US" w:eastAsia="zh-CN"/>
        </w:rPr>
      </w:pPr>
      <w:r>
        <w:rPr>
          <w:rFonts w:hint="eastAsia" w:ascii="仿宋_GB2312" w:hAnsi="仿宋_GB2312" w:eastAsia="仿宋_GB2312" w:cs="仿宋_GB2312"/>
          <w:b w:val="0"/>
          <w:bCs w:val="0"/>
          <w:sz w:val="32"/>
          <w:szCs w:val="32"/>
          <w:highlight w:val="none"/>
        </w:rPr>
        <w:t>指标</w:t>
      </w:r>
      <w:r>
        <w:rPr>
          <w:rFonts w:hint="eastAsia" w:ascii="仿宋_GB2312" w:hAnsi="仿宋_GB2312" w:eastAsia="仿宋_GB2312" w:cs="仿宋_GB2312"/>
          <w:b w:val="0"/>
          <w:bCs w:val="0"/>
          <w:sz w:val="32"/>
          <w:szCs w:val="32"/>
          <w:highlight w:val="none"/>
          <w:lang w:val="en-US" w:eastAsia="zh-CN"/>
        </w:rPr>
        <w:t>1</w:t>
      </w:r>
      <w:r>
        <w:rPr>
          <w:rStyle w:val="53"/>
          <w:rFonts w:hint="eastAsia" w:ascii="Times New Roman" w:hAnsi="Times New Roman" w:cs="Times New Roman"/>
          <w:b w:val="0"/>
          <w:bCs w:val="0"/>
          <w:color w:val="auto"/>
          <w:lang w:val="en-US" w:eastAsia="zh-CN"/>
        </w:rPr>
        <w:t>：</w:t>
      </w:r>
      <w:r>
        <w:rPr>
          <w:rStyle w:val="53"/>
          <w:rFonts w:hint="eastAsia" w:ascii="Times New Roman" w:hAnsi="Times New Roman" w:cs="Times New Roman"/>
          <w:color w:val="auto"/>
        </w:rPr>
        <w:t>使用人员满意度</w:t>
      </w:r>
      <w:r>
        <w:rPr>
          <w:rStyle w:val="53"/>
          <w:rFonts w:hint="eastAsia" w:ascii="Times New Roman" w:hAnsi="Times New Roman" w:cs="Times New Roman"/>
          <w:color w:val="auto"/>
          <w:lang w:val="en-US" w:eastAsia="zh-CN"/>
        </w:rPr>
        <w:t>，指标值</w:t>
      </w:r>
      <w:r>
        <w:rPr>
          <w:rStyle w:val="53"/>
          <w:rFonts w:hint="eastAsia" w:cs="Times New Roman"/>
          <w:color w:val="auto"/>
          <w:lang w:val="en-US" w:eastAsia="zh-CN"/>
        </w:rPr>
        <w:t>：</w:t>
      </w:r>
      <w:r>
        <w:rPr>
          <w:rStyle w:val="24"/>
          <w:rFonts w:hint="eastAsia" w:ascii="东文宋体" w:hAnsi="东文宋体" w:eastAsia="东文宋体" w:cs="东文宋体"/>
          <w:b w:val="0"/>
          <w:spacing w:val="-4"/>
          <w:sz w:val="32"/>
          <w:szCs w:val="32"/>
        </w:rPr>
        <w:t>≥</w:t>
      </w:r>
      <w:r>
        <w:rPr>
          <w:rStyle w:val="53"/>
          <w:rFonts w:hint="eastAsia" w:ascii="Times New Roman" w:hAnsi="Times New Roman" w:cs="Times New Roman"/>
          <w:color w:val="auto"/>
          <w:lang w:val="en-US" w:eastAsia="zh-CN"/>
        </w:rPr>
        <w:t>95%，实际完成</w:t>
      </w:r>
      <w:r>
        <w:rPr>
          <w:rStyle w:val="53"/>
          <w:rFonts w:hint="eastAsia" w:cs="Times New Roman"/>
          <w:color w:val="auto"/>
          <w:lang w:val="en-US" w:eastAsia="zh-CN"/>
        </w:rPr>
        <w:t>值：</w:t>
      </w:r>
      <w:r>
        <w:rPr>
          <w:rStyle w:val="24"/>
          <w:rFonts w:hint="eastAsia" w:ascii="东文宋体" w:hAnsi="东文宋体" w:eastAsia="东文宋体" w:cs="东文宋体"/>
          <w:b w:val="0"/>
          <w:spacing w:val="-4"/>
          <w:sz w:val="32"/>
          <w:szCs w:val="32"/>
          <w:lang w:val="en-US" w:eastAsia="zh-CN"/>
        </w:rPr>
        <w:t>95</w:t>
      </w:r>
      <w:r>
        <w:rPr>
          <w:rStyle w:val="53"/>
          <w:rFonts w:hint="eastAsia" w:ascii="Times New Roman" w:hAnsi="Times New Roman" w:cs="Times New Roman"/>
          <w:color w:val="auto"/>
          <w:lang w:val="en-US" w:eastAsia="zh-CN"/>
        </w:rPr>
        <w:t>%，</w:t>
      </w:r>
      <w:r>
        <w:rPr>
          <w:rStyle w:val="53"/>
          <w:rFonts w:hint="eastAsia" w:cs="Times New Roman"/>
          <w:color w:val="auto"/>
          <w:lang w:val="en-US" w:eastAsia="zh-CN"/>
        </w:rPr>
        <w:t>指标</w:t>
      </w:r>
      <w:r>
        <w:rPr>
          <w:rStyle w:val="53"/>
          <w:rFonts w:hint="eastAsia" w:ascii="Times New Roman" w:hAnsi="Times New Roman" w:cs="Times New Roman"/>
          <w:color w:val="auto"/>
          <w:lang w:val="en-US" w:eastAsia="zh-CN"/>
        </w:rPr>
        <w:t>完成率100%</w:t>
      </w:r>
      <w:r>
        <w:rPr>
          <w:rStyle w:val="53"/>
          <w:rFonts w:hint="eastAsia" w:cs="Times New Roman"/>
          <w:color w:val="auto"/>
          <w:lang w:val="en-US" w:eastAsia="zh-CN"/>
        </w:rPr>
        <w:t>，</w:t>
      </w:r>
      <w:r>
        <w:rPr>
          <w:rStyle w:val="53"/>
          <w:rFonts w:hint="eastAsia" w:ascii="Times New Roman" w:hAnsi="Times New Roman" w:cs="Times New Roman"/>
          <w:color w:val="auto"/>
          <w:lang w:val="en-US" w:eastAsia="zh-CN"/>
        </w:rPr>
        <w:t>偏差率</w:t>
      </w:r>
      <w:r>
        <w:rPr>
          <w:rStyle w:val="53"/>
          <w:rFonts w:hint="eastAsia" w:ascii="Times New Roman" w:hAnsi="Times New Roman" w:cs="Times New Roman"/>
          <w:color w:val="auto"/>
          <w:highlight w:val="none"/>
          <w:lang w:val="en-US" w:eastAsia="zh-CN"/>
        </w:rPr>
        <w:t>0%</w:t>
      </w:r>
      <w:r>
        <w:rPr>
          <w:rStyle w:val="53"/>
          <w:rFonts w:hint="eastAsia" w:ascii="Times New Roman" w:hAnsi="Times New Roman" w:cs="Times New Roman"/>
          <w:color w:val="auto"/>
          <w:lang w:val="en-US" w:eastAsia="zh-CN"/>
        </w:rPr>
        <w:t>。</w:t>
      </w:r>
    </w:p>
    <w:p>
      <w:pPr>
        <w:spacing w:line="560" w:lineRule="exact"/>
        <w:ind w:firstLine="640" w:firstLineChars="200"/>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生态环境执法信息系统维护项目项目年初预算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万元，全年预算</w:t>
      </w:r>
      <w:r>
        <w:rPr>
          <w:rFonts w:hint="default" w:ascii="Times New Roman" w:hAnsi="Times New Roman" w:eastAsia="仿宋_GB2312" w:cs="Times New Roman"/>
          <w:sz w:val="32"/>
          <w:szCs w:val="32"/>
          <w:lang w:val="en-US" w:eastAsia="zh-CN"/>
        </w:rPr>
        <w:t>143</w:t>
      </w:r>
      <w:r>
        <w:rPr>
          <w:rFonts w:hint="default" w:ascii="Times New Roman" w:hAnsi="Times New Roman" w:eastAsia="仿宋_GB2312" w:cs="Times New Roman"/>
          <w:sz w:val="32"/>
          <w:szCs w:val="32"/>
        </w:rPr>
        <w:t>万元，实际支出</w:t>
      </w:r>
      <w:r>
        <w:rPr>
          <w:rFonts w:hint="default" w:ascii="Times New Roman" w:hAnsi="Times New Roman" w:eastAsia="仿宋_GB2312" w:cs="Times New Roman"/>
          <w:sz w:val="32"/>
          <w:szCs w:val="32"/>
          <w:lang w:val="en-US" w:eastAsia="zh-CN"/>
        </w:rPr>
        <w:t>142.2</w:t>
      </w:r>
      <w:r>
        <w:rPr>
          <w:rFonts w:hint="default" w:ascii="Times New Roman" w:hAnsi="Times New Roman" w:eastAsia="仿宋_GB2312" w:cs="Times New Roman"/>
          <w:sz w:val="32"/>
          <w:szCs w:val="32"/>
        </w:rPr>
        <w:t>万元，预算执行率为</w:t>
      </w:r>
      <w:r>
        <w:rPr>
          <w:rFonts w:hint="default" w:ascii="Times New Roman" w:hAnsi="Times New Roman" w:eastAsia="仿宋_GB2312" w:cs="Times New Roman"/>
          <w:sz w:val="32"/>
          <w:szCs w:val="32"/>
          <w:lang w:val="en-US" w:eastAsia="zh-CN"/>
        </w:rPr>
        <w:t>99.44</w:t>
      </w:r>
      <w:r>
        <w:rPr>
          <w:rFonts w:hint="default" w:ascii="Times New Roman" w:hAnsi="Times New Roman" w:eastAsia="仿宋_GB2312" w:cs="Times New Roman"/>
          <w:sz w:val="32"/>
          <w:szCs w:val="32"/>
        </w:rPr>
        <w:t>%，项目绩效指标总体完成率为</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default" w:ascii="Times New Roman" w:hAnsi="Times New Roman" w:eastAsia="仿宋_GB2312" w:cs="Times New Roman"/>
          <w:sz w:val="32"/>
          <w:szCs w:val="32"/>
          <w:lang w:val="en-US" w:eastAsia="zh-CN"/>
        </w:rPr>
        <w:t>0.56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偏差</w:t>
      </w:r>
      <w:r>
        <w:rPr>
          <w:rFonts w:hint="default" w:ascii="Times New Roman" w:hAnsi="Times New Roman" w:eastAsia="仿宋_GB2312" w:cs="Times New Roman"/>
          <w:sz w:val="32"/>
          <w:szCs w:val="32"/>
        </w:rPr>
        <w:t>原因</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预算未执行完毕</w:t>
      </w:r>
      <w:r>
        <w:rPr>
          <w:rFonts w:hint="default" w:ascii="Times New Roman" w:hAnsi="Times New Roman" w:eastAsia="仿宋_GB2312" w:cs="Times New Roman"/>
          <w:sz w:val="32"/>
          <w:szCs w:val="32"/>
          <w:lang w:eastAsia="zh-CN"/>
        </w:rPr>
        <w:t>。改进</w:t>
      </w:r>
      <w:r>
        <w:rPr>
          <w:rFonts w:hint="default" w:ascii="Times New Roman" w:hAnsi="Times New Roman" w:eastAsia="仿宋_GB2312" w:cs="Times New Roman"/>
          <w:sz w:val="32"/>
          <w:szCs w:val="32"/>
        </w:rPr>
        <w:t>措施</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加强预算编制，完善预算精准控制支出</w:t>
      </w:r>
      <w:r>
        <w:rPr>
          <w:rFonts w:hint="default" w:ascii="Times New Roman" w:hAnsi="Times New Roman" w:eastAsia="仿宋_GB2312" w:cs="Times New Roman"/>
          <w:sz w:val="32"/>
          <w:szCs w:val="32"/>
        </w:rPr>
        <w:t>。</w:t>
      </w:r>
    </w:p>
    <w:p>
      <w:pPr>
        <w:spacing w:line="560" w:lineRule="exact"/>
        <w:ind w:firstLine="640" w:firstLineChars="200"/>
        <w:rPr>
          <w:rStyle w:val="53"/>
          <w:rFonts w:ascii="Times New Roman" w:hAnsi="Times New Roman" w:cs="Times New Roman"/>
          <w:color w:val="auto"/>
        </w:rPr>
      </w:pPr>
      <w:r>
        <w:rPr>
          <w:rFonts w:hint="eastAsia" w:eastAsia="黑体"/>
          <w:sz w:val="32"/>
          <w:szCs w:val="32"/>
          <w:lang w:eastAsia="zh-CN"/>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lang w:eastAsia="zh-CN"/>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hint="eastAsia"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1.对绩效管理工作重视程度还不够，简单认为绩效管理工作是财务部门的工作。</w:t>
      </w:r>
    </w:p>
    <w:p>
      <w:pPr>
        <w:pStyle w:val="2"/>
        <w:spacing w:before="0" w:after="0" w:line="560" w:lineRule="exact"/>
        <w:ind w:firstLine="640" w:firstLineChars="200"/>
        <w:jc w:val="both"/>
        <w:rPr>
          <w:rFonts w:hint="eastAsia" w:ascii="Times New Roman" w:hAnsi="Times New Roman" w:eastAsia="仿宋_GB2312"/>
          <w:b w:val="0"/>
          <w:bCs w:val="0"/>
          <w:kern w:val="2"/>
          <w:lang w:val="en-US" w:eastAsia="zh-CN"/>
        </w:rPr>
      </w:pPr>
      <w:r>
        <w:rPr>
          <w:rFonts w:hint="eastAsia" w:ascii="Times New Roman" w:hAnsi="Times New Roman" w:eastAsia="仿宋_GB2312"/>
          <w:b w:val="0"/>
          <w:bCs w:val="0"/>
          <w:kern w:val="2"/>
          <w:lang w:val="en-US" w:eastAsia="zh-CN"/>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lang w:val="en-US" w:eastAsia="zh-CN"/>
        </w:rPr>
        <w:t>3.绩效指标的设置中有些指标一味看重完成时限。</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七、</w:t>
      </w:r>
      <w:r>
        <w:rPr>
          <w:rFonts w:eastAsia="黑体"/>
          <w:sz w:val="32"/>
          <w:szCs w:val="32"/>
        </w:rPr>
        <w:t>有关建议</w:t>
      </w:r>
    </w:p>
    <w:p>
      <w:pPr>
        <w:spacing w:line="560" w:lineRule="exact"/>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lang w:eastAsia="zh-CN"/>
        </w:rPr>
        <w:t>建议财政部门明确各单位绩效管理部门及确权，我单位财务部门对单位业务工作掌握甚少，人员有限，我单位将绩效管理工作放置财务部们，导致个别指标设置与业务部门工作产生冲突。无法对指标控制。</w:t>
      </w:r>
    </w:p>
    <w:p>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1"/>
          <w:numId w:val="0"/>
        </w:numPr>
        <w:spacing w:line="560" w:lineRule="exact"/>
        <w:ind w:firstLine="640" w:firstLineChars="200"/>
        <w:rPr>
          <w:rFonts w:eastAsia="黑体"/>
          <w:sz w:val="32"/>
          <w:szCs w:val="32"/>
        </w:rPr>
      </w:pPr>
      <w:r>
        <w:rPr>
          <w:rFonts w:hint="eastAsia" w:eastAsia="黑体"/>
          <w:sz w:val="32"/>
          <w:szCs w:val="32"/>
          <w:lang w:eastAsia="zh-CN"/>
        </w:rPr>
        <w:t>八、</w:t>
      </w:r>
      <w:r>
        <w:rPr>
          <w:rFonts w:eastAsia="黑体"/>
          <w:sz w:val="32"/>
          <w:szCs w:val="32"/>
        </w:rPr>
        <w:t>其他需要说</w:t>
      </w:r>
      <w:bookmarkStart w:id="1" w:name="page8"/>
      <w:bookmarkEnd w:id="1"/>
      <w:r>
        <w:rPr>
          <w:rFonts w:eastAsia="黑体"/>
          <w:sz w:val="32"/>
          <w:szCs w:val="32"/>
        </w:rPr>
        <w:t>明的问题</w:t>
      </w:r>
    </w:p>
    <w:p>
      <w:pPr>
        <w:spacing w:line="560" w:lineRule="exact"/>
        <w:ind w:firstLine="640" w:firstLineChars="200"/>
        <w:rPr>
          <w:rFonts w:hint="eastAsia" w:ascii="仿宋_GB2312" w:hAnsi="仿宋_GB2312" w:eastAsia="仿宋_GB2312" w:cs="仿宋_GB2312"/>
          <w:b w:val="0"/>
          <w:kern w:val="2"/>
          <w:sz w:val="32"/>
          <w:szCs w:val="28"/>
          <w:lang w:bidi="ar"/>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28"/>
        </w:rPr>
        <w:t>无。</w:t>
      </w:r>
    </w:p>
    <w:tbl>
      <w:tblPr>
        <w:tblStyle w:val="22"/>
        <w:tblW w:w="8834" w:type="dxa"/>
        <w:tblInd w:w="0" w:type="dxa"/>
        <w:tblLayout w:type="autofit"/>
        <w:tblCellMar>
          <w:top w:w="0" w:type="dxa"/>
          <w:left w:w="0" w:type="dxa"/>
          <w:bottom w:w="0" w:type="dxa"/>
          <w:right w:w="0" w:type="dxa"/>
        </w:tblCellMar>
      </w:tblPr>
      <w:tblGrid>
        <w:gridCol w:w="798"/>
        <w:gridCol w:w="984"/>
        <w:gridCol w:w="1430"/>
        <w:gridCol w:w="1523"/>
        <w:gridCol w:w="1268"/>
        <w:gridCol w:w="1348"/>
        <w:gridCol w:w="1483"/>
      </w:tblGrid>
      <w:tr>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项目名称</w:t>
            </w:r>
          </w:p>
        </w:tc>
        <w:tc>
          <w:tcPr>
            <w:tcW w:w="705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rPr>
              <w:t>生态环境执法信息系统维护项目</w:t>
            </w:r>
          </w:p>
        </w:tc>
      </w:tr>
      <w:tr>
        <w:tblPrEx>
          <w:tblCellMar>
            <w:top w:w="0" w:type="dxa"/>
            <w:left w:w="0" w:type="dxa"/>
            <w:bottom w:w="0" w:type="dxa"/>
            <w:right w:w="0" w:type="dxa"/>
          </w:tblCellMar>
        </w:tblPrEx>
        <w:trPr>
          <w:trHeight w:val="276" w:hRule="atLeast"/>
        </w:trPr>
        <w:tc>
          <w:tcPr>
            <w:tcW w:w="178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主管部门</w:t>
            </w:r>
          </w:p>
        </w:tc>
        <w:tc>
          <w:tcPr>
            <w:tcW w:w="4221"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rFonts w:hint="eastAsia" w:ascii="宋体" w:hAnsi="宋体" w:eastAsia="宋体" w:cs="宋体"/>
                <w:kern w:val="0"/>
                <w:sz w:val="18"/>
                <w:szCs w:val="18"/>
                <w:lang w:eastAsia="zh-CN"/>
              </w:rPr>
              <w:t>新疆维吾尔自治区生态环境厅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r>
              <w:rPr>
                <w:rFonts w:hint="eastAsia" w:ascii="宋体" w:hAnsi="宋体" w:eastAsia="宋体" w:cs="宋体"/>
                <w:kern w:val="0"/>
                <w:sz w:val="18"/>
                <w:szCs w:val="18"/>
                <w:lang w:eastAsia="zh-CN"/>
              </w:rPr>
              <w:t>新疆维吾尔自治区生态环境保护综合行政执法局</w:t>
            </w:r>
          </w:p>
        </w:tc>
      </w:tr>
      <w:tr>
        <w:tblPrEx>
          <w:tblCellMar>
            <w:top w:w="0" w:type="dxa"/>
            <w:left w:w="0" w:type="dxa"/>
            <w:bottom w:w="0" w:type="dxa"/>
            <w:right w:w="0" w:type="dxa"/>
          </w:tblCellMar>
        </w:tblPrEx>
        <w:trPr>
          <w:trHeight w:val="276" w:hRule="atLeast"/>
        </w:trPr>
        <w:tc>
          <w:tcPr>
            <w:tcW w:w="1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项目资金</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年初预算数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执行率</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kern w:val="0"/>
                <w:sz w:val="18"/>
                <w:szCs w:val="18"/>
                <w:lang w:bidi="ar"/>
              </w:rPr>
              <w:t>年度资金总额</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其中：当年财政拨款</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143</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142.2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99.44%</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上年结转资金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1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 xml:space="preserve">  其他资金</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eastAsia="宋体"/>
                <w:sz w:val="18"/>
                <w:szCs w:val="18"/>
                <w:lang w:val="en-US" w:eastAsia="zh-CN"/>
              </w:rPr>
            </w:pPr>
            <w:r>
              <w:rPr>
                <w:rFonts w:hint="eastAsia"/>
                <w:sz w:val="18"/>
                <w:szCs w:val="18"/>
                <w:lang w:val="en-US" w:eastAsia="zh-CN"/>
              </w:rPr>
              <w:t>0</w:t>
            </w:r>
          </w:p>
        </w:tc>
      </w:tr>
      <w:tr>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实际完成情况</w:t>
            </w:r>
          </w:p>
        </w:tc>
      </w:tr>
      <w:tr>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sz w:val="18"/>
                <w:szCs w:val="18"/>
              </w:rPr>
            </w:pPr>
            <w:r>
              <w:rPr>
                <w:rFonts w:hint="eastAsia" w:ascii="宋体" w:hAnsi="宋体" w:eastAsia="宋体" w:cs="宋体"/>
                <w:kern w:val="0"/>
                <w:sz w:val="18"/>
                <w:szCs w:val="18"/>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r>
              <w:rPr>
                <w:rFonts w:hint="eastAsia" w:ascii="宋体" w:hAnsi="宋体" w:eastAsia="宋体" w:cs="宋体"/>
                <w:kern w:val="0"/>
                <w:sz w:val="18"/>
                <w:szCs w:val="18"/>
                <w:lang w:val="en-US" w:eastAsia="zh-CN"/>
              </w:rPr>
              <w:t>2023</w:t>
            </w:r>
            <w:r>
              <w:rPr>
                <w:rFonts w:hint="eastAsia" w:ascii="宋体" w:hAnsi="宋体" w:eastAsia="宋体" w:cs="宋体"/>
                <w:kern w:val="0"/>
                <w:sz w:val="18"/>
                <w:szCs w:val="18"/>
              </w:rPr>
              <w:t>年按项目内容签订相关系统维护合同，对我局生态环境保护综合行政执法工作提供了行之有效的帮助，为202</w:t>
            </w:r>
            <w:r>
              <w:rPr>
                <w:rFonts w:hint="eastAsia" w:ascii="宋体" w:hAnsi="宋体" w:eastAsia="宋体" w:cs="宋体"/>
                <w:kern w:val="0"/>
                <w:sz w:val="18"/>
                <w:szCs w:val="18"/>
                <w:lang w:val="en-US" w:eastAsia="zh-CN"/>
              </w:rPr>
              <w:t>3</w:t>
            </w:r>
            <w:r>
              <w:rPr>
                <w:rFonts w:hint="eastAsia" w:ascii="宋体" w:hAnsi="宋体" w:eastAsia="宋体" w:cs="宋体"/>
                <w:kern w:val="0"/>
                <w:sz w:val="18"/>
                <w:szCs w:val="18"/>
              </w:rPr>
              <w:t>年</w:t>
            </w:r>
            <w:r>
              <w:rPr>
                <w:rFonts w:hint="eastAsia" w:ascii="宋体" w:hAnsi="宋体" w:eastAsia="宋体" w:cs="宋体"/>
                <w:kern w:val="0"/>
                <w:sz w:val="18"/>
                <w:szCs w:val="18"/>
                <w:lang w:eastAsia="zh-CN"/>
              </w:rPr>
              <w:t>推进</w:t>
            </w:r>
            <w:r>
              <w:rPr>
                <w:rFonts w:hint="eastAsia" w:ascii="宋体" w:hAnsi="宋体" w:eastAsia="宋体" w:cs="宋体"/>
                <w:kern w:val="0"/>
                <w:sz w:val="18"/>
                <w:szCs w:val="18"/>
              </w:rPr>
              <w:t>生态环境保护综合行政执法的非现场监管执法工作开展提供了坚强有力的保障。举报平台的维护优化，保障了人民群众投诉需求，缓解环境信访投诉矛盾。</w:t>
            </w:r>
            <w:r>
              <w:rPr>
                <w:rFonts w:hint="eastAsia" w:ascii="宋体" w:hAnsi="宋体" w:eastAsia="宋体" w:cs="宋体"/>
                <w:kern w:val="0"/>
                <w:sz w:val="18"/>
                <w:szCs w:val="18"/>
                <w:lang w:eastAsia="zh-CN"/>
              </w:rPr>
              <w:t>电子档案系统对生态环境行政处罚案件归档提供了有力支撑。</w:t>
            </w:r>
          </w:p>
        </w:tc>
      </w:tr>
      <w:tr>
        <w:tblPrEx>
          <w:tblCellMar>
            <w:top w:w="0" w:type="dxa"/>
            <w:left w:w="0" w:type="dxa"/>
            <w:bottom w:w="0" w:type="dxa"/>
            <w:right w:w="0" w:type="dxa"/>
          </w:tblCellMar>
        </w:tblPrEx>
        <w:trPr>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绩效指标</w:t>
            </w: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一级指标</w:t>
            </w:r>
          </w:p>
        </w:tc>
        <w:tc>
          <w:tcPr>
            <w:tcW w:w="143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二级指标</w:t>
            </w: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三级指标</w:t>
            </w:r>
          </w:p>
        </w:tc>
        <w:tc>
          <w:tcPr>
            <w:tcW w:w="126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偏差原因分析及改进措施</w:t>
            </w:r>
          </w:p>
        </w:tc>
      </w:tr>
      <w:tr>
        <w:tblPrEx>
          <w:tblCellMar>
            <w:top w:w="0" w:type="dxa"/>
            <w:left w:w="0" w:type="dxa"/>
            <w:bottom w:w="0" w:type="dxa"/>
            <w:right w:w="0" w:type="dxa"/>
          </w:tblCellMar>
        </w:tblPrEx>
        <w:trPr>
          <w:trHeight w:val="40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2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数量指标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维护系统数量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5个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产出指标</w:t>
            </w: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维护应用程序数量</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highlight w:val="none"/>
              </w:rPr>
            </w:pPr>
            <w:r>
              <w:rPr>
                <w:rFonts w:hint="eastAsia" w:ascii="东文宋体" w:hAnsi="东文宋体" w:eastAsia="东文宋体" w:cs="东文宋体"/>
                <w:i w:val="0"/>
                <w:color w:val="000000"/>
                <w:kern w:val="0"/>
                <w:sz w:val="16"/>
                <w:szCs w:val="16"/>
                <w:highlight w:val="none"/>
                <w:u w:val="none"/>
                <w:lang w:val="en-US" w:eastAsia="zh-CN" w:bidi="ar"/>
              </w:rPr>
              <w:t>≥</w:t>
            </w:r>
            <w:r>
              <w:rPr>
                <w:rFonts w:hint="eastAsia" w:ascii="宋体" w:hAnsi="宋体" w:eastAsia="宋体" w:cs="宋体"/>
                <w:i w:val="0"/>
                <w:color w:val="000000"/>
                <w:kern w:val="0"/>
                <w:sz w:val="16"/>
                <w:szCs w:val="16"/>
                <w:highlight w:val="none"/>
                <w:u w:val="none"/>
                <w:lang w:val="en-US" w:eastAsia="zh-CN" w:bidi="ar"/>
              </w:rPr>
              <w:t>3个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质量指标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故障修复验收合格率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87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系统故障率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=5%</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时效指标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系统故障修复处理时间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3天</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=3天</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系统运行维护响应时间</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宋体" w:hAnsi="宋体" w:eastAsia="宋体" w:cs="宋体"/>
                <w:kern w:val="0"/>
                <w:sz w:val="18"/>
                <w:szCs w:val="18"/>
                <w:lang w:val="en-US" w:eastAsia="zh-CN" w:bidi="ar-SA"/>
              </w:rPr>
            </w:pPr>
            <w:r>
              <w:rPr>
                <w:rFonts w:hint="eastAsia" w:ascii="东文宋体" w:hAnsi="东文宋体" w:eastAsia="东文宋体" w:cs="东文宋体"/>
                <w:i w:val="0"/>
                <w:color w:val="000000"/>
                <w:kern w:val="0"/>
                <w:sz w:val="16"/>
                <w:szCs w:val="16"/>
                <w:u w:val="none"/>
                <w:lang w:val="en-US" w:eastAsia="zh-CN" w:bidi="ar"/>
              </w:rPr>
              <w:t>≤</w:t>
            </w:r>
            <w:r>
              <w:rPr>
                <w:rFonts w:hint="eastAsia" w:ascii="宋体" w:hAnsi="宋体" w:eastAsia="宋体" w:cs="宋体"/>
                <w:i w:val="0"/>
                <w:color w:val="000000"/>
                <w:kern w:val="0"/>
                <w:sz w:val="16"/>
                <w:szCs w:val="16"/>
                <w:u w:val="none"/>
                <w:lang w:val="en-US" w:eastAsia="zh-CN" w:bidi="ar"/>
              </w:rPr>
              <w:t>24小时</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=24小时</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5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成本指标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年度维护成本增长率</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sz w:val="18"/>
                <w:szCs w:val="18"/>
              </w:rPr>
            </w:pPr>
            <w:r>
              <w:rPr>
                <w:rFonts w:hint="eastAsia" w:ascii="东文宋体" w:hAnsi="东文宋体" w:eastAsia="东文宋体" w:cs="东文宋体"/>
                <w:kern w:val="0"/>
                <w:sz w:val="18"/>
                <w:szCs w:val="18"/>
                <w:lang w:val="en-US" w:eastAsia="zh-CN"/>
              </w:rPr>
              <w:t>≤</w:t>
            </w:r>
            <w:r>
              <w:rPr>
                <w:rFonts w:hint="eastAsia" w:ascii="宋体" w:hAnsi="宋体" w:eastAsia="宋体" w:cs="宋体"/>
                <w:kern w:val="0"/>
                <w:sz w:val="18"/>
                <w:szCs w:val="18"/>
                <w:lang w:val="en-US" w:eastAsia="zh-CN"/>
              </w:rPr>
              <w:t>2%</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=2%</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效益指标</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sz w:val="18"/>
                <w:szCs w:val="18"/>
              </w:rPr>
              <w:t>社会效益指标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经济效益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减少对守法企业的干扰</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持续减少</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生态效益</w:t>
            </w:r>
            <w:r>
              <w:rPr>
                <w:sz w:val="18"/>
                <w:szCs w:val="18"/>
              </w:rPr>
              <w:t>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6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kern w:val="0"/>
                <w:sz w:val="18"/>
                <w:szCs w:val="18"/>
                <w:lang w:bidi="ar"/>
              </w:rPr>
            </w:pPr>
            <w:r>
              <w:rPr>
                <w:kern w:val="0"/>
                <w:sz w:val="18"/>
                <w:szCs w:val="18"/>
                <w:lang w:bidi="ar"/>
              </w:rPr>
              <w:t>可持续影响指标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sz w:val="18"/>
                <w:szCs w:val="18"/>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r>
        <w:tblPrEx>
          <w:tblCellMar>
            <w:top w:w="0" w:type="dxa"/>
            <w:left w:w="0" w:type="dxa"/>
            <w:bottom w:w="0" w:type="dxa"/>
            <w:right w:w="0" w:type="dxa"/>
          </w:tblCellMar>
        </w:tblPrEx>
        <w:trPr>
          <w:trHeight w:val="43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满意度</w:t>
            </w:r>
          </w:p>
        </w:tc>
        <w:tc>
          <w:tcPr>
            <w:tcW w:w="143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sz w:val="18"/>
                <w:szCs w:val="18"/>
              </w:rPr>
            </w:pPr>
            <w:r>
              <w:rPr>
                <w:kern w:val="0"/>
                <w:sz w:val="18"/>
                <w:szCs w:val="18"/>
                <w:lang w:bidi="ar"/>
              </w:rPr>
              <w:t>服务对象满意度指标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left"/>
              <w:rPr>
                <w:sz w:val="18"/>
                <w:szCs w:val="18"/>
              </w:rPr>
            </w:pPr>
            <w:r>
              <w:rPr>
                <w:rFonts w:hint="eastAsia" w:ascii="宋体" w:hAnsi="宋体" w:eastAsia="宋体" w:cs="宋体"/>
                <w:color w:val="000000"/>
                <w:kern w:val="0"/>
                <w:sz w:val="18"/>
                <w:szCs w:val="18"/>
              </w:rPr>
              <w:t>使用人员满意度</w:t>
            </w:r>
          </w:p>
        </w:tc>
        <w:tc>
          <w:tcPr>
            <w:tcW w:w="126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default" w:ascii="Arial" w:hAnsi="Arial" w:eastAsia="宋体" w:cs="Arial"/>
                <w:kern w:val="0"/>
                <w:sz w:val="18"/>
                <w:szCs w:val="18"/>
                <w:lang w:val="en-US" w:eastAsia="zh-CN"/>
              </w:rPr>
              <w:t>≧</w:t>
            </w:r>
            <w:r>
              <w:rPr>
                <w:rFonts w:hint="eastAsia" w:ascii="宋体" w:hAnsi="宋体" w:eastAsia="宋体" w:cs="宋体"/>
                <w:kern w:val="0"/>
                <w:sz w:val="18"/>
                <w:szCs w:val="18"/>
                <w:lang w:val="en-US" w:eastAsia="zh-CN"/>
              </w:rPr>
              <w: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pacing w:line="240" w:lineRule="exact"/>
              <w:jc w:val="center"/>
              <w:rPr>
                <w:sz w:val="18"/>
                <w:szCs w:val="18"/>
              </w:rPr>
            </w:pPr>
            <w:r>
              <w:rPr>
                <w:rFonts w:hint="eastAsia" w:ascii="宋体" w:hAnsi="宋体" w:eastAsia="宋体" w:cs="宋体"/>
                <w:kern w:val="0"/>
                <w:sz w:val="18"/>
                <w:szCs w:val="18"/>
                <w:lang w:val="en-US" w:eastAsia="zh-CN"/>
              </w:rPr>
              <w:t>=</w:t>
            </w:r>
            <w:r>
              <w:rPr>
                <w:rFonts w:hint="eastAsia" w:ascii="宋体" w:hAnsi="宋体" w:cs="宋体"/>
                <w:kern w:val="0"/>
                <w:sz w:val="18"/>
                <w:szCs w:val="18"/>
                <w:lang w:val="en-US" w:eastAsia="zh-CN"/>
              </w:rPr>
              <w:t>95</w:t>
            </w:r>
            <w:r>
              <w:rPr>
                <w:rFonts w:hint="eastAsia" w:ascii="宋体" w:hAnsi="宋体" w:eastAsia="宋体" w:cs="宋体"/>
                <w:kern w:val="0"/>
                <w:sz w:val="18"/>
                <w:szCs w:val="18"/>
                <w:lang w:val="en-US" w:eastAsia="zh-CN"/>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sz w:val="18"/>
                <w:szCs w:val="18"/>
              </w:rPr>
            </w:pPr>
          </w:p>
        </w:tc>
      </w:tr>
    </w:tbl>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pPr>
              <w:spacing w:line="0" w:lineRule="atLeast"/>
              <w:jc w:val="center"/>
              <w:rPr>
                <w:color w:val="000000"/>
                <w:kern w:val="0"/>
                <w:sz w:val="22"/>
                <w:szCs w:val="22"/>
              </w:rPr>
            </w:pPr>
          </w:p>
        </w:tc>
        <w:tc>
          <w:tcPr>
            <w:tcW w:w="302"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w:t>
            </w:r>
            <w:r>
              <w:rPr>
                <w:rFonts w:hint="eastAsia"/>
                <w:b/>
                <w:bCs/>
                <w:color w:val="000000"/>
                <w:kern w:val="0"/>
                <w:sz w:val="22"/>
                <w:szCs w:val="22"/>
                <w:highlight w:val="none"/>
              </w:rPr>
              <w:t>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15</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pPr>
              <w:widowControl/>
              <w:spacing w:line="0" w:lineRule="atLeast"/>
              <w:jc w:val="center"/>
              <w:rPr>
                <w:color w:val="000000"/>
                <w:kern w:val="0"/>
                <w:sz w:val="22"/>
                <w:szCs w:val="22"/>
              </w:rPr>
            </w:pPr>
          </w:p>
        </w:tc>
        <w:tc>
          <w:tcPr>
            <w:tcW w:w="302"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rPr>
              <w:t>5</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pPr>
        <w:pStyle w:val="2"/>
        <w:rPr>
          <w:rFonts w:ascii="Times New Roman" w:hAnsi="Times New Roman"/>
        </w:rPr>
      </w:pPr>
    </w:p>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ind w:firstLine="640"/>
        <w:rPr>
          <w:rStyle w:val="24"/>
          <w:rFonts w:eastAsia="黑体"/>
          <w:bCs w:val="0"/>
          <w:spacing w:val="-4"/>
          <w:sz w:val="32"/>
          <w:szCs w:val="32"/>
        </w:rPr>
      </w:pPr>
    </w:p>
    <w:p>
      <w:pPr>
        <w:spacing w:line="540" w:lineRule="exact"/>
        <w:rPr>
          <w:rStyle w:val="24"/>
          <w:rFonts w:eastAsia="仿宋"/>
          <w:b w:val="0"/>
          <w:spacing w:val="-4"/>
          <w:sz w:val="32"/>
          <w:szCs w:val="3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微软简标宋">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17</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2NTU0MWNlMTdmZDllOTYxYjJiZGVlZTI3NjFlNmQ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F5D2978"/>
    <w:rsid w:val="0F8D41CB"/>
    <w:rsid w:val="0FEE2F21"/>
    <w:rsid w:val="11C75270"/>
    <w:rsid w:val="12637CC3"/>
    <w:rsid w:val="12E657C5"/>
    <w:rsid w:val="133C6E2A"/>
    <w:rsid w:val="167C7687"/>
    <w:rsid w:val="168B3546"/>
    <w:rsid w:val="1A2374E0"/>
    <w:rsid w:val="1A9EC2E7"/>
    <w:rsid w:val="1C317CE2"/>
    <w:rsid w:val="1DD45808"/>
    <w:rsid w:val="1DED42AC"/>
    <w:rsid w:val="20005763"/>
    <w:rsid w:val="20FB313D"/>
    <w:rsid w:val="220B4804"/>
    <w:rsid w:val="278B653F"/>
    <w:rsid w:val="282475E3"/>
    <w:rsid w:val="29E421D9"/>
    <w:rsid w:val="2C6100C1"/>
    <w:rsid w:val="31F24D32"/>
    <w:rsid w:val="3235157C"/>
    <w:rsid w:val="3264220D"/>
    <w:rsid w:val="32A83563"/>
    <w:rsid w:val="38872456"/>
    <w:rsid w:val="3963178C"/>
    <w:rsid w:val="3BA5236D"/>
    <w:rsid w:val="3CED0699"/>
    <w:rsid w:val="3CEF440A"/>
    <w:rsid w:val="3EA7193E"/>
    <w:rsid w:val="3EB02FD6"/>
    <w:rsid w:val="41CC2676"/>
    <w:rsid w:val="42D7215E"/>
    <w:rsid w:val="46B21672"/>
    <w:rsid w:val="4F552460"/>
    <w:rsid w:val="4FCC6863"/>
    <w:rsid w:val="500A214A"/>
    <w:rsid w:val="522D604D"/>
    <w:rsid w:val="5297585E"/>
    <w:rsid w:val="52AD7D6F"/>
    <w:rsid w:val="5549519D"/>
    <w:rsid w:val="5557596B"/>
    <w:rsid w:val="5B596DFC"/>
    <w:rsid w:val="5B734BD1"/>
    <w:rsid w:val="5DAE6D00"/>
    <w:rsid w:val="5DF03945"/>
    <w:rsid w:val="5F03526B"/>
    <w:rsid w:val="5FE70FB4"/>
    <w:rsid w:val="5FF742C7"/>
    <w:rsid w:val="60821FDC"/>
    <w:rsid w:val="62E515AF"/>
    <w:rsid w:val="637C2815"/>
    <w:rsid w:val="666B4FDC"/>
    <w:rsid w:val="67FF13C8"/>
    <w:rsid w:val="682144B7"/>
    <w:rsid w:val="6B503F77"/>
    <w:rsid w:val="6E311968"/>
    <w:rsid w:val="72EBD538"/>
    <w:rsid w:val="7A353D0B"/>
    <w:rsid w:val="7CB927D8"/>
    <w:rsid w:val="7D3A5E2F"/>
    <w:rsid w:val="7EF3B0EC"/>
    <w:rsid w:val="AFEF299B"/>
    <w:rsid w:val="EBCF6EB4"/>
    <w:rsid w:val="F5FBE144"/>
    <w:rsid w:val="F7FE1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7"/>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8"/>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9"/>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0"/>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1"/>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2"/>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3"/>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4"/>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5"/>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semiHidden/>
    <w:unhideWhenUsed/>
    <w:qFormat/>
    <w:uiPriority w:val="99"/>
    <w:pPr>
      <w:ind w:firstLine="420" w:firstLineChars="200"/>
    </w:pPr>
  </w:style>
  <w:style w:type="paragraph" w:styleId="13">
    <w:name w:val="annotation text"/>
    <w:basedOn w:val="1"/>
    <w:semiHidden/>
    <w:unhideWhenUsed/>
    <w:qFormat/>
    <w:uiPriority w:val="99"/>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1"/>
    <w:semiHidden/>
    <w:unhideWhenUsed/>
    <w:qFormat/>
    <w:uiPriority w:val="99"/>
    <w:rPr>
      <w:sz w:val="18"/>
      <w:szCs w:val="18"/>
    </w:rPr>
  </w:style>
  <w:style w:type="paragraph" w:styleId="17">
    <w:name w:val="footer"/>
    <w:basedOn w:val="1"/>
    <w:link w:val="50"/>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49"/>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6"/>
    <w:qFormat/>
    <w:uiPriority w:val="11"/>
    <w:pPr>
      <w:widowControl/>
      <w:spacing w:after="60"/>
      <w:jc w:val="center"/>
      <w:outlineLvl w:val="1"/>
    </w:pPr>
    <w:rPr>
      <w:rFonts w:asciiTheme="majorHAnsi" w:hAnsiTheme="majorHAnsi" w:eastAsiaTheme="majorEastAsia"/>
      <w:kern w:val="0"/>
      <w:sz w:val="24"/>
    </w:rPr>
  </w:style>
  <w:style w:type="paragraph" w:styleId="20">
    <w:name w:val="Body Text First Indent"/>
    <w:basedOn w:val="14"/>
    <w:qFormat/>
    <w:uiPriority w:val="0"/>
    <w:pPr>
      <w:spacing w:after="0"/>
      <w:ind w:firstLine="200" w:firstLineChars="200"/>
    </w:pPr>
  </w:style>
  <w:style w:type="paragraph" w:styleId="21">
    <w:name w:val="Body Text First Indent 2"/>
    <w:basedOn w:val="15"/>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customStyle="1" w:styleId="26">
    <w:name w:val="标题 1 字符"/>
    <w:basedOn w:val="23"/>
    <w:link w:val="3"/>
    <w:qFormat/>
    <w:uiPriority w:val="9"/>
    <w:rPr>
      <w:rFonts w:asciiTheme="majorHAnsi" w:hAnsiTheme="majorHAnsi" w:eastAsiaTheme="majorEastAsia"/>
      <w:b/>
      <w:bCs/>
      <w:kern w:val="32"/>
      <w:sz w:val="32"/>
      <w:szCs w:val="32"/>
    </w:rPr>
  </w:style>
  <w:style w:type="character" w:customStyle="1" w:styleId="27">
    <w:name w:val="标题 2 字符"/>
    <w:basedOn w:val="23"/>
    <w:link w:val="4"/>
    <w:semiHidden/>
    <w:qFormat/>
    <w:uiPriority w:val="9"/>
    <w:rPr>
      <w:rFonts w:asciiTheme="majorHAnsi" w:hAnsiTheme="majorHAnsi" w:eastAsiaTheme="majorEastAsia"/>
      <w:b/>
      <w:bCs/>
      <w:i/>
      <w:iCs/>
      <w:sz w:val="28"/>
      <w:szCs w:val="28"/>
    </w:rPr>
  </w:style>
  <w:style w:type="character" w:customStyle="1" w:styleId="28">
    <w:name w:val="标题 3 字符"/>
    <w:basedOn w:val="23"/>
    <w:link w:val="5"/>
    <w:semiHidden/>
    <w:qFormat/>
    <w:uiPriority w:val="9"/>
    <w:rPr>
      <w:rFonts w:asciiTheme="majorHAnsi" w:hAnsiTheme="majorHAnsi" w:eastAsiaTheme="majorEastAsia"/>
      <w:b/>
      <w:bCs/>
      <w:sz w:val="26"/>
      <w:szCs w:val="26"/>
    </w:rPr>
  </w:style>
  <w:style w:type="character" w:customStyle="1" w:styleId="29">
    <w:name w:val="标题 4 字符"/>
    <w:basedOn w:val="23"/>
    <w:link w:val="6"/>
    <w:semiHidden/>
    <w:qFormat/>
    <w:uiPriority w:val="9"/>
    <w:rPr>
      <w:b/>
      <w:bCs/>
      <w:sz w:val="28"/>
      <w:szCs w:val="28"/>
    </w:rPr>
  </w:style>
  <w:style w:type="character" w:customStyle="1" w:styleId="30">
    <w:name w:val="标题 5 字符"/>
    <w:basedOn w:val="23"/>
    <w:link w:val="7"/>
    <w:semiHidden/>
    <w:qFormat/>
    <w:uiPriority w:val="9"/>
    <w:rPr>
      <w:b/>
      <w:bCs/>
      <w:i/>
      <w:iCs/>
      <w:sz w:val="26"/>
      <w:szCs w:val="26"/>
    </w:rPr>
  </w:style>
  <w:style w:type="character" w:customStyle="1" w:styleId="31">
    <w:name w:val="标题 6 字符"/>
    <w:basedOn w:val="23"/>
    <w:link w:val="8"/>
    <w:semiHidden/>
    <w:qFormat/>
    <w:uiPriority w:val="9"/>
    <w:rPr>
      <w:b/>
      <w:bCs/>
    </w:rPr>
  </w:style>
  <w:style w:type="character" w:customStyle="1" w:styleId="32">
    <w:name w:val="标题 7 字符"/>
    <w:basedOn w:val="23"/>
    <w:link w:val="9"/>
    <w:semiHidden/>
    <w:qFormat/>
    <w:uiPriority w:val="9"/>
    <w:rPr>
      <w:sz w:val="24"/>
      <w:szCs w:val="24"/>
    </w:rPr>
  </w:style>
  <w:style w:type="character" w:customStyle="1" w:styleId="33">
    <w:name w:val="标题 8 字符"/>
    <w:basedOn w:val="23"/>
    <w:link w:val="10"/>
    <w:semiHidden/>
    <w:qFormat/>
    <w:uiPriority w:val="9"/>
    <w:rPr>
      <w:i/>
      <w:iCs/>
      <w:sz w:val="24"/>
      <w:szCs w:val="24"/>
    </w:rPr>
  </w:style>
  <w:style w:type="character" w:customStyle="1" w:styleId="34">
    <w:name w:val="标题 9 字符"/>
    <w:basedOn w:val="23"/>
    <w:link w:val="11"/>
    <w:semiHidden/>
    <w:qFormat/>
    <w:uiPriority w:val="9"/>
    <w:rPr>
      <w:rFonts w:asciiTheme="majorHAnsi" w:hAnsiTheme="majorHAnsi" w:eastAsiaTheme="majorEastAsia"/>
    </w:rPr>
  </w:style>
  <w:style w:type="character" w:customStyle="1" w:styleId="35">
    <w:name w:val="标题 字符"/>
    <w:basedOn w:val="23"/>
    <w:link w:val="2"/>
    <w:qFormat/>
    <w:uiPriority w:val="10"/>
    <w:rPr>
      <w:rFonts w:asciiTheme="majorHAnsi" w:hAnsiTheme="majorHAnsi" w:eastAsiaTheme="majorEastAsia"/>
      <w:b/>
      <w:bCs/>
      <w:kern w:val="28"/>
      <w:sz w:val="32"/>
      <w:szCs w:val="32"/>
    </w:rPr>
  </w:style>
  <w:style w:type="character" w:customStyle="1" w:styleId="36">
    <w:name w:val="副标题 字符"/>
    <w:basedOn w:val="23"/>
    <w:link w:val="19"/>
    <w:qFormat/>
    <w:uiPriority w:val="11"/>
    <w:rPr>
      <w:rFonts w:asciiTheme="majorHAnsi" w:hAnsiTheme="majorHAnsi" w:eastAsiaTheme="majorEastAsia"/>
      <w:sz w:val="24"/>
      <w:szCs w:val="24"/>
    </w:rPr>
  </w:style>
  <w:style w:type="paragraph" w:styleId="37">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8">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9">
    <w:name w:val="Quote"/>
    <w:basedOn w:val="1"/>
    <w:next w:val="1"/>
    <w:link w:val="40"/>
    <w:qFormat/>
    <w:uiPriority w:val="29"/>
    <w:pPr>
      <w:widowControl/>
      <w:jc w:val="left"/>
    </w:pPr>
    <w:rPr>
      <w:rFonts w:asciiTheme="minorHAnsi" w:hAnsiTheme="minorHAnsi" w:eastAsiaTheme="minorEastAsia"/>
      <w:i/>
      <w:kern w:val="0"/>
      <w:sz w:val="24"/>
    </w:rPr>
  </w:style>
  <w:style w:type="character" w:customStyle="1" w:styleId="40">
    <w:name w:val="引用 字符"/>
    <w:basedOn w:val="23"/>
    <w:link w:val="39"/>
    <w:qFormat/>
    <w:uiPriority w:val="29"/>
    <w:rPr>
      <w:i/>
      <w:sz w:val="24"/>
      <w:szCs w:val="24"/>
    </w:rPr>
  </w:style>
  <w:style w:type="paragraph" w:styleId="41">
    <w:name w:val="Intense Quote"/>
    <w:basedOn w:val="1"/>
    <w:next w:val="1"/>
    <w:link w:val="42"/>
    <w:qFormat/>
    <w:uiPriority w:val="30"/>
    <w:pPr>
      <w:widowControl/>
      <w:ind w:left="720" w:right="720"/>
      <w:jc w:val="left"/>
    </w:pPr>
    <w:rPr>
      <w:rFonts w:asciiTheme="minorHAnsi" w:hAnsiTheme="minorHAnsi" w:eastAsiaTheme="minorEastAsia"/>
      <w:b/>
      <w:i/>
      <w:kern w:val="0"/>
      <w:sz w:val="24"/>
      <w:szCs w:val="22"/>
    </w:rPr>
  </w:style>
  <w:style w:type="character" w:customStyle="1" w:styleId="42">
    <w:name w:val="明显引用 字符"/>
    <w:basedOn w:val="23"/>
    <w:link w:val="41"/>
    <w:qFormat/>
    <w:uiPriority w:val="30"/>
    <w:rPr>
      <w:b/>
      <w:i/>
      <w:sz w:val="24"/>
    </w:rPr>
  </w:style>
  <w:style w:type="character" w:customStyle="1" w:styleId="43">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4">
    <w:name w:val="明显强调1"/>
    <w:basedOn w:val="23"/>
    <w:qFormat/>
    <w:uiPriority w:val="21"/>
    <w:rPr>
      <w:b/>
      <w:i/>
      <w:sz w:val="24"/>
      <w:szCs w:val="24"/>
      <w:u w:val="single"/>
    </w:rPr>
  </w:style>
  <w:style w:type="character" w:customStyle="1" w:styleId="45">
    <w:name w:val="不明显参考1"/>
    <w:basedOn w:val="23"/>
    <w:qFormat/>
    <w:uiPriority w:val="31"/>
    <w:rPr>
      <w:sz w:val="24"/>
      <w:szCs w:val="24"/>
      <w:u w:val="single"/>
    </w:rPr>
  </w:style>
  <w:style w:type="character" w:customStyle="1" w:styleId="46">
    <w:name w:val="明显参考1"/>
    <w:basedOn w:val="23"/>
    <w:qFormat/>
    <w:uiPriority w:val="32"/>
    <w:rPr>
      <w:b/>
      <w:sz w:val="24"/>
      <w:u w:val="single"/>
    </w:rPr>
  </w:style>
  <w:style w:type="character" w:customStyle="1" w:styleId="47">
    <w:name w:val="书籍标题1"/>
    <w:basedOn w:val="23"/>
    <w:qFormat/>
    <w:uiPriority w:val="33"/>
    <w:rPr>
      <w:rFonts w:asciiTheme="majorHAnsi" w:hAnsiTheme="majorHAnsi" w:eastAsiaTheme="majorEastAsia"/>
      <w:b/>
      <w:i/>
      <w:sz w:val="24"/>
      <w:szCs w:val="24"/>
    </w:rPr>
  </w:style>
  <w:style w:type="paragraph" w:customStyle="1" w:styleId="48">
    <w:name w:val="TOC 标题1"/>
    <w:basedOn w:val="3"/>
    <w:next w:val="1"/>
    <w:semiHidden/>
    <w:unhideWhenUsed/>
    <w:qFormat/>
    <w:uiPriority w:val="39"/>
    <w:pPr>
      <w:outlineLvl w:val="9"/>
    </w:pPr>
    <w:rPr>
      <w:lang w:eastAsia="en-US" w:bidi="en-US"/>
    </w:rPr>
  </w:style>
  <w:style w:type="character" w:customStyle="1" w:styleId="49">
    <w:name w:val="页眉 字符"/>
    <w:basedOn w:val="23"/>
    <w:link w:val="18"/>
    <w:qFormat/>
    <w:uiPriority w:val="99"/>
    <w:rPr>
      <w:rFonts w:ascii="Calibri" w:hAnsi="Calibri" w:eastAsia="宋体"/>
      <w:kern w:val="2"/>
      <w:sz w:val="18"/>
      <w:szCs w:val="18"/>
    </w:rPr>
  </w:style>
  <w:style w:type="character" w:customStyle="1" w:styleId="50">
    <w:name w:val="页脚 字符"/>
    <w:basedOn w:val="23"/>
    <w:link w:val="17"/>
    <w:qFormat/>
    <w:uiPriority w:val="99"/>
    <w:rPr>
      <w:rFonts w:ascii="Calibri" w:hAnsi="Calibri" w:eastAsia="宋体"/>
      <w:kern w:val="2"/>
      <w:sz w:val="18"/>
      <w:szCs w:val="18"/>
    </w:rPr>
  </w:style>
  <w:style w:type="character" w:customStyle="1" w:styleId="51">
    <w:name w:val="批注框文本 字符"/>
    <w:basedOn w:val="23"/>
    <w:link w:val="16"/>
    <w:semiHidden/>
    <w:qFormat/>
    <w:uiPriority w:val="99"/>
    <w:rPr>
      <w:rFonts w:ascii="Times New Roman" w:hAnsi="Times New Roman" w:eastAsia="宋体"/>
      <w:kern w:val="2"/>
      <w:sz w:val="18"/>
      <w:szCs w:val="18"/>
    </w:rPr>
  </w:style>
  <w:style w:type="paragraph" w:customStyle="1" w:styleId="52">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3">
    <w:name w:val="fontstyle01"/>
    <w:qFormat/>
    <w:uiPriority w:val="0"/>
    <w:rPr>
      <w:rFonts w:ascii="仿宋_GB2312" w:hAnsi="仿宋_GB2312" w:eastAsia="仿宋_GB2312" w:cs="仿宋_GB2312"/>
      <w:color w:val="000000"/>
      <w:sz w:val="32"/>
      <w:szCs w:val="32"/>
    </w:rPr>
  </w:style>
  <w:style w:type="paragraph" w:customStyle="1" w:styleId="54">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6346</Words>
  <Characters>6621</Characters>
  <Lines>50</Lines>
  <Paragraphs>14</Paragraphs>
  <TotalTime>2</TotalTime>
  <ScaleCrop>false</ScaleCrop>
  <LinksUpToDate>false</LinksUpToDate>
  <CharactersWithSpaces>6652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2020-07-06T16:35:00Z</dcterms:created>
  <dc:creator>赵 恺（预算处）</dc:creator>
  <cp:lastModifiedBy>user</cp:lastModifiedBy>
  <cp:lastPrinted>2020-01-02T16:02:00Z</cp:lastPrinted>
  <dcterms:modified xsi:type="dcterms:W3CDTF">2024-09-02T18:30:10Z</dcterms:modified>
  <dc:title>附件3：</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013360FACCE1418B80C968824022A9DF</vt:lpwstr>
  </property>
  <property fmtid="{D5CDD505-2E9C-101B-9397-08002B2CF9AE}" pid="4" name="KSOSaveFontToCloudKey">
    <vt:lpwstr>0_btnclosed</vt:lpwstr>
  </property>
</Properties>
</file>