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90"/>
        <w:gridCol w:w="940"/>
        <w:gridCol w:w="955"/>
        <w:gridCol w:w="283"/>
        <w:gridCol w:w="284"/>
        <w:gridCol w:w="425"/>
        <w:gridCol w:w="323"/>
        <w:gridCol w:w="528"/>
        <w:gridCol w:w="708"/>
      </w:tblGrid>
      <w:tr w:rsidR="008B1334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334" w:rsidRDefault="008B133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8B1334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334" w:rsidRDefault="00B93BA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B1334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1334" w:rsidRDefault="00B93BA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（2023年度）</w:t>
            </w:r>
          </w:p>
        </w:tc>
      </w:tr>
      <w:tr w:rsidR="008B1334">
        <w:trPr>
          <w:trHeight w:hRule="exact" w:val="454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自治区总量控制及排污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权全业务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监管信息平台运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维保障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项目</w:t>
            </w:r>
          </w:p>
        </w:tc>
      </w:tr>
      <w:tr w:rsidR="008B1334">
        <w:trPr>
          <w:trHeight w:hRule="exact" w:val="964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val="en"/>
              </w:rPr>
              <w:t>新疆维吾尔自治区生态环境厅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新疆维吾尔自治区排污权交易储备中心（自治区应对气候变化与低碳发展研究中心）</w:t>
            </w:r>
          </w:p>
        </w:tc>
      </w:tr>
      <w:tr w:rsidR="008B1334">
        <w:trPr>
          <w:trHeight w:hRule="exact" w:val="454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B1334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B1334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1334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1334">
        <w:trPr>
          <w:trHeight w:hRule="exact" w:val="45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133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B1334">
        <w:trPr>
          <w:trHeight w:hRule="exact" w:val="1971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项目用于自治区总量控制及排污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权全业务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监管信息平台的运维保障；委托第三方对总量控制及排污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权全业务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监管信息平台一套进行运维，维护服务器数量不少于两台，平台故障修复率达到95%以上，平台故障响应时限不超过两小时，通过项目的实施有效保障平台系统整体安全稳定运行；优化完善重要业务系统功能，使重要信息系统</w:t>
            </w:r>
            <w:r w:rsidR="004F6D9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更好地为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业务做支撑。</w:t>
            </w:r>
          </w:p>
        </w:tc>
        <w:tc>
          <w:tcPr>
            <w:tcW w:w="35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本年度完成信息化运维服务，业务系统，基础设施的管理以及日常维护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年度自治区总量控制及排污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权全业务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监管信息平台系统的正常稳定运行，提高了业务系统功能，达到项目实施预期目标。</w:t>
            </w:r>
          </w:p>
        </w:tc>
      </w:tr>
      <w:tr w:rsidR="008B133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B1334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维护服务器数量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≧2个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334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"/>
              </w:rPr>
              <w:t>网络连通率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≥90%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334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平台故障修复率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≥95%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334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平台故障响应时限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≦2小时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334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年度系统维护成本增长率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334">
        <w:trPr>
          <w:trHeight w:hRule="exact" w:val="4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总量减排等环保业务办理工作效率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30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334">
        <w:trPr>
          <w:trHeight w:hRule="exact" w:val="85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用户满意度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≥95%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334">
        <w:trPr>
          <w:trHeight w:hRule="exact" w:val="4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B93B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334" w:rsidRDefault="008B133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B1334" w:rsidRDefault="008B1334"/>
    <w:sectPr w:rsidR="008B1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OTQ2ZGMzNjhjYmU5MjEwMTIwYzc0ZTkxYWM2ZDgifQ=="/>
  </w:docVars>
  <w:rsids>
    <w:rsidRoot w:val="005144AE"/>
    <w:rsid w:val="FFC71833"/>
    <w:rsid w:val="001209D6"/>
    <w:rsid w:val="004F6D9B"/>
    <w:rsid w:val="005144AE"/>
    <w:rsid w:val="008B1334"/>
    <w:rsid w:val="00B93BA1"/>
    <w:rsid w:val="2AC53D75"/>
    <w:rsid w:val="4B803512"/>
    <w:rsid w:val="55415E92"/>
    <w:rsid w:val="5BAD42CE"/>
    <w:rsid w:val="5FFD431F"/>
    <w:rsid w:val="617F7A8A"/>
    <w:rsid w:val="6E1D7330"/>
    <w:rsid w:val="76C125BF"/>
    <w:rsid w:val="A75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uiPriority w:val="99"/>
    <w:semiHidden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uiPriority w:val="99"/>
    <w:semiHidden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126</Words>
  <Characters>721</Characters>
  <Application>Microsoft Office Word</Application>
  <DocSecurity>0</DocSecurity>
  <Lines>6</Lines>
  <Paragraphs>1</Paragraphs>
  <ScaleCrop>false</ScaleCrop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2022-01-25T03:10:00Z</dcterms:created>
  <dcterms:modified xsi:type="dcterms:W3CDTF">2025-06-30T09:00:00Z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F2D50DD01E3B47DDAA622E1EFBE1FBAC</vt:lpwstr>
  </property>
</Properties>
</file>