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8F285">
      <w:pPr>
        <w:spacing w:line="540" w:lineRule="exact"/>
        <w:jc w:val="center"/>
        <w:rPr>
          <w:rFonts w:eastAsia="华文中宋"/>
          <w:b/>
          <w:kern w:val="0"/>
          <w:sz w:val="52"/>
          <w:szCs w:val="52"/>
        </w:rPr>
      </w:pPr>
    </w:p>
    <w:p w14:paraId="3D895C77">
      <w:pPr>
        <w:spacing w:line="540" w:lineRule="exact"/>
        <w:rPr>
          <w:rFonts w:eastAsia="华文中宋"/>
          <w:b/>
          <w:kern w:val="0"/>
          <w:sz w:val="52"/>
          <w:szCs w:val="52"/>
        </w:rPr>
      </w:pPr>
    </w:p>
    <w:p w14:paraId="38E2DA83">
      <w:pPr>
        <w:spacing w:line="540" w:lineRule="exact"/>
        <w:jc w:val="center"/>
        <w:rPr>
          <w:rFonts w:eastAsia="方正小标宋_GBK"/>
          <w:kern w:val="0"/>
          <w:sz w:val="48"/>
          <w:szCs w:val="48"/>
        </w:rPr>
      </w:pPr>
      <w:r>
        <w:rPr>
          <w:rFonts w:hint="eastAsia" w:eastAsia="方正小标宋_GBK"/>
          <w:kern w:val="0"/>
          <w:sz w:val="48"/>
          <w:szCs w:val="48"/>
        </w:rPr>
        <w:t>生态环境厅环境监察专员办环境监察专项</w:t>
      </w:r>
      <w:r>
        <w:rPr>
          <w:rFonts w:eastAsia="方正小标宋_GBK"/>
          <w:kern w:val="0"/>
          <w:sz w:val="48"/>
          <w:szCs w:val="48"/>
        </w:rPr>
        <w:t>资金项目支出绩效评价</w:t>
      </w:r>
    </w:p>
    <w:p w14:paraId="62514EB5">
      <w:pPr>
        <w:spacing w:line="540" w:lineRule="exact"/>
        <w:jc w:val="center"/>
        <w:rPr>
          <w:rFonts w:eastAsia="方正小标宋_GBK"/>
          <w:kern w:val="0"/>
          <w:sz w:val="48"/>
          <w:szCs w:val="48"/>
        </w:rPr>
      </w:pPr>
      <w:r>
        <w:rPr>
          <w:rFonts w:eastAsia="方正小标宋_GBK"/>
          <w:kern w:val="0"/>
          <w:sz w:val="48"/>
          <w:szCs w:val="48"/>
        </w:rPr>
        <w:t>报告</w:t>
      </w:r>
    </w:p>
    <w:p w14:paraId="251CE784">
      <w:pPr>
        <w:spacing w:line="540" w:lineRule="exact"/>
        <w:jc w:val="center"/>
        <w:rPr>
          <w:rFonts w:eastAsia="华文中宋"/>
          <w:b/>
          <w:kern w:val="0"/>
          <w:sz w:val="52"/>
          <w:szCs w:val="52"/>
        </w:rPr>
      </w:pPr>
    </w:p>
    <w:p w14:paraId="32352AE1">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2E9462ED">
      <w:pPr>
        <w:spacing w:line="540" w:lineRule="exact"/>
        <w:jc w:val="center"/>
        <w:rPr>
          <w:rFonts w:eastAsia="仿宋_GB2312"/>
          <w:kern w:val="0"/>
          <w:sz w:val="30"/>
          <w:szCs w:val="30"/>
        </w:rPr>
      </w:pPr>
    </w:p>
    <w:p w14:paraId="339B212D">
      <w:pPr>
        <w:spacing w:line="540" w:lineRule="exact"/>
        <w:jc w:val="center"/>
        <w:rPr>
          <w:rFonts w:eastAsia="仿宋_GB2312"/>
          <w:kern w:val="0"/>
          <w:sz w:val="30"/>
          <w:szCs w:val="30"/>
        </w:rPr>
      </w:pPr>
    </w:p>
    <w:p w14:paraId="40876860">
      <w:pPr>
        <w:spacing w:line="540" w:lineRule="exact"/>
        <w:jc w:val="center"/>
        <w:rPr>
          <w:rFonts w:eastAsia="仿宋_GB2312"/>
          <w:kern w:val="0"/>
          <w:sz w:val="30"/>
          <w:szCs w:val="30"/>
        </w:rPr>
      </w:pPr>
    </w:p>
    <w:p w14:paraId="12C8C760">
      <w:pPr>
        <w:pStyle w:val="10"/>
      </w:pPr>
    </w:p>
    <w:p w14:paraId="26AB0E15">
      <w:pPr>
        <w:spacing w:line="540" w:lineRule="exact"/>
        <w:rPr>
          <w:rFonts w:eastAsia="仿宋_GB2312"/>
          <w:kern w:val="0"/>
          <w:sz w:val="30"/>
          <w:szCs w:val="30"/>
        </w:rPr>
      </w:pPr>
    </w:p>
    <w:p w14:paraId="39D47D79">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0"/>
          <w:szCs w:val="30"/>
        </w:rPr>
        <w:t>生态环境厅环境监察专员办环境监察专项</w:t>
      </w:r>
    </w:p>
    <w:p w14:paraId="286E5EC0">
      <w:pPr>
        <w:spacing w:line="700" w:lineRule="exact"/>
        <w:ind w:left="3236" w:leftChars="684" w:hanging="1800" w:hangingChars="500"/>
        <w:jc w:val="right"/>
        <w:rPr>
          <w:rFonts w:eastAsia="仿宋_GB2312"/>
          <w:kern w:val="0"/>
          <w:sz w:val="36"/>
          <w:szCs w:val="36"/>
        </w:rPr>
      </w:pPr>
      <w:r>
        <w:rPr>
          <w:rFonts w:hint="eastAsia" w:eastAsia="仿宋_GB2312"/>
          <w:kern w:val="0"/>
          <w:sz w:val="36"/>
          <w:szCs w:val="36"/>
        </w:rPr>
        <w:t>实施单位（公章）：</w:t>
      </w:r>
      <w:r>
        <w:rPr>
          <w:rFonts w:hint="eastAsia" w:eastAsia="仿宋_GB2312"/>
          <w:kern w:val="0"/>
          <w:sz w:val="30"/>
          <w:szCs w:val="30"/>
        </w:rPr>
        <w:t>新疆维吾尔自治区生态环境厅第三生态环境监察专员办公室</w:t>
      </w:r>
      <w:r>
        <w:rPr>
          <w:rFonts w:hint="eastAsia" w:eastAsia="仿宋_GB2312"/>
          <w:kern w:val="0"/>
          <w:sz w:val="36"/>
          <w:szCs w:val="36"/>
        </w:rPr>
        <w:t xml:space="preserve">   </w:t>
      </w:r>
    </w:p>
    <w:p w14:paraId="6A2AF12B">
      <w:pPr>
        <w:spacing w:line="700" w:lineRule="exact"/>
        <w:ind w:firstLine="1440" w:firstLineChars="400"/>
        <w:jc w:val="left"/>
        <w:rPr>
          <w:rFonts w:eastAsia="仿宋_GB2312"/>
          <w:kern w:val="0"/>
          <w:sz w:val="30"/>
          <w:szCs w:val="30"/>
        </w:rPr>
      </w:pPr>
      <w:r>
        <w:rPr>
          <w:rFonts w:hint="eastAsia" w:eastAsia="仿宋_GB2312"/>
          <w:kern w:val="0"/>
          <w:sz w:val="36"/>
          <w:szCs w:val="36"/>
        </w:rPr>
        <w:t>主管部门（公章）：</w:t>
      </w:r>
      <w:r>
        <w:rPr>
          <w:rFonts w:hint="eastAsia" w:eastAsia="仿宋_GB2312"/>
          <w:kern w:val="0"/>
          <w:sz w:val="30"/>
          <w:szCs w:val="30"/>
        </w:rPr>
        <w:t>新疆维吾尔自治区生态环境厅</w:t>
      </w:r>
    </w:p>
    <w:p w14:paraId="569D148B">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0"/>
          <w:szCs w:val="30"/>
        </w:rPr>
        <w:t>张旭</w:t>
      </w:r>
    </w:p>
    <w:p w14:paraId="7558F5B1">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eastAsia="仿宋_GB2312"/>
          <w:kern w:val="0"/>
          <w:sz w:val="30"/>
          <w:szCs w:val="30"/>
        </w:rPr>
        <w:t>：</w:t>
      </w:r>
      <w:r>
        <w:rPr>
          <w:rFonts w:hint="eastAsia" w:ascii="宋体" w:hAnsi="宋体" w:cs="宋体"/>
          <w:kern w:val="0"/>
          <w:sz w:val="30"/>
          <w:szCs w:val="30"/>
        </w:rPr>
        <w:t>2024年2月21日</w:t>
      </w:r>
    </w:p>
    <w:p w14:paraId="3D785A31">
      <w:pPr>
        <w:spacing w:line="560" w:lineRule="exact"/>
        <w:rPr>
          <w:rFonts w:eastAsia="黑体"/>
          <w:bCs/>
          <w:sz w:val="32"/>
          <w:szCs w:val="32"/>
        </w:rPr>
        <w:sectPr>
          <w:footerReference r:id="rId5" w:type="default"/>
          <w:pgSz w:w="11906" w:h="16838"/>
          <w:pgMar w:top="1440" w:right="1558" w:bottom="1440" w:left="1800" w:header="851" w:footer="992" w:gutter="0"/>
          <w:cols w:space="425" w:num="1"/>
          <w:docGrid w:type="lines" w:linePitch="312" w:charSpace="0"/>
        </w:sectPr>
      </w:pPr>
    </w:p>
    <w:p w14:paraId="3E04A360">
      <w:pPr>
        <w:spacing w:line="560" w:lineRule="exact"/>
        <w:rPr>
          <w:rFonts w:eastAsia="黑体"/>
          <w:bCs/>
          <w:sz w:val="32"/>
          <w:szCs w:val="32"/>
        </w:rPr>
      </w:pPr>
      <w:r>
        <w:rPr>
          <w:rFonts w:eastAsia="黑体"/>
          <w:bCs/>
          <w:sz w:val="32"/>
          <w:szCs w:val="32"/>
        </w:rPr>
        <w:t>一、基本情况</w:t>
      </w:r>
    </w:p>
    <w:p w14:paraId="11F0CCC6">
      <w:pPr>
        <w:spacing w:line="560" w:lineRule="exact"/>
        <w:ind w:firstLine="643" w:firstLineChars="200"/>
        <w:rPr>
          <w:rFonts w:eastAsia="楷体_GB2312"/>
          <w:b/>
          <w:bCs/>
          <w:sz w:val="32"/>
          <w:szCs w:val="32"/>
        </w:rPr>
      </w:pPr>
      <w:r>
        <w:rPr>
          <w:rFonts w:eastAsia="楷体_GB2312"/>
          <w:b/>
          <w:bCs/>
          <w:sz w:val="32"/>
          <w:szCs w:val="32"/>
        </w:rPr>
        <w:t>（一）项目概况</w:t>
      </w:r>
    </w:p>
    <w:p w14:paraId="1E31D4F7">
      <w:pPr>
        <w:spacing w:line="560" w:lineRule="exact"/>
        <w:ind w:firstLine="643" w:firstLineChars="200"/>
        <w:rPr>
          <w:rFonts w:eastAsia="仿宋_GB2312"/>
          <w:b/>
          <w:bCs/>
          <w:sz w:val="32"/>
          <w:szCs w:val="32"/>
        </w:rPr>
      </w:pPr>
      <w:r>
        <w:rPr>
          <w:rFonts w:eastAsia="仿宋_GB2312"/>
          <w:b/>
          <w:bCs/>
          <w:sz w:val="32"/>
          <w:szCs w:val="32"/>
        </w:rPr>
        <w:t>1、项目背景</w:t>
      </w:r>
    </w:p>
    <w:p w14:paraId="3E7180F8">
      <w:pPr>
        <w:spacing w:line="600" w:lineRule="exact"/>
        <w:ind w:firstLine="640" w:firstLineChars="200"/>
        <w:rPr>
          <w:rStyle w:val="16"/>
          <w:rFonts w:eastAsia="黑体"/>
          <w:b w:val="0"/>
          <w:spacing w:val="-4"/>
          <w:sz w:val="32"/>
          <w:szCs w:val="32"/>
          <w:highlight w:val="yellow"/>
        </w:rPr>
      </w:pPr>
      <w:r>
        <w:rPr>
          <w:rFonts w:hint="eastAsia" w:eastAsia="仿宋_GB2312"/>
          <w:sz w:val="32"/>
          <w:szCs w:val="32"/>
        </w:rPr>
        <w:t>2019年自治区生态环境厅在全疆设立六个监察专员办公室。新疆维吾尔自治区生态环境厅第三生态环境监察专员办公室根据《关于自治区生态环境厅6个生态环境监察专员办公室编制和具体职责的批复》（新党编办</w:t>
      </w:r>
      <w:r>
        <w:rPr>
          <w:rFonts w:eastAsia="仿宋_GB2312"/>
          <w:sz w:val="32"/>
          <w:szCs w:val="32"/>
        </w:rPr>
        <w:t>〔</w:t>
      </w:r>
      <w:r>
        <w:rPr>
          <w:rFonts w:hint="eastAsia" w:eastAsia="仿宋_GB2312"/>
          <w:sz w:val="32"/>
          <w:szCs w:val="32"/>
        </w:rPr>
        <w:t>2019</w:t>
      </w:r>
      <w:r>
        <w:rPr>
          <w:rFonts w:eastAsia="仿宋_GB2312"/>
          <w:sz w:val="32"/>
          <w:szCs w:val="32"/>
        </w:rPr>
        <w:t>〕</w:t>
      </w:r>
      <w:r>
        <w:rPr>
          <w:rFonts w:hint="eastAsia" w:eastAsia="仿宋_GB2312"/>
          <w:sz w:val="32"/>
          <w:szCs w:val="32"/>
        </w:rPr>
        <w:t>59号）要求，我办负责对乌鲁木齐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3BC6FA99">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41F1E124">
      <w:pPr>
        <w:adjustRightInd w:val="0"/>
        <w:snapToGrid w:val="0"/>
        <w:spacing w:line="360" w:lineRule="auto"/>
        <w:ind w:firstLine="640"/>
        <w:rPr>
          <w:rFonts w:ascii="仿宋_GB2312" w:hAnsi="仿宋" w:eastAsia="仿宋_GB2312"/>
          <w:sz w:val="32"/>
          <w:szCs w:val="32"/>
        </w:rPr>
      </w:pPr>
      <w:r>
        <w:rPr>
          <w:rFonts w:hint="eastAsia" w:eastAsia="仿宋_GB2312"/>
          <w:sz w:val="32"/>
          <w:szCs w:val="32"/>
        </w:rPr>
        <w:t>生态环境厅环境监察专员办环境监察专项项目</w:t>
      </w:r>
      <w:r>
        <w:rPr>
          <w:rFonts w:hint="eastAsia" w:ascii="仿宋_GB2312" w:hAnsi="仿宋" w:eastAsia="仿宋_GB2312"/>
          <w:sz w:val="32"/>
          <w:szCs w:val="32"/>
        </w:rPr>
        <w:t>主要工作内容如下：</w:t>
      </w:r>
    </w:p>
    <w:p w14:paraId="1B1918D7">
      <w:pPr>
        <w:adjustRightInd w:val="0"/>
        <w:snapToGrid w:val="0"/>
        <w:spacing w:line="360" w:lineRule="auto"/>
        <w:ind w:firstLine="640"/>
        <w:rPr>
          <w:rFonts w:ascii="仿宋_GB2312" w:hAnsi="仿宋" w:eastAsia="仿宋_GB2312"/>
          <w:sz w:val="32"/>
          <w:szCs w:val="32"/>
        </w:rPr>
      </w:pPr>
      <w:r>
        <w:rPr>
          <w:rFonts w:hint="eastAsia" w:ascii="仿宋_GB2312" w:hAnsi="仿宋" w:eastAsia="仿宋_GB2312"/>
          <w:sz w:val="32"/>
          <w:szCs w:val="32"/>
        </w:rPr>
        <w:t>(一)保障第三生态环境监察专员办公室生态环境监察工作。</w:t>
      </w:r>
      <w:r>
        <w:rPr>
          <w:rFonts w:hint="eastAsia" w:ascii="Calibri" w:hAnsi="Calibri" w:eastAsia="仿宋_GB2312"/>
          <w:sz w:val="32"/>
          <w:szCs w:val="32"/>
        </w:rPr>
        <w:t>第三生态环境监察专员办公室负责乌鲁木齐市生态环境监察工作，办公地点设在乌鲁木齐市，需要对乌鲁木齐市开展生态环境监察工作，</w:t>
      </w:r>
      <w:r>
        <w:rPr>
          <w:rFonts w:hint="eastAsia" w:ascii="仿宋_GB2312" w:hAnsi="仿宋" w:eastAsia="仿宋_GB2312"/>
          <w:sz w:val="32"/>
          <w:szCs w:val="32"/>
        </w:rPr>
        <w:t>根据《新疆维吾尔自治区党政机关事业单位工作人员差旅费管理办法》及当地实际情况，核算差旅费、劳务费及</w:t>
      </w:r>
      <w:r>
        <w:rPr>
          <w:rFonts w:hint="eastAsia" w:ascii="Calibri" w:hAnsi="Calibri" w:eastAsia="仿宋_GB2312"/>
          <w:sz w:val="32"/>
          <w:szCs w:val="32"/>
        </w:rPr>
        <w:t>产生的租车等其他交通费。</w:t>
      </w:r>
      <w:bookmarkStart w:id="0" w:name="_Toc487445331"/>
    </w:p>
    <w:bookmarkEnd w:id="0"/>
    <w:p w14:paraId="30ED61DC">
      <w:pPr>
        <w:adjustRightInd w:val="0"/>
        <w:snapToGrid w:val="0"/>
        <w:spacing w:line="360" w:lineRule="auto"/>
        <w:ind w:left="2" w:leftChars="1" w:firstLine="563" w:firstLineChars="176"/>
        <w:jc w:val="left"/>
        <w:rPr>
          <w:rFonts w:ascii="仿宋_GB2312" w:hAnsi="仿宋" w:eastAsia="仿宋_GB2312"/>
          <w:sz w:val="32"/>
          <w:szCs w:val="32"/>
        </w:rPr>
      </w:pPr>
      <w:r>
        <w:rPr>
          <w:rFonts w:hint="eastAsia" w:ascii="仿宋_GB2312" w:hAnsi="仿宋" w:eastAsia="仿宋_GB2312"/>
          <w:sz w:val="32"/>
          <w:szCs w:val="32"/>
        </w:rPr>
        <w:t>（二）保障第三生态环境监察专员办公室日常工作正常运转为保障第三生态环境监察专员办公室日常工作正常运转，根据国家和自治区有关相关标准，核算第三生态环境监察专员办公室2023年办公费、办公设备购置、维修（护）费、物业管理费，落实资金经费，确保各项业务工作正常开展。</w:t>
      </w:r>
    </w:p>
    <w:p w14:paraId="2AAD2BD0">
      <w:pPr>
        <w:adjustRightInd w:val="0"/>
        <w:snapToGrid w:val="0"/>
        <w:spacing w:line="360" w:lineRule="auto"/>
        <w:ind w:left="2" w:leftChars="1" w:firstLine="563" w:firstLineChars="176"/>
        <w:jc w:val="left"/>
        <w:rPr>
          <w:rFonts w:ascii="仿宋_GB2312" w:hAnsi="仿宋" w:eastAsia="仿宋_GB2312"/>
          <w:sz w:val="32"/>
          <w:szCs w:val="32"/>
        </w:rPr>
      </w:pPr>
      <w:r>
        <w:rPr>
          <w:rFonts w:hint="eastAsia" w:ascii="仿宋_GB2312" w:hAnsi="仿宋" w:eastAsia="仿宋_GB2312"/>
          <w:sz w:val="32"/>
          <w:szCs w:val="32"/>
        </w:rPr>
        <w:t>项目实施情况：项目目前已</w:t>
      </w:r>
      <w:bookmarkStart w:id="10" w:name="_GoBack"/>
      <w:bookmarkEnd w:id="10"/>
      <w:r>
        <w:rPr>
          <w:rFonts w:hint="eastAsia" w:ascii="仿宋_GB2312" w:hAnsi="仿宋" w:eastAsia="仿宋_GB2312"/>
          <w:sz w:val="32"/>
          <w:szCs w:val="32"/>
        </w:rPr>
        <w:t>经完成实际设立的目标，项目在实施过程中严格按照目标设立的各阶段任务进行开展工作，在前期立项过程中严格把质量关，建立安全防护机制，保证项目实施各阶段安全顺利进行。</w:t>
      </w:r>
    </w:p>
    <w:p w14:paraId="140E4228">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5AB91E0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29CF05D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该项目年初预算数60万元，全年预算数60万元，实际总投入60万元，该项目资金已全部落实到位，资金来源为财政全额拨款。</w:t>
      </w:r>
    </w:p>
    <w:p w14:paraId="787D2AD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58C85DD2">
      <w:pPr>
        <w:pStyle w:val="10"/>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该项目年初预算数60万元，全年预算数60万元，全年执行数59.95万元，预算执行率为99.92%，主要</w:t>
      </w:r>
      <w:r>
        <w:rPr>
          <w:rFonts w:ascii="Times New Roman" w:hAnsi="Times New Roman" w:eastAsia="仿宋_GB2312"/>
          <w:b w:val="0"/>
          <w:bCs w:val="0"/>
          <w:kern w:val="2"/>
        </w:rPr>
        <w:t>用于支付项目实施进程中的各项费用。</w:t>
      </w:r>
    </w:p>
    <w:p w14:paraId="4C477575">
      <w:pPr>
        <w:spacing w:line="560" w:lineRule="exact"/>
        <w:ind w:firstLine="643" w:firstLineChars="200"/>
        <w:rPr>
          <w:rFonts w:eastAsia="楷体_GB2312"/>
          <w:b/>
          <w:bCs/>
          <w:sz w:val="32"/>
          <w:szCs w:val="32"/>
        </w:rPr>
      </w:pPr>
      <w:r>
        <w:rPr>
          <w:rFonts w:eastAsia="楷体_GB2312"/>
          <w:b/>
          <w:bCs/>
          <w:sz w:val="32"/>
          <w:szCs w:val="32"/>
        </w:rPr>
        <w:t>（二）项目绩效目标</w:t>
      </w:r>
    </w:p>
    <w:p w14:paraId="34FDA529">
      <w:pPr>
        <w:spacing w:line="560" w:lineRule="exact"/>
        <w:ind w:firstLine="640" w:firstLineChars="200"/>
        <w:rPr>
          <w:rFonts w:eastAsia="仿宋_GB2312"/>
          <w:sz w:val="32"/>
          <w:szCs w:val="32"/>
        </w:rPr>
      </w:pPr>
      <w:r>
        <w:rPr>
          <w:rFonts w:eastAsia="仿宋_GB2312"/>
          <w:sz w:val="32"/>
          <w:szCs w:val="32"/>
        </w:rPr>
        <w:t>1、总体目标</w:t>
      </w:r>
    </w:p>
    <w:p w14:paraId="0D55B8B9">
      <w:pPr>
        <w:spacing w:line="600" w:lineRule="exact"/>
        <w:ind w:firstLine="640" w:firstLineChars="200"/>
        <w:rPr>
          <w:rFonts w:eastAsia="仿宋_GB2312"/>
          <w:sz w:val="32"/>
          <w:szCs w:val="32"/>
        </w:rPr>
      </w:pPr>
      <w:r>
        <w:rPr>
          <w:rFonts w:hint="eastAsia" w:eastAsia="仿宋_GB2312"/>
          <w:sz w:val="32"/>
          <w:szCs w:val="32"/>
        </w:rPr>
        <w:t>按照自治区党委、人民政府及生态环境厅统一部署，第三专员办负责对乌鲁木齐市生态环境质量落实情况进行监督检查。通过日常监察、现场巡察等方式，督促当地生态环境保护工作持续改善；配合中央和自治区生态环境保护督察组开展定期督察，并对中央和自治区督察整改落实情况进行督导；全年区域覆盖率达到100%，年度督察任务按时完成率达到100%。</w:t>
      </w:r>
    </w:p>
    <w:p w14:paraId="69494A18">
      <w:pPr>
        <w:numPr>
          <w:ilvl w:val="0"/>
          <w:numId w:val="0"/>
        </w:numPr>
        <w:spacing w:line="560" w:lineRule="exact"/>
        <w:ind w:firstLine="640" w:firstLineChars="200"/>
        <w:rPr>
          <w:rFonts w:eastAsia="仿宋_GB2312"/>
          <w:sz w:val="32"/>
          <w:szCs w:val="32"/>
        </w:rPr>
      </w:pPr>
      <w:r>
        <w:rPr>
          <w:rFonts w:hint="eastAsia" w:eastAsia="仿宋_GB2312"/>
          <w:sz w:val="32"/>
          <w:szCs w:val="32"/>
          <w:lang w:val="en-US" w:eastAsia="zh-CN"/>
        </w:rPr>
        <w:t>2、</w:t>
      </w:r>
      <w:r>
        <w:rPr>
          <w:rFonts w:eastAsia="仿宋_GB2312"/>
          <w:sz w:val="32"/>
          <w:szCs w:val="32"/>
        </w:rPr>
        <w:t>阶段性目标</w:t>
      </w:r>
    </w:p>
    <w:p w14:paraId="7F13BE6D">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69A1A96C">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7F71DF44">
      <w:pPr>
        <w:spacing w:line="560" w:lineRule="exact"/>
        <w:ind w:firstLine="640" w:firstLineChars="200"/>
        <w:rPr>
          <w:rFonts w:eastAsia="黑体"/>
          <w:sz w:val="32"/>
          <w:szCs w:val="32"/>
        </w:rPr>
      </w:pPr>
      <w:r>
        <w:rPr>
          <w:rFonts w:eastAsia="黑体"/>
          <w:sz w:val="32"/>
          <w:szCs w:val="32"/>
        </w:rPr>
        <w:t>二、绩效评价工作开展情况</w:t>
      </w:r>
    </w:p>
    <w:p w14:paraId="20D8C768">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6372F94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67E87FE">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3896B5B">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348D0F99">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7D726361">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2B5504C">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727EA7E6">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生态环境厅环境监察专员办环境监察专项项目所包含的全部项目建设内容。</w:t>
      </w:r>
    </w:p>
    <w:p w14:paraId="3187A84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208EF26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生态环境厅环境监察专员办环境监察专项项目进行评价，评价核心为专项资金的支出完成情况和效果。</w:t>
      </w:r>
    </w:p>
    <w:p w14:paraId="71591A16">
      <w:pPr>
        <w:spacing w:line="560" w:lineRule="exact"/>
        <w:ind w:firstLine="643" w:firstLineChars="200"/>
      </w:pPr>
      <w:r>
        <w:rPr>
          <w:rFonts w:eastAsia="楷体_GB2312"/>
          <w:b/>
          <w:bCs/>
          <w:sz w:val="32"/>
          <w:szCs w:val="32"/>
        </w:rPr>
        <w:t>（二）绩效评价原则、评价指标体系（详情见表1）、评价方法、评价标准。</w:t>
      </w:r>
    </w:p>
    <w:p w14:paraId="2907C4A5">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40DBBCA7">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02C47548">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541BD491">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07E90254">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035ADEEE">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0915073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7B04AC5B">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45C867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7B06E4D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7D472D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2CC6DB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E2A5C2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635CEE7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2BFEBE7">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83FEF01">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429A3A09">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1D4189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B8435A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4212EE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2D19EAA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66FA35F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55E5628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1F402C5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36624C07">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w:t>
      </w:r>
    </w:p>
    <w:p w14:paraId="44318C55">
      <w:pPr>
        <w:spacing w:line="560" w:lineRule="exact"/>
        <w:ind w:firstLine="708" w:firstLineChars="200"/>
        <w:rPr>
          <w:rFonts w:eastAsia="仿宋_GB2312"/>
          <w:color w:val="000000"/>
          <w:spacing w:val="17"/>
          <w:sz w:val="32"/>
          <w:szCs w:val="32"/>
        </w:rPr>
      </w:pPr>
      <w:bookmarkStart w:id="1" w:name="_Toc17882"/>
      <w:bookmarkStart w:id="2" w:name="_Toc31464"/>
      <w:r>
        <w:rPr>
          <w:rFonts w:hint="eastAsia" w:eastAsia="仿宋_GB2312"/>
          <w:color w:val="000000"/>
          <w:spacing w:val="17"/>
          <w:sz w:val="32"/>
          <w:szCs w:val="32"/>
        </w:rPr>
        <w:t>计划标准：指以预先制定的目标、计划、预算、定额等作为评价标准。</w:t>
      </w:r>
      <w:bookmarkEnd w:id="1"/>
      <w:bookmarkEnd w:id="2"/>
    </w:p>
    <w:p w14:paraId="307E02D8">
      <w:pPr>
        <w:spacing w:line="560" w:lineRule="exact"/>
        <w:ind w:firstLine="708" w:firstLineChars="200"/>
        <w:rPr>
          <w:rFonts w:eastAsia="仿宋_GB2312"/>
          <w:color w:val="000000"/>
          <w:spacing w:val="17"/>
          <w:sz w:val="32"/>
          <w:szCs w:val="32"/>
        </w:rPr>
      </w:pPr>
      <w:bookmarkStart w:id="3" w:name="_Toc2318"/>
      <w:bookmarkStart w:id="4" w:name="_Toc5633"/>
      <w:r>
        <w:rPr>
          <w:rFonts w:hint="eastAsia" w:eastAsia="仿宋_GB2312"/>
          <w:color w:val="000000"/>
          <w:spacing w:val="17"/>
          <w:sz w:val="32"/>
          <w:szCs w:val="32"/>
        </w:rPr>
        <w:t>行业标准：指参照国家公布的行业指标数据制定的评价标准。</w:t>
      </w:r>
      <w:bookmarkEnd w:id="3"/>
      <w:bookmarkEnd w:id="4"/>
    </w:p>
    <w:p w14:paraId="7FA42AE3">
      <w:pPr>
        <w:spacing w:line="560" w:lineRule="exact"/>
        <w:ind w:firstLine="708" w:firstLineChars="200"/>
        <w:rPr>
          <w:rFonts w:eastAsia="仿宋_GB2312"/>
          <w:color w:val="000000"/>
          <w:spacing w:val="17"/>
          <w:sz w:val="32"/>
          <w:szCs w:val="32"/>
        </w:rPr>
      </w:pPr>
      <w:bookmarkStart w:id="5" w:name="_Toc16028"/>
      <w:bookmarkStart w:id="6"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5"/>
      <w:bookmarkEnd w:id="6"/>
    </w:p>
    <w:p w14:paraId="7DB8BA1A">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645D33EB">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31F5206F">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1465461D">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7C5BAC73">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60E1B8F0">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02459C7D">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103D36E">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1CDC64DE">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14:paraId="632D90A7">
      <w:pPr>
        <w:pStyle w:val="10"/>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9AE349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8219DAB">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F21ED93">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8CAC0FB">
            <w:pPr>
              <w:jc w:val="center"/>
              <w:rPr>
                <w:b/>
                <w:bCs/>
                <w:color w:val="000000"/>
                <w:sz w:val="22"/>
              </w:rPr>
            </w:pPr>
            <w:r>
              <w:rPr>
                <w:rFonts w:hint="eastAsia"/>
                <w:b/>
                <w:bCs/>
                <w:color w:val="000000"/>
                <w:sz w:val="22"/>
              </w:rPr>
              <w:t>得分</w:t>
            </w:r>
          </w:p>
        </w:tc>
      </w:tr>
      <w:tr w14:paraId="7A172C24">
        <w:tblPrEx>
          <w:tblCellMar>
            <w:top w:w="0" w:type="dxa"/>
            <w:left w:w="108" w:type="dxa"/>
            <w:bottom w:w="0" w:type="dxa"/>
            <w:right w:w="108" w:type="dxa"/>
          </w:tblCellMar>
        </w:tblPrEx>
        <w:trPr>
          <w:trHeight w:val="327"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E3E024">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6B0E1EB">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8FBF0D8">
            <w:pPr>
              <w:jc w:val="center"/>
              <w:rPr>
                <w:color w:val="000000"/>
                <w:sz w:val="22"/>
              </w:rPr>
            </w:pPr>
            <w:r>
              <w:rPr>
                <w:rFonts w:hint="eastAsia"/>
                <w:color w:val="000000"/>
                <w:sz w:val="22"/>
              </w:rPr>
              <w:t>20</w:t>
            </w:r>
          </w:p>
        </w:tc>
      </w:tr>
      <w:tr w14:paraId="4C2D9C2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1C17CC">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B882C68">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7D8B858">
            <w:pPr>
              <w:jc w:val="center"/>
              <w:rPr>
                <w:color w:val="000000"/>
                <w:sz w:val="22"/>
              </w:rPr>
            </w:pPr>
            <w:r>
              <w:rPr>
                <w:rFonts w:hint="eastAsia"/>
                <w:color w:val="000000"/>
                <w:sz w:val="22"/>
              </w:rPr>
              <w:t>20</w:t>
            </w:r>
          </w:p>
        </w:tc>
      </w:tr>
      <w:tr w14:paraId="14F143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A125BB">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5DD7738">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1AEB4529">
            <w:pPr>
              <w:jc w:val="center"/>
              <w:rPr>
                <w:color w:val="000000"/>
                <w:sz w:val="22"/>
              </w:rPr>
            </w:pPr>
            <w:r>
              <w:rPr>
                <w:rFonts w:hint="eastAsia"/>
                <w:color w:val="000000"/>
                <w:sz w:val="22"/>
              </w:rPr>
              <w:t>40</w:t>
            </w:r>
          </w:p>
        </w:tc>
      </w:tr>
      <w:tr w14:paraId="05A2AF8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ADDFFBA">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3C904AA">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3C83D5F">
            <w:pPr>
              <w:jc w:val="center"/>
              <w:rPr>
                <w:color w:val="000000"/>
                <w:sz w:val="22"/>
              </w:rPr>
            </w:pPr>
            <w:r>
              <w:rPr>
                <w:rFonts w:hint="eastAsia"/>
                <w:color w:val="000000"/>
                <w:sz w:val="22"/>
              </w:rPr>
              <w:t>20</w:t>
            </w:r>
          </w:p>
        </w:tc>
      </w:tr>
      <w:tr w14:paraId="27C8CCA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015E8E">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79DFF76">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5C8C0AC">
            <w:pPr>
              <w:jc w:val="center"/>
              <w:rPr>
                <w:b/>
                <w:bCs/>
                <w:color w:val="000000"/>
                <w:sz w:val="22"/>
              </w:rPr>
            </w:pPr>
            <w:r>
              <w:rPr>
                <w:rFonts w:hint="eastAsia"/>
                <w:b/>
                <w:bCs/>
                <w:color w:val="000000"/>
                <w:sz w:val="22"/>
              </w:rPr>
              <w:t>100</w:t>
            </w:r>
          </w:p>
        </w:tc>
      </w:tr>
    </w:tbl>
    <w:p w14:paraId="075D03C4">
      <w:pPr>
        <w:spacing w:line="560" w:lineRule="exact"/>
        <w:ind w:firstLine="640" w:firstLineChars="200"/>
        <w:rPr>
          <w:rFonts w:eastAsia="黑体"/>
          <w:sz w:val="32"/>
          <w:szCs w:val="32"/>
        </w:rPr>
      </w:pPr>
      <w:r>
        <w:rPr>
          <w:rFonts w:eastAsia="黑体"/>
          <w:sz w:val="32"/>
          <w:szCs w:val="32"/>
        </w:rPr>
        <w:t>四、绩效评价指标分析</w:t>
      </w:r>
    </w:p>
    <w:p w14:paraId="1963F72C">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F97C5D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w:t>
      </w:r>
    </w:p>
    <w:p w14:paraId="0B7546AC">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6B57458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44EBE22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72A91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8B4519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5B9AE2CC">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4BD397D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5C22353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8CFA9C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3BF966D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45FEFDAE">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3B5B357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18F5077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439404B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294C8E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5DB83C08">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CF997F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w:t>
      </w:r>
    </w:p>
    <w:p w14:paraId="01DC2B6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185E3D4">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CD7BE3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5B4A8C2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本项目总投资60万元，财政资金及时足额到位，到位率100%，预算资金按计划进度执行。</w:t>
      </w:r>
    </w:p>
    <w:p w14:paraId="5388F1E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7E8C613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预算编制较为详细，项目资金支出总体能够按照预算执行，预算资金支出59.95万元，预算执行率为99.92%。</w:t>
      </w:r>
    </w:p>
    <w:p w14:paraId="107B2F3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56F5BDA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549981A">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475E5B6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6E5F32F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16B8DE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299782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7230094B">
      <w:pPr>
        <w:pStyle w:val="12"/>
        <w:numPr>
          <w:ilvl w:val="0"/>
          <w:numId w:val="5"/>
        </w:numPr>
        <w:spacing w:line="560" w:lineRule="exact"/>
        <w:ind w:firstLine="64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7336373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分，实际得分</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%。具体产出指标完成情况如下：</w:t>
      </w:r>
    </w:p>
    <w:p w14:paraId="48E1DB3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784F458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 ，指标值：&gt;=1个 ，实际完成值：1个，指标完成率100%。</w:t>
      </w:r>
    </w:p>
    <w:p w14:paraId="7088D88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指标2：形成环保督察整改情况报告，指标值：&gt;=4个 ，实际完成值：5个，指标完成率1</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%，偏差率25%，偏差原因：因工作实际需要，完成督察整改报告5个 。</w:t>
      </w:r>
    </w:p>
    <w:p w14:paraId="331F464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68ECF3F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 ，指标值：100% ，实际完成值： 100%，指标完成率100%。</w:t>
      </w:r>
    </w:p>
    <w:p w14:paraId="2DDEB1D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指标2：区域覆盖率，指标值：100% ，实际完成值： 100%，指标完成率100%。</w:t>
      </w:r>
    </w:p>
    <w:p w14:paraId="4BA776C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时效指标：年度督察任务按时完成率，指标值：100% ，实际完成值：100%，指标完成率100%。</w:t>
      </w:r>
    </w:p>
    <w:p w14:paraId="0EE1AAAD">
      <w:pPr>
        <w:pStyle w:val="1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fldChar w:fldCharType="begin"/>
      </w:r>
      <w:r>
        <w:rPr>
          <w:rFonts w:hint="eastAsia" w:ascii="仿宋_GB2312" w:hAnsi="仿宋_GB2312" w:eastAsia="仿宋_GB2312" w:cs="仿宋_GB2312"/>
          <w:b w:val="0"/>
          <w:bCs w:val="0"/>
          <w:kern w:val="2"/>
        </w:rPr>
        <w:instrText xml:space="preserve"> = 4 \* GB3 </w:instrText>
      </w:r>
      <w:r>
        <w:rPr>
          <w:rFonts w:hint="eastAsia" w:ascii="仿宋_GB2312" w:hAnsi="仿宋_GB2312" w:eastAsia="仿宋_GB2312" w:cs="仿宋_GB2312"/>
          <w:b w:val="0"/>
          <w:bCs w:val="0"/>
          <w:kern w:val="2"/>
        </w:rPr>
        <w:fldChar w:fldCharType="separate"/>
      </w:r>
      <w:r>
        <w:rPr>
          <w:rFonts w:hint="eastAsia" w:ascii="仿宋_GB2312" w:hAnsi="仿宋_GB2312" w:eastAsia="仿宋_GB2312" w:cs="仿宋_GB2312"/>
          <w:b w:val="0"/>
          <w:bCs w:val="0"/>
          <w:kern w:val="2"/>
        </w:rPr>
        <w:t>④</w:t>
      </w:r>
      <w:r>
        <w:rPr>
          <w:rFonts w:hint="eastAsia" w:ascii="仿宋_GB2312" w:hAnsi="仿宋_GB2312" w:eastAsia="仿宋_GB2312" w:cs="仿宋_GB2312"/>
          <w:b w:val="0"/>
          <w:bCs w:val="0"/>
          <w:kern w:val="2"/>
        </w:rPr>
        <w:fldChar w:fldCharType="end"/>
      </w:r>
      <w:r>
        <w:rPr>
          <w:rFonts w:hint="eastAsia" w:ascii="仿宋_GB2312" w:hAnsi="仿宋_GB2312" w:eastAsia="仿宋_GB2312" w:cs="仿宋_GB2312"/>
          <w:b w:val="0"/>
          <w:bCs w:val="0"/>
          <w:kern w:val="2"/>
        </w:rPr>
        <w:t>成本指标：</w:t>
      </w:r>
    </w:p>
    <w:p w14:paraId="230CA925">
      <w:pPr>
        <w:pStyle w:val="10"/>
        <w:ind w:firstLine="640" w:firstLineChars="200"/>
        <w:jc w:val="left"/>
      </w:pPr>
      <w:r>
        <w:rPr>
          <w:rFonts w:hint="eastAsia" w:ascii="仿宋_GB2312" w:hAnsi="仿宋_GB2312" w:eastAsia="仿宋_GB2312" w:cs="仿宋_GB2312"/>
          <w:b w:val="0"/>
          <w:bCs w:val="0"/>
          <w:kern w:val="2"/>
        </w:rPr>
        <w:t>a.监督检查工作指标，指标值为&lt;=33.98万元，实际完成33.98万元，完成率100%，偏差率0%，偏差原因无。</w:t>
      </w:r>
    </w:p>
    <w:p w14:paraId="38D35CA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b.监察期间费用指标，指标值为&lt;=26.02万元，实际完成25.97万元，完成率99.8%，偏差率0.2%，偏差原因节约成本，合理规划预算使用。</w:t>
      </w:r>
    </w:p>
    <w:p w14:paraId="0305EB53">
      <w:pPr>
        <w:pStyle w:val="12"/>
        <w:numPr>
          <w:ilvl w:val="0"/>
          <w:numId w:val="5"/>
        </w:numPr>
        <w:spacing w:line="560" w:lineRule="exact"/>
        <w:ind w:firstLine="640"/>
        <w:rPr>
          <w:rFonts w:eastAsia="楷体_GB2312"/>
          <w:b/>
          <w:bCs/>
          <w:sz w:val="32"/>
          <w:szCs w:val="32"/>
        </w:rPr>
      </w:pPr>
      <w:r>
        <w:rPr>
          <w:rFonts w:hint="eastAsia" w:eastAsia="楷体_GB2312"/>
          <w:b/>
          <w:bCs/>
          <w:sz w:val="32"/>
          <w:szCs w:val="32"/>
        </w:rPr>
        <w:t>项目效益情况</w:t>
      </w:r>
    </w:p>
    <w:p w14:paraId="6711B64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分，得分率为100%。具体效益指标及满意度指标完成情况如下：</w:t>
      </w:r>
    </w:p>
    <w:p w14:paraId="710C4F7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14:paraId="364A5924">
      <w:pPr>
        <w:pStyle w:val="1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①社会效益指标：构建新型生态环境保护监察体系，指标值为不断完善，实际完成不断完善，完成率100%，偏差率0%。</w:t>
      </w:r>
    </w:p>
    <w:p w14:paraId="7534B92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14:paraId="2E154246">
      <w:pPr>
        <w:pStyle w:val="10"/>
        <w:ind w:firstLine="640" w:firstLineChars="200"/>
        <w:jc w:val="left"/>
        <w:rPr>
          <w:rFonts w:ascii="仿宋_GB2312" w:hAnsi="仿宋_GB2312" w:eastAsia="仿宋_GB2312" w:cs="仿宋_GB2312"/>
        </w:rPr>
      </w:pPr>
      <w:r>
        <w:rPr>
          <w:rFonts w:hint="eastAsia" w:ascii="仿宋_GB2312" w:hAnsi="仿宋_GB2312" w:eastAsia="仿宋_GB2312" w:cs="仿宋_GB2312"/>
          <w:b w:val="0"/>
          <w:bCs w:val="0"/>
          <w:kern w:val="2"/>
        </w:rPr>
        <w:t>满意度指标：检查人员被投诉次数，指标值为≤5次，实际完成0次，完成率100%。</w:t>
      </w:r>
    </w:p>
    <w:p w14:paraId="55C312C8">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14:paraId="41534ACD">
      <w:pPr>
        <w:pStyle w:val="19"/>
        <w:spacing w:line="560" w:lineRule="exact"/>
        <w:ind w:firstLine="640"/>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生态环境厅环境监察专员办环境监察专项</w:t>
      </w:r>
      <w:r>
        <w:rPr>
          <w:rFonts w:hint="eastAsia" w:ascii="仿宋_GB2312" w:hAnsi="仿宋_GB2312" w:eastAsia="仿宋_GB2312" w:cs="仿宋_GB2312"/>
          <w:kern w:val="2"/>
          <w:sz w:val="32"/>
          <w:szCs w:val="32"/>
        </w:rPr>
        <w:t>项目年初预算60万元，全年预算60万元，实际支出59.95万元，预算执行率为99.92%，项目绩效指标总体完成率为</w:t>
      </w:r>
      <w:r>
        <w:rPr>
          <w:rFonts w:ascii="仿宋_GB2312" w:hAnsi="仿宋_GB2312" w:eastAsia="仿宋_GB2312" w:cs="仿宋_GB2312"/>
          <w:kern w:val="2"/>
          <w:sz w:val="32"/>
          <w:szCs w:val="32"/>
        </w:rPr>
        <w:t>102.76</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总体</w:t>
      </w:r>
      <w:r>
        <w:rPr>
          <w:rFonts w:hint="eastAsia" w:ascii="仿宋_GB2312" w:hAnsi="仿宋_GB2312" w:eastAsia="仿宋_GB2312" w:cs="仿宋_GB2312"/>
          <w:kern w:val="2"/>
          <w:sz w:val="32"/>
          <w:szCs w:val="32"/>
        </w:rPr>
        <w:t>偏差率为</w:t>
      </w:r>
      <w:r>
        <w:rPr>
          <w:rFonts w:ascii="仿宋_GB2312" w:hAnsi="仿宋_GB2312" w:eastAsia="仿宋_GB2312" w:cs="仿宋_GB2312"/>
          <w:kern w:val="2"/>
          <w:sz w:val="32"/>
          <w:szCs w:val="32"/>
        </w:rPr>
        <w:t>2.84</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偏差</w:t>
      </w:r>
      <w:r>
        <w:rPr>
          <w:rFonts w:hint="eastAsia" w:ascii="仿宋_GB2312" w:hAnsi="仿宋_GB2312" w:eastAsia="仿宋_GB2312" w:cs="仿宋_GB2312"/>
          <w:kern w:val="2"/>
          <w:sz w:val="32"/>
          <w:szCs w:val="32"/>
        </w:rPr>
        <w:t>原因因工作实际需要，完成督察整改报告5个 ；</w:t>
      </w:r>
      <w:r>
        <w:rPr>
          <w:rFonts w:hint="eastAsia" w:ascii="仿宋_GB2312" w:hAnsi="仿宋_GB2312" w:eastAsia="仿宋_GB2312" w:cs="仿宋_GB2312"/>
          <w:kern w:val="2"/>
          <w:sz w:val="32"/>
          <w:szCs w:val="32"/>
          <w:lang w:eastAsia="zh-Hans"/>
        </w:rPr>
        <w:t>节约成本，合理规划预算使用。改进</w:t>
      </w:r>
      <w:r>
        <w:rPr>
          <w:rFonts w:hint="eastAsia" w:ascii="仿宋_GB2312" w:hAnsi="仿宋_GB2312" w:eastAsia="仿宋_GB2312" w:cs="仿宋_GB2312"/>
          <w:kern w:val="2"/>
          <w:sz w:val="32"/>
          <w:szCs w:val="32"/>
        </w:rPr>
        <w:t>措施进一步加强预算编制。</w:t>
      </w:r>
    </w:p>
    <w:p w14:paraId="24917958">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05620204">
      <w:pPr>
        <w:spacing w:line="560" w:lineRule="exact"/>
        <w:ind w:firstLine="627" w:firstLineChars="200"/>
        <w:rPr>
          <w:rFonts w:eastAsia="仿宋_GB2312"/>
          <w:color w:val="FF0000"/>
          <w:spacing w:val="17"/>
          <w:sz w:val="32"/>
          <w:szCs w:val="32"/>
          <w:highlight w:val="yellow"/>
        </w:rPr>
      </w:pPr>
      <w:r>
        <w:rPr>
          <w:rFonts w:eastAsia="楷体"/>
          <w:b/>
          <w:spacing w:val="-4"/>
          <w:sz w:val="32"/>
          <w:szCs w:val="32"/>
        </w:rPr>
        <w:t>（一）主要经验及做法</w:t>
      </w:r>
    </w:p>
    <w:p w14:paraId="7DECF877">
      <w:pPr>
        <w:pStyle w:val="5"/>
        <w:ind w:firstLine="640" w:firstLineChars="200"/>
        <w:rPr>
          <w:rFonts w:eastAsia="仿宋_GB2312"/>
          <w:color w:val="FF0000"/>
          <w:spacing w:val="17"/>
          <w:sz w:val="32"/>
          <w:szCs w:val="32"/>
          <w:highlight w:val="yellow"/>
        </w:rPr>
      </w:pPr>
      <w:r>
        <w:rPr>
          <w:rFonts w:hint="eastAsia" w:ascii="仿宋_GB2312" w:hAnsi="仿宋_GB2312" w:eastAsia="仿宋_GB2312" w:cs="仿宋_GB2312"/>
          <w:sz w:val="32"/>
          <w:szCs w:val="32"/>
        </w:rPr>
        <w:t>预算项目立项依据充分，绩效目标合理且清晰明确；项目管理机制健全、措施保障有力，全面、按时完成各项绩效制表，有效促进了部门履职绩效目标的实现；资金使用合规，会计核算规范，财务控制有效；项目完成及时，符合年度预算目标。提升预算项目管理相关人员业务素质和思想认识，将绩效自评融入到绩效管理的整个过程，提高绩效自评的效率和效果。同时加强对预算编制的管理，严格执行预算绩效管理办法，科学合理地设置预算绩效指标，积极推动绩效自评结果应用将其作为预算编制和改进管理的重要依据。</w:t>
      </w:r>
    </w:p>
    <w:p w14:paraId="7B77D4BD">
      <w:pPr>
        <w:spacing w:line="560" w:lineRule="exact"/>
        <w:ind w:firstLine="627" w:firstLineChars="200"/>
        <w:rPr>
          <w:rFonts w:eastAsia="楷体"/>
          <w:b/>
          <w:spacing w:val="-4"/>
          <w:sz w:val="32"/>
          <w:szCs w:val="32"/>
        </w:rPr>
      </w:pPr>
      <w:r>
        <w:rPr>
          <w:rFonts w:hint="eastAsia" w:eastAsia="楷体"/>
          <w:b/>
          <w:spacing w:val="-4"/>
          <w:sz w:val="32"/>
          <w:szCs w:val="32"/>
        </w:rPr>
        <w:t>（二）</w:t>
      </w:r>
      <w:r>
        <w:rPr>
          <w:rFonts w:eastAsia="楷体"/>
          <w:b/>
          <w:spacing w:val="-4"/>
          <w:sz w:val="32"/>
          <w:szCs w:val="32"/>
        </w:rPr>
        <w:t>存在的问题及原因分析</w:t>
      </w:r>
    </w:p>
    <w:p w14:paraId="118CCE91">
      <w:pPr>
        <w:numPr>
          <w:ilvl w:val="0"/>
          <w:numId w:val="6"/>
        </w:num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826FCD2">
      <w:pPr>
        <w:spacing w:line="600" w:lineRule="exact"/>
        <w:ind w:firstLine="640" w:firstLineChars="200"/>
        <w:outlineLvl w:val="0"/>
        <w:rPr>
          <w:rFonts w:ascii="仿宋_GB2312" w:hAnsi="仿宋_GB2312" w:eastAsia="仿宋_GB2312" w:cs="仿宋_GB2312"/>
          <w:sz w:val="32"/>
          <w:szCs w:val="32"/>
          <w:highlight w:val="yellow"/>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.虽然我办实施绩效管理后财政预算资金管理精细化水平已有提高，但是依然存在一些不足，绩效指标设置的精准性、合理性有待进一步改善。</w:t>
      </w:r>
    </w:p>
    <w:p w14:paraId="4A19410D">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05EA4EB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244A782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14:paraId="2FE105EB">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14:paraId="7604CC46">
      <w:pPr>
        <w:pStyle w:val="13"/>
        <w:spacing w:after="0" w:line="560" w:lineRule="exact"/>
        <w:ind w:left="0" w:leftChars="0" w:firstLine="640"/>
        <w:rPr>
          <w:rFonts w:hint="eastAsia" w:ascii="仿宋_GB2312" w:hAnsi="仿宋_GB2312" w:eastAsia="仿宋_GB2312" w:cs="仿宋_GB2312"/>
          <w:sz w:val="32"/>
          <w:szCs w:val="32"/>
          <w:lang w:eastAsia="zh-Hans"/>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p>
    <w:tbl>
      <w:tblPr>
        <w:tblStyle w:val="14"/>
        <w:tblW w:w="13988" w:type="dxa"/>
        <w:tblInd w:w="0" w:type="dxa"/>
        <w:shd w:val="clear" w:color="auto" w:fill="auto"/>
        <w:tblLayout w:type="fixed"/>
        <w:tblCellMar>
          <w:top w:w="0" w:type="dxa"/>
          <w:left w:w="0" w:type="dxa"/>
          <w:bottom w:w="0" w:type="dxa"/>
          <w:right w:w="0" w:type="dxa"/>
        </w:tblCellMar>
      </w:tblPr>
      <w:tblGrid>
        <w:gridCol w:w="511"/>
        <w:gridCol w:w="732"/>
        <w:gridCol w:w="832"/>
        <w:gridCol w:w="1634"/>
        <w:gridCol w:w="1021"/>
        <w:gridCol w:w="1285"/>
        <w:gridCol w:w="994"/>
        <w:gridCol w:w="860"/>
        <w:gridCol w:w="818"/>
        <w:gridCol w:w="759"/>
        <w:gridCol w:w="874"/>
        <w:gridCol w:w="928"/>
        <w:gridCol w:w="607"/>
        <w:gridCol w:w="2133"/>
      </w:tblGrid>
      <w:tr w14:paraId="53E50082">
        <w:tblPrEx>
          <w:shd w:val="clear" w:color="auto" w:fill="auto"/>
          <w:tblCellMar>
            <w:top w:w="0" w:type="dxa"/>
            <w:left w:w="0" w:type="dxa"/>
            <w:bottom w:w="0" w:type="dxa"/>
            <w:right w:w="0" w:type="dxa"/>
          </w:tblCellMar>
        </w:tblPrEx>
        <w:trPr>
          <w:trHeight w:val="405"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14:paraId="4B003D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488CA7B0">
        <w:tblPrEx>
          <w:shd w:val="clear" w:color="auto" w:fill="auto"/>
          <w:tblCellMar>
            <w:top w:w="0" w:type="dxa"/>
            <w:left w:w="0" w:type="dxa"/>
            <w:bottom w:w="0" w:type="dxa"/>
            <w:right w:w="0" w:type="dxa"/>
          </w:tblCellMar>
        </w:tblPrEx>
        <w:trPr>
          <w:trHeight w:val="465" w:hRule="atLeast"/>
        </w:trPr>
        <w:tc>
          <w:tcPr>
            <w:tcW w:w="13988"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D69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14:paraId="171D7DD2">
        <w:tblPrEx>
          <w:shd w:val="clear" w:color="auto" w:fill="auto"/>
          <w:tblCellMar>
            <w:top w:w="0" w:type="dxa"/>
            <w:left w:w="0" w:type="dxa"/>
            <w:bottom w:w="0" w:type="dxa"/>
            <w:right w:w="0" w:type="dxa"/>
          </w:tblCellMar>
        </w:tblPrEx>
        <w:trPr>
          <w:trHeight w:val="491"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5C7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项目名称</w:t>
            </w:r>
          </w:p>
        </w:tc>
        <w:tc>
          <w:tcPr>
            <w:tcW w:w="1274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FC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生态环境厅环境监察专员办环境监察专项</w:t>
            </w:r>
          </w:p>
        </w:tc>
      </w:tr>
      <w:tr w14:paraId="4DC295AB">
        <w:tblPrEx>
          <w:shd w:val="clear" w:color="auto" w:fill="auto"/>
          <w:tblCellMar>
            <w:top w:w="0" w:type="dxa"/>
            <w:left w:w="0" w:type="dxa"/>
            <w:bottom w:w="0" w:type="dxa"/>
            <w:right w:w="0" w:type="dxa"/>
          </w:tblCellMar>
        </w:tblPrEx>
        <w:trPr>
          <w:trHeight w:val="381"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AC0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主管部门</w:t>
            </w:r>
          </w:p>
        </w:tc>
        <w:tc>
          <w:tcPr>
            <w:tcW w:w="57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904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新疆维吾尔自治区生态环境厅</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26C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实施单位</w:t>
            </w:r>
          </w:p>
        </w:tc>
        <w:tc>
          <w:tcPr>
            <w:tcW w:w="530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FE3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新疆维吾尔自治区生态环境厅第三生态环境监察专员办公室</w:t>
            </w:r>
          </w:p>
        </w:tc>
      </w:tr>
      <w:tr w14:paraId="2811D76F">
        <w:tblPrEx>
          <w:shd w:val="clear" w:color="auto" w:fill="auto"/>
          <w:tblCellMar>
            <w:top w:w="0" w:type="dxa"/>
            <w:left w:w="0" w:type="dxa"/>
            <w:bottom w:w="0" w:type="dxa"/>
            <w:right w:w="0" w:type="dxa"/>
          </w:tblCellMar>
        </w:tblPrEx>
        <w:trPr>
          <w:trHeight w:val="440"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49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项目资金</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（万元）</w:t>
            </w: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08C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68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年初预算数</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83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全年预算数</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ACC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全年执行数</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16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分值</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60F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执行率</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56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得分</w:t>
            </w:r>
          </w:p>
        </w:tc>
      </w:tr>
      <w:tr w14:paraId="2FAE1B5E">
        <w:tblPrEx>
          <w:shd w:val="clear" w:color="auto" w:fill="auto"/>
          <w:tblCellMar>
            <w:top w:w="0" w:type="dxa"/>
            <w:left w:w="0" w:type="dxa"/>
            <w:bottom w:w="0" w:type="dxa"/>
            <w:right w:w="0" w:type="dxa"/>
          </w:tblCellMar>
        </w:tblPrEx>
        <w:trPr>
          <w:trHeight w:val="577"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BBA3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7C2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年度资金总额</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965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EA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03C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59.95</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8D3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A30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99.92%</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09D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w:t>
            </w:r>
          </w:p>
        </w:tc>
      </w:tr>
      <w:tr w14:paraId="1A1C1791">
        <w:tblPrEx>
          <w:shd w:val="clear" w:color="auto" w:fill="auto"/>
          <w:tblCellMar>
            <w:top w:w="0" w:type="dxa"/>
            <w:left w:w="0" w:type="dxa"/>
            <w:bottom w:w="0" w:type="dxa"/>
            <w:right w:w="0" w:type="dxa"/>
          </w:tblCellMar>
        </w:tblPrEx>
        <w:trPr>
          <w:trHeight w:val="564"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B89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F5D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其中：当年财政拨款</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22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A1A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134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59.95</w:t>
            </w: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A42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8AF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9AA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14:paraId="633C394B">
        <w:tblPrEx>
          <w:shd w:val="clear" w:color="auto" w:fill="auto"/>
          <w:tblCellMar>
            <w:top w:w="0" w:type="dxa"/>
            <w:left w:w="0" w:type="dxa"/>
            <w:bottom w:w="0" w:type="dxa"/>
            <w:right w:w="0" w:type="dxa"/>
          </w:tblCellMar>
        </w:tblPrEx>
        <w:trPr>
          <w:trHeight w:val="555"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FF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F5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其他资金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F149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C796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2A7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39B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3D3A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816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14:paraId="4E95483D">
        <w:tblPrEx>
          <w:shd w:val="clear" w:color="auto" w:fill="auto"/>
          <w:tblCellMar>
            <w:top w:w="0" w:type="dxa"/>
            <w:left w:w="0" w:type="dxa"/>
            <w:bottom w:w="0" w:type="dxa"/>
            <w:right w:w="0" w:type="dxa"/>
          </w:tblCellMar>
        </w:tblPrEx>
        <w:trPr>
          <w:trHeight w:val="540"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21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年度总体目标</w:t>
            </w:r>
          </w:p>
        </w:tc>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FB7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预期目标</w:t>
            </w:r>
          </w:p>
        </w:tc>
        <w:tc>
          <w:tcPr>
            <w:tcW w:w="69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18E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实际完成情况</w:t>
            </w:r>
          </w:p>
        </w:tc>
      </w:tr>
      <w:tr w14:paraId="0064C2AC">
        <w:tblPrEx>
          <w:shd w:val="clear" w:color="auto" w:fill="auto"/>
          <w:tblCellMar>
            <w:top w:w="0" w:type="dxa"/>
            <w:left w:w="0" w:type="dxa"/>
            <w:bottom w:w="0" w:type="dxa"/>
            <w:right w:w="0" w:type="dxa"/>
          </w:tblCellMar>
        </w:tblPrEx>
        <w:trPr>
          <w:trHeight w:val="2747"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6468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A06BF">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自治区党委、人民政府及生态环境厅统一部署，第三专员办负责对乌鲁木齐市生态环境质量落实情况进行监督检查。通过日常监察、现场巡察等方式，督促当地生态环境保护工作持续改善；配合中央和自治区生态环境保护督察组开展定期督察，并对中央和自治区督察整改落实情况进行督导；全年区域覆盖率达到100%，年度督察任务按时完成率达到100%。</w:t>
            </w:r>
          </w:p>
        </w:tc>
        <w:tc>
          <w:tcPr>
            <w:tcW w:w="69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7B0C">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据自治区党委、人民政府工作部署，在自治区生态环境厅党组领导下，按照自治区整改办统一安排，自治区省级督察工作任务，配合参与了对巴州地区，吐鲁番地区，阿克苏地区的自治区生态环境保护督察工作，对辖区内第二轮中央环境保护督察反馈问题整改“回头看”发现的突出问题进行了专项督察，对自治区省级督察期间反馈的整改任务及时跟进，调度实时掌握整改进展情况，确保整改落实到位。重点对乌鲁木齐市冬季大气污染防治工作及应急响应措施落实情况进行专项督察。</w:t>
            </w:r>
          </w:p>
        </w:tc>
      </w:tr>
      <w:tr w14:paraId="7E32CC3A">
        <w:tblPrEx>
          <w:shd w:val="clear" w:color="auto" w:fill="auto"/>
          <w:tblCellMar>
            <w:top w:w="0" w:type="dxa"/>
            <w:left w:w="0" w:type="dxa"/>
            <w:bottom w:w="0" w:type="dxa"/>
            <w:right w:w="0" w:type="dxa"/>
          </w:tblCellMar>
        </w:tblPrEx>
        <w:trPr>
          <w:trHeight w:val="270"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9A55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18"/>
                <w:szCs w:val="18"/>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6D1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EE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1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DF8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596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权重</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1D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目标值</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114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业绩值</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BC5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完成率</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16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指标得分</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CE0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指标值设定依据</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4D3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上年完成情况</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6F2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赋分规则</w:t>
            </w:r>
          </w:p>
        </w:tc>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5EE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佐证资料</w:t>
            </w:r>
          </w:p>
        </w:tc>
        <w:tc>
          <w:tcPr>
            <w:tcW w:w="21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5FE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偏差原因分析及改进措施</w:t>
            </w:r>
          </w:p>
        </w:tc>
      </w:tr>
      <w:tr w14:paraId="20140A03">
        <w:tblPrEx>
          <w:shd w:val="clear" w:color="auto" w:fill="auto"/>
          <w:tblCellMar>
            <w:top w:w="0" w:type="dxa"/>
            <w:left w:w="0" w:type="dxa"/>
            <w:bottom w:w="0" w:type="dxa"/>
            <w:right w:w="0" w:type="dxa"/>
          </w:tblCellMar>
        </w:tblPrEx>
        <w:trPr>
          <w:trHeight w:val="27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02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18"/>
                <w:szCs w:val="18"/>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95F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B8FC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3CA0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B8E9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5C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C9C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65C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CC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FAD8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748B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D245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CDA7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c>
          <w:tcPr>
            <w:tcW w:w="21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162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0"/>
                <w:szCs w:val="20"/>
                <w:u w:val="none"/>
              </w:rPr>
            </w:pPr>
          </w:p>
        </w:tc>
      </w:tr>
      <w:tr w14:paraId="157CC832">
        <w:tblPrEx>
          <w:shd w:val="clear" w:color="auto" w:fill="auto"/>
          <w:tblCellMar>
            <w:top w:w="0" w:type="dxa"/>
            <w:left w:w="0" w:type="dxa"/>
            <w:bottom w:w="0" w:type="dxa"/>
            <w:right w:w="0" w:type="dxa"/>
          </w:tblCellMar>
        </w:tblPrEx>
        <w:trPr>
          <w:trHeight w:val="740"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63F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年度绩效指标完成情况</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7C7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C6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CE8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覆盖生态环境监察区域</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0FB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E67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8AA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AAD8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F8E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02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247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42E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直接赋分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61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013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2FB41994">
        <w:tblPrEx>
          <w:shd w:val="clear" w:color="auto" w:fill="auto"/>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DE48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AF0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83C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519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形成环保督察整改情况报告</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E8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25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EC0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013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AD8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B4B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9A2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6个</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C7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按评判等级赋分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3FC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D1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因工作实际需要，完成督察整改报告5个。</w:t>
            </w:r>
          </w:p>
        </w:tc>
      </w:tr>
      <w:tr w14:paraId="5B2ADA2C">
        <w:tblPrEx>
          <w:shd w:val="clear" w:color="auto" w:fill="auto"/>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8D4C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1616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F9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232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报告质量通过率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B96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nil"/>
              <w:left w:val="nil"/>
              <w:bottom w:val="nil"/>
              <w:right w:val="nil"/>
            </w:tcBorders>
            <w:shd w:val="clear" w:color="auto" w:fill="auto"/>
            <w:noWrap/>
            <w:tcMar>
              <w:top w:w="15" w:type="dxa"/>
              <w:left w:w="15" w:type="dxa"/>
              <w:right w:w="15" w:type="dxa"/>
            </w:tcMar>
            <w:vAlign w:val="center"/>
          </w:tcPr>
          <w:p w14:paraId="03BEEF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374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D154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D48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A8B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B18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CE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C98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2C6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1A76C7F5">
        <w:tblPrEx>
          <w:shd w:val="clear" w:color="auto" w:fill="auto"/>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888B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6B5D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B71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73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区域覆盖率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AE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AA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77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1B67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54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DCC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C8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CC0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9E9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D62A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7CF0762D">
        <w:tblPrEx>
          <w:shd w:val="clear" w:color="auto" w:fill="auto"/>
          <w:tblCellMar>
            <w:top w:w="0" w:type="dxa"/>
            <w:left w:w="0" w:type="dxa"/>
            <w:bottom w:w="0" w:type="dxa"/>
            <w:right w:w="0" w:type="dxa"/>
          </w:tblCellMar>
        </w:tblPrEx>
        <w:trPr>
          <w:trHeight w:val="639"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526C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EB22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6E1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37B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年度督察任务按时完成率</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6D5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F13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481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0181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C18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E08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75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D0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B45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6962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40FAC149">
        <w:tblPrEx>
          <w:shd w:val="clear" w:color="auto" w:fill="auto"/>
          <w:tblCellMar>
            <w:top w:w="0" w:type="dxa"/>
            <w:left w:w="0" w:type="dxa"/>
            <w:bottom w:w="0" w:type="dxa"/>
            <w:right w:w="0" w:type="dxa"/>
          </w:tblCellMar>
        </w:tblPrEx>
        <w:trPr>
          <w:trHeight w:val="639"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254A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413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3ED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05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监察期间费用</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7E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48D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&lt;=26.02万元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B4C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25.97万元</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648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55C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9.95</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4F1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预算支出标准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D33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19.9万元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FDA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2F5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原始凭证</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C33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节约成本，合理规划预算使用。</w:t>
            </w:r>
          </w:p>
        </w:tc>
      </w:tr>
      <w:tr w14:paraId="4EF2F8DF">
        <w:tblPrEx>
          <w:shd w:val="clear" w:color="auto" w:fill="auto"/>
          <w:tblCellMar>
            <w:top w:w="0" w:type="dxa"/>
            <w:left w:w="0" w:type="dxa"/>
            <w:bottom w:w="0" w:type="dxa"/>
            <w:right w:w="0" w:type="dxa"/>
          </w:tblCellMar>
        </w:tblPrEx>
        <w:trPr>
          <w:trHeight w:val="653"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54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4CB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026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D2B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监督检查工作</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547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D16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&lt;=33.98万元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C7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33.98万元</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C874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AC2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C6C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预算支出标准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943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F8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42D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原始凭证</w:t>
            </w:r>
          </w:p>
        </w:tc>
        <w:tc>
          <w:tcPr>
            <w:tcW w:w="2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631128">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r>
      <w:tr w14:paraId="6C97B654">
        <w:tblPrEx>
          <w:shd w:val="clear" w:color="auto" w:fill="auto"/>
          <w:tblCellMar>
            <w:top w:w="0" w:type="dxa"/>
            <w:left w:w="0" w:type="dxa"/>
            <w:bottom w:w="0" w:type="dxa"/>
            <w:right w:w="0" w:type="dxa"/>
          </w:tblCellMar>
        </w:tblPrEx>
        <w:trPr>
          <w:trHeight w:val="68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545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CC8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C37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BB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构建新型生态环境保护监察体系</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F3F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E73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2F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1A3E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A1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A30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FB2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037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按评判等级赋分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30E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0665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07758182">
        <w:tblPrEx>
          <w:shd w:val="clear" w:color="auto" w:fill="auto"/>
          <w:tblCellMar>
            <w:top w:w="0" w:type="dxa"/>
            <w:left w:w="0" w:type="dxa"/>
            <w:bottom w:w="0" w:type="dxa"/>
            <w:right w:w="0" w:type="dxa"/>
          </w:tblCellMar>
        </w:tblPrEx>
        <w:trPr>
          <w:trHeight w:val="74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BF37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b/>
                <w:i w:val="0"/>
                <w:color w:val="000000"/>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8DA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5F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D0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检查人员被投诉次数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3D6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67D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≤5次</w:t>
            </w: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EAA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0次</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61D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DF2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F51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计划标准</w:t>
            </w: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F3D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0次</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C94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3BF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工作资料</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994A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r>
      <w:tr w14:paraId="20DCF721">
        <w:tblPrEx>
          <w:shd w:val="clear" w:color="auto" w:fill="auto"/>
          <w:tblCellMar>
            <w:top w:w="0" w:type="dxa"/>
            <w:left w:w="0" w:type="dxa"/>
            <w:bottom w:w="0" w:type="dxa"/>
            <w:right w:w="0" w:type="dxa"/>
          </w:tblCellMar>
        </w:tblPrEx>
        <w:trPr>
          <w:trHeight w:val="740" w:hRule="atLeast"/>
        </w:trPr>
        <w:tc>
          <w:tcPr>
            <w:tcW w:w="3709" w:type="dxa"/>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166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总分</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40C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8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EE72C6D">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b/>
                <w:i w:val="0"/>
                <w:color w:val="000000"/>
                <w:sz w:val="22"/>
                <w:szCs w:val="22"/>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850A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D4B9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宋体" w:hAnsi="宋体" w:eastAsia="宋体" w:cs="宋体"/>
                <w:i w:val="0"/>
                <w:color w:val="000000"/>
                <w:sz w:val="22"/>
                <w:szCs w:val="22"/>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116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99.94</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41601">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B3180">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874E">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6476">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DB634">
            <w:pPr>
              <w:keepNext w:val="0"/>
              <w:keepLines w:val="0"/>
              <w:pageBreakBefore w:val="0"/>
              <w:widowControl/>
              <w:kinsoku/>
              <w:wordWrap/>
              <w:overflowPunct/>
              <w:topLinePunct w:val="0"/>
              <w:autoSpaceDE/>
              <w:autoSpaceDN/>
              <w:bidi w:val="0"/>
              <w:adjustRightInd/>
              <w:snapToGrid/>
              <w:spacing w:after="0" w:line="240" w:lineRule="auto"/>
              <w:rPr>
                <w:rFonts w:hint="eastAsia" w:ascii="宋体" w:hAnsi="宋体" w:eastAsia="宋体" w:cs="宋体"/>
                <w:i w:val="0"/>
                <w:color w:val="000000"/>
                <w:sz w:val="22"/>
                <w:szCs w:val="22"/>
                <w:u w:val="none"/>
              </w:rPr>
            </w:pPr>
          </w:p>
        </w:tc>
      </w:tr>
    </w:tbl>
    <w:p w14:paraId="424710FA">
      <w:pPr>
        <w:pStyle w:val="10"/>
        <w:jc w:val="both"/>
        <w:rPr>
          <w:rFonts w:ascii="Times New Roman" w:hAnsi="Times New Roman"/>
        </w:rPr>
        <w:sectPr>
          <w:pgSz w:w="16838" w:h="11906" w:orient="landscape"/>
          <w:pgMar w:top="1800" w:right="1440" w:bottom="1558" w:left="1440" w:header="851" w:footer="992" w:gutter="0"/>
          <w:cols w:space="425" w:num="1"/>
          <w:docGrid w:type="lines" w:linePitch="312" w:charSpace="0"/>
        </w:sectPr>
      </w:pPr>
    </w:p>
    <w:p w14:paraId="4E9CECD2">
      <w:pPr>
        <w:spacing w:line="600" w:lineRule="exact"/>
        <w:rPr>
          <w:rFonts w:ascii="黑体" w:hAnsi="黑体" w:eastAsia="黑体" w:cs="黑体"/>
        </w:rPr>
      </w:pPr>
      <w:r>
        <w:rPr>
          <w:rFonts w:hint="eastAsia" w:ascii="黑体" w:hAnsi="黑体" w:eastAsia="黑体" w:cs="黑体"/>
          <w:bCs/>
          <w:sz w:val="32"/>
          <w:szCs w:val="32"/>
        </w:rPr>
        <w:t>附件1</w:t>
      </w:r>
    </w:p>
    <w:p w14:paraId="73474489">
      <w:pPr>
        <w:pStyle w:val="19"/>
        <w:ind w:firstLine="562"/>
        <w:jc w:val="center"/>
        <w:rPr>
          <w:sz w:val="28"/>
          <w:szCs w:val="40"/>
        </w:rPr>
      </w:pPr>
      <w:bookmarkStart w:id="8" w:name="_Toc30064_WPSOffice_Level1"/>
      <w:bookmarkStart w:id="9" w:name="_Toc26499_WPSOffice_Level2"/>
      <w:r>
        <w:rPr>
          <w:rFonts w:hint="eastAsia"/>
          <w:b/>
          <w:bCs/>
          <w:sz w:val="28"/>
          <w:szCs w:val="40"/>
        </w:rPr>
        <w:t>生态环境厅环境监察专员办环境监察专项项目绩效评价指标体系及综合评分表</w:t>
      </w:r>
      <w:bookmarkEnd w:id="8"/>
      <w:bookmarkEnd w:id="9"/>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2557A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49FA7315">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14:paraId="2CF93049">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6D326E68">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14:paraId="599842A4">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14:paraId="2DA02E4C">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14:paraId="3ACB1B58">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14:paraId="49F11F88">
            <w:pPr>
              <w:widowControl/>
              <w:spacing w:line="0" w:lineRule="atLeast"/>
              <w:jc w:val="center"/>
              <w:rPr>
                <w:b/>
                <w:bCs/>
                <w:color w:val="000000"/>
                <w:kern w:val="0"/>
                <w:sz w:val="22"/>
                <w:szCs w:val="22"/>
              </w:rPr>
            </w:pPr>
            <w:r>
              <w:rPr>
                <w:b/>
                <w:bCs/>
                <w:color w:val="000000"/>
                <w:kern w:val="0"/>
                <w:sz w:val="22"/>
                <w:szCs w:val="22"/>
              </w:rPr>
              <w:t>得分</w:t>
            </w:r>
          </w:p>
        </w:tc>
      </w:tr>
      <w:tr w14:paraId="6086C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3BE846E2">
            <w:pPr>
              <w:widowControl/>
              <w:spacing w:line="0" w:lineRule="atLeast"/>
              <w:jc w:val="center"/>
              <w:rPr>
                <w:color w:val="000000"/>
                <w:kern w:val="0"/>
                <w:sz w:val="22"/>
                <w:szCs w:val="22"/>
              </w:rPr>
            </w:pPr>
          </w:p>
          <w:p w14:paraId="227C80F2">
            <w:pPr>
              <w:widowControl/>
              <w:spacing w:line="0" w:lineRule="atLeast"/>
              <w:jc w:val="center"/>
              <w:rPr>
                <w:color w:val="000000"/>
                <w:kern w:val="0"/>
                <w:sz w:val="22"/>
                <w:szCs w:val="22"/>
              </w:rPr>
            </w:pPr>
          </w:p>
          <w:p w14:paraId="38C59553">
            <w:pPr>
              <w:widowControl/>
              <w:spacing w:line="0" w:lineRule="atLeast"/>
              <w:jc w:val="center"/>
              <w:rPr>
                <w:color w:val="000000"/>
                <w:kern w:val="0"/>
                <w:sz w:val="22"/>
                <w:szCs w:val="22"/>
              </w:rPr>
            </w:pPr>
          </w:p>
          <w:p w14:paraId="0600589E">
            <w:pPr>
              <w:widowControl/>
              <w:spacing w:line="0" w:lineRule="atLeast"/>
              <w:jc w:val="center"/>
              <w:rPr>
                <w:color w:val="000000"/>
                <w:kern w:val="0"/>
                <w:sz w:val="22"/>
                <w:szCs w:val="22"/>
              </w:rPr>
            </w:pPr>
          </w:p>
          <w:p w14:paraId="46174A0B">
            <w:pPr>
              <w:widowControl/>
              <w:spacing w:line="0" w:lineRule="atLeast"/>
              <w:jc w:val="center"/>
              <w:rPr>
                <w:color w:val="000000"/>
                <w:kern w:val="0"/>
                <w:sz w:val="22"/>
                <w:szCs w:val="22"/>
              </w:rPr>
            </w:pPr>
          </w:p>
          <w:p w14:paraId="6E9350C0">
            <w:pPr>
              <w:widowControl/>
              <w:spacing w:line="0" w:lineRule="atLeast"/>
              <w:jc w:val="center"/>
              <w:rPr>
                <w:color w:val="000000"/>
                <w:kern w:val="0"/>
                <w:sz w:val="22"/>
                <w:szCs w:val="22"/>
              </w:rPr>
            </w:pPr>
          </w:p>
          <w:p w14:paraId="6AD98A8B">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14:paraId="5EA331EE">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14:paraId="3049D5C2">
            <w:pPr>
              <w:widowControl/>
              <w:spacing w:line="0" w:lineRule="atLeast"/>
              <w:jc w:val="center"/>
              <w:rPr>
                <w:color w:val="000000"/>
                <w:kern w:val="0"/>
                <w:sz w:val="22"/>
                <w:szCs w:val="22"/>
              </w:rPr>
            </w:pPr>
            <w:r>
              <w:rPr>
                <w:color w:val="000000"/>
                <w:kern w:val="0"/>
                <w:sz w:val="22"/>
                <w:szCs w:val="22"/>
              </w:rPr>
              <w:t>立项依据</w:t>
            </w:r>
          </w:p>
          <w:p w14:paraId="41F95D4A">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14:paraId="4A293C54">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3EE584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14:paraId="3136BC1E">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43F62FFE">
            <w:pPr>
              <w:widowControl/>
              <w:spacing w:line="0" w:lineRule="atLeast"/>
              <w:jc w:val="center"/>
              <w:rPr>
                <w:b/>
                <w:bCs/>
                <w:color w:val="000000"/>
                <w:kern w:val="0"/>
                <w:sz w:val="22"/>
                <w:szCs w:val="22"/>
              </w:rPr>
            </w:pPr>
            <w:r>
              <w:rPr>
                <w:rFonts w:hint="eastAsia"/>
                <w:b/>
                <w:bCs/>
                <w:color w:val="000000"/>
                <w:kern w:val="0"/>
                <w:sz w:val="22"/>
                <w:szCs w:val="22"/>
              </w:rPr>
              <w:t>3</w:t>
            </w:r>
          </w:p>
        </w:tc>
      </w:tr>
      <w:tr w14:paraId="2FF52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DC12B7C">
            <w:pPr>
              <w:spacing w:line="0" w:lineRule="atLeast"/>
              <w:jc w:val="center"/>
              <w:rPr>
                <w:color w:val="000000"/>
                <w:kern w:val="0"/>
                <w:sz w:val="22"/>
                <w:szCs w:val="22"/>
              </w:rPr>
            </w:pPr>
          </w:p>
        </w:tc>
        <w:tc>
          <w:tcPr>
            <w:tcW w:w="764" w:type="dxa"/>
            <w:vMerge w:val="continue"/>
            <w:shd w:val="clear" w:color="auto" w:fill="FFFFFF"/>
            <w:vAlign w:val="center"/>
          </w:tcPr>
          <w:p w14:paraId="7ADE4EB6">
            <w:pPr>
              <w:widowControl/>
              <w:spacing w:line="0" w:lineRule="atLeast"/>
              <w:jc w:val="center"/>
              <w:rPr>
                <w:color w:val="000000"/>
                <w:kern w:val="0"/>
                <w:sz w:val="22"/>
                <w:szCs w:val="22"/>
              </w:rPr>
            </w:pPr>
          </w:p>
        </w:tc>
        <w:tc>
          <w:tcPr>
            <w:tcW w:w="873" w:type="dxa"/>
            <w:shd w:val="clear" w:color="auto" w:fill="FFFFFF"/>
            <w:vAlign w:val="center"/>
          </w:tcPr>
          <w:p w14:paraId="2CB0E007">
            <w:pPr>
              <w:widowControl/>
              <w:spacing w:line="0" w:lineRule="atLeast"/>
              <w:jc w:val="center"/>
              <w:rPr>
                <w:color w:val="000000"/>
                <w:kern w:val="0"/>
                <w:sz w:val="22"/>
                <w:szCs w:val="22"/>
              </w:rPr>
            </w:pPr>
            <w:r>
              <w:rPr>
                <w:color w:val="000000"/>
                <w:kern w:val="0"/>
                <w:sz w:val="22"/>
                <w:szCs w:val="22"/>
              </w:rPr>
              <w:t>立项程序</w:t>
            </w:r>
          </w:p>
          <w:p w14:paraId="493B0410">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14:paraId="386FD88E">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14:paraId="3B96FB8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14:paraId="262C9DDF">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62B29788">
            <w:pPr>
              <w:widowControl/>
              <w:spacing w:line="0" w:lineRule="atLeast"/>
              <w:jc w:val="center"/>
              <w:rPr>
                <w:b/>
                <w:bCs/>
                <w:color w:val="000000"/>
                <w:kern w:val="0"/>
                <w:sz w:val="22"/>
                <w:szCs w:val="22"/>
              </w:rPr>
            </w:pPr>
            <w:r>
              <w:rPr>
                <w:rFonts w:hint="eastAsia"/>
                <w:b/>
                <w:bCs/>
                <w:color w:val="000000"/>
                <w:kern w:val="0"/>
                <w:sz w:val="22"/>
                <w:szCs w:val="22"/>
              </w:rPr>
              <w:t>3</w:t>
            </w:r>
          </w:p>
        </w:tc>
      </w:tr>
      <w:tr w14:paraId="3207A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752C305">
            <w:pPr>
              <w:spacing w:line="0" w:lineRule="atLeast"/>
              <w:jc w:val="center"/>
              <w:rPr>
                <w:color w:val="000000"/>
                <w:kern w:val="0"/>
                <w:sz w:val="22"/>
                <w:szCs w:val="22"/>
              </w:rPr>
            </w:pPr>
          </w:p>
        </w:tc>
        <w:tc>
          <w:tcPr>
            <w:tcW w:w="764" w:type="dxa"/>
            <w:vMerge w:val="restart"/>
            <w:shd w:val="clear" w:color="auto" w:fill="FFFFFF"/>
            <w:vAlign w:val="center"/>
          </w:tcPr>
          <w:p w14:paraId="7130C09F">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14:paraId="52D91C55">
            <w:pPr>
              <w:widowControl/>
              <w:spacing w:line="0" w:lineRule="atLeast"/>
              <w:jc w:val="center"/>
              <w:rPr>
                <w:color w:val="000000"/>
                <w:kern w:val="0"/>
                <w:sz w:val="22"/>
                <w:szCs w:val="22"/>
              </w:rPr>
            </w:pPr>
            <w:r>
              <w:rPr>
                <w:color w:val="000000"/>
                <w:kern w:val="0"/>
                <w:sz w:val="22"/>
                <w:szCs w:val="22"/>
              </w:rPr>
              <w:t>绩效目标</w:t>
            </w:r>
          </w:p>
          <w:p w14:paraId="7B8F5D51">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14:paraId="3BF4AC7C">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157D5DE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19650455">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14:paraId="4D039449">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7B524B51">
            <w:pPr>
              <w:widowControl/>
              <w:spacing w:line="0" w:lineRule="atLeast"/>
              <w:jc w:val="center"/>
              <w:rPr>
                <w:b/>
                <w:bCs/>
                <w:color w:val="000000"/>
                <w:kern w:val="0"/>
                <w:sz w:val="22"/>
                <w:szCs w:val="22"/>
              </w:rPr>
            </w:pPr>
            <w:r>
              <w:rPr>
                <w:rFonts w:hint="eastAsia"/>
                <w:b/>
                <w:bCs/>
                <w:color w:val="000000"/>
                <w:kern w:val="0"/>
                <w:sz w:val="22"/>
                <w:szCs w:val="22"/>
              </w:rPr>
              <w:t>3</w:t>
            </w:r>
          </w:p>
        </w:tc>
      </w:tr>
      <w:tr w14:paraId="0328D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171564EB">
            <w:pPr>
              <w:widowControl/>
              <w:spacing w:line="0" w:lineRule="atLeast"/>
              <w:jc w:val="center"/>
              <w:rPr>
                <w:color w:val="000000"/>
                <w:kern w:val="0"/>
                <w:sz w:val="22"/>
                <w:szCs w:val="22"/>
              </w:rPr>
            </w:pPr>
          </w:p>
        </w:tc>
        <w:tc>
          <w:tcPr>
            <w:tcW w:w="764" w:type="dxa"/>
            <w:vMerge w:val="continue"/>
            <w:shd w:val="clear" w:color="auto" w:fill="FFFFFF"/>
            <w:vAlign w:val="center"/>
          </w:tcPr>
          <w:p w14:paraId="7A48299C">
            <w:pPr>
              <w:widowControl/>
              <w:spacing w:line="0" w:lineRule="atLeast"/>
              <w:jc w:val="center"/>
              <w:rPr>
                <w:color w:val="000000"/>
                <w:kern w:val="0"/>
                <w:sz w:val="22"/>
                <w:szCs w:val="22"/>
              </w:rPr>
            </w:pPr>
          </w:p>
        </w:tc>
        <w:tc>
          <w:tcPr>
            <w:tcW w:w="873" w:type="dxa"/>
            <w:shd w:val="clear" w:color="auto" w:fill="FFFFFF"/>
            <w:vAlign w:val="center"/>
          </w:tcPr>
          <w:p w14:paraId="6B345A4D">
            <w:pPr>
              <w:widowControl/>
              <w:spacing w:line="0" w:lineRule="atLeast"/>
              <w:jc w:val="center"/>
              <w:rPr>
                <w:color w:val="000000"/>
                <w:kern w:val="0"/>
                <w:sz w:val="22"/>
                <w:szCs w:val="22"/>
              </w:rPr>
            </w:pPr>
            <w:r>
              <w:rPr>
                <w:color w:val="000000"/>
                <w:kern w:val="0"/>
                <w:sz w:val="22"/>
                <w:szCs w:val="22"/>
              </w:rPr>
              <w:t>绩效指标</w:t>
            </w:r>
          </w:p>
          <w:p w14:paraId="1381AD8E">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14:paraId="1B3FC64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6312474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14:paraId="769D6E30">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30AE8213">
            <w:pPr>
              <w:widowControl/>
              <w:spacing w:line="0" w:lineRule="atLeast"/>
              <w:jc w:val="center"/>
              <w:rPr>
                <w:b/>
                <w:bCs/>
                <w:color w:val="000000"/>
                <w:kern w:val="0"/>
                <w:sz w:val="22"/>
                <w:szCs w:val="22"/>
              </w:rPr>
            </w:pPr>
            <w:r>
              <w:rPr>
                <w:rFonts w:hint="eastAsia"/>
                <w:b/>
                <w:bCs/>
                <w:color w:val="000000"/>
                <w:kern w:val="0"/>
                <w:sz w:val="22"/>
                <w:szCs w:val="22"/>
              </w:rPr>
              <w:t>3</w:t>
            </w:r>
          </w:p>
        </w:tc>
      </w:tr>
      <w:tr w14:paraId="6AE6B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1508E304">
            <w:pPr>
              <w:spacing w:line="0" w:lineRule="atLeast"/>
              <w:jc w:val="center"/>
              <w:rPr>
                <w:color w:val="000000"/>
                <w:kern w:val="0"/>
                <w:sz w:val="22"/>
                <w:szCs w:val="22"/>
              </w:rPr>
            </w:pPr>
          </w:p>
        </w:tc>
        <w:tc>
          <w:tcPr>
            <w:tcW w:w="764" w:type="dxa"/>
            <w:vMerge w:val="restart"/>
            <w:shd w:val="clear" w:color="auto" w:fill="FFFFFF"/>
            <w:vAlign w:val="center"/>
          </w:tcPr>
          <w:p w14:paraId="2FF95B97">
            <w:pPr>
              <w:widowControl/>
              <w:spacing w:line="0" w:lineRule="atLeast"/>
              <w:jc w:val="center"/>
              <w:rPr>
                <w:color w:val="000000"/>
                <w:kern w:val="0"/>
                <w:sz w:val="22"/>
                <w:szCs w:val="22"/>
              </w:rPr>
            </w:pPr>
            <w:r>
              <w:rPr>
                <w:color w:val="000000"/>
                <w:kern w:val="0"/>
                <w:sz w:val="22"/>
                <w:szCs w:val="22"/>
              </w:rPr>
              <w:t>资金投入</w:t>
            </w:r>
          </w:p>
          <w:p w14:paraId="4ADB8C80">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61790D14">
            <w:pPr>
              <w:widowControl/>
              <w:spacing w:line="0" w:lineRule="atLeast"/>
              <w:jc w:val="center"/>
              <w:rPr>
                <w:color w:val="000000"/>
                <w:kern w:val="0"/>
                <w:sz w:val="22"/>
                <w:szCs w:val="22"/>
              </w:rPr>
            </w:pPr>
            <w:r>
              <w:rPr>
                <w:color w:val="000000"/>
                <w:kern w:val="0"/>
                <w:sz w:val="22"/>
                <w:szCs w:val="22"/>
              </w:rPr>
              <w:t>预算编制</w:t>
            </w:r>
          </w:p>
          <w:p w14:paraId="36EB2610">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14:paraId="3C6CBAD4">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FA2728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14:paraId="48A1EAA0">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387AD005">
            <w:pPr>
              <w:widowControl/>
              <w:spacing w:line="0" w:lineRule="atLeast"/>
              <w:jc w:val="center"/>
              <w:rPr>
                <w:b/>
                <w:bCs/>
                <w:color w:val="000000"/>
                <w:kern w:val="0"/>
                <w:sz w:val="22"/>
                <w:szCs w:val="22"/>
              </w:rPr>
            </w:pPr>
            <w:r>
              <w:rPr>
                <w:rFonts w:hint="eastAsia"/>
                <w:b/>
                <w:bCs/>
                <w:color w:val="000000"/>
                <w:kern w:val="0"/>
                <w:sz w:val="22"/>
                <w:szCs w:val="22"/>
              </w:rPr>
              <w:t>4</w:t>
            </w:r>
          </w:p>
        </w:tc>
      </w:tr>
      <w:tr w14:paraId="15846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1B962D92">
            <w:pPr>
              <w:widowControl/>
              <w:spacing w:line="0" w:lineRule="atLeast"/>
              <w:jc w:val="center"/>
              <w:rPr>
                <w:color w:val="000000"/>
                <w:kern w:val="0"/>
                <w:sz w:val="22"/>
                <w:szCs w:val="22"/>
              </w:rPr>
            </w:pPr>
          </w:p>
        </w:tc>
        <w:tc>
          <w:tcPr>
            <w:tcW w:w="764" w:type="dxa"/>
            <w:vMerge w:val="continue"/>
            <w:shd w:val="clear" w:color="auto" w:fill="FFFFFF"/>
            <w:vAlign w:val="center"/>
          </w:tcPr>
          <w:p w14:paraId="246995C5">
            <w:pPr>
              <w:widowControl/>
              <w:spacing w:line="0" w:lineRule="atLeast"/>
              <w:jc w:val="center"/>
              <w:rPr>
                <w:color w:val="000000"/>
                <w:kern w:val="0"/>
                <w:sz w:val="22"/>
                <w:szCs w:val="22"/>
              </w:rPr>
            </w:pPr>
          </w:p>
        </w:tc>
        <w:tc>
          <w:tcPr>
            <w:tcW w:w="873" w:type="dxa"/>
            <w:shd w:val="clear" w:color="auto" w:fill="FFFFFF"/>
            <w:vAlign w:val="center"/>
          </w:tcPr>
          <w:p w14:paraId="7F3457A4">
            <w:pPr>
              <w:widowControl/>
              <w:spacing w:line="0" w:lineRule="atLeast"/>
              <w:jc w:val="center"/>
              <w:rPr>
                <w:color w:val="000000"/>
                <w:kern w:val="0"/>
                <w:sz w:val="22"/>
                <w:szCs w:val="22"/>
              </w:rPr>
            </w:pPr>
            <w:r>
              <w:rPr>
                <w:color w:val="000000"/>
                <w:kern w:val="0"/>
                <w:sz w:val="22"/>
                <w:szCs w:val="22"/>
              </w:rPr>
              <w:t>资金分配</w:t>
            </w:r>
          </w:p>
          <w:p w14:paraId="240F3C2D">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14:paraId="1BD8061C">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4E3332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14:paraId="4DCEC194">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5DED191A">
            <w:pPr>
              <w:widowControl/>
              <w:spacing w:line="0" w:lineRule="atLeast"/>
              <w:jc w:val="center"/>
              <w:rPr>
                <w:b/>
                <w:bCs/>
                <w:color w:val="000000"/>
                <w:kern w:val="0"/>
                <w:sz w:val="22"/>
                <w:szCs w:val="22"/>
              </w:rPr>
            </w:pPr>
            <w:r>
              <w:rPr>
                <w:rFonts w:hint="eastAsia"/>
                <w:b/>
                <w:bCs/>
                <w:color w:val="000000"/>
                <w:kern w:val="0"/>
                <w:sz w:val="22"/>
                <w:szCs w:val="22"/>
              </w:rPr>
              <w:t>4</w:t>
            </w:r>
          </w:p>
        </w:tc>
      </w:tr>
      <w:tr w14:paraId="49DB5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4F2AFC30">
            <w:pPr>
              <w:spacing w:line="0" w:lineRule="atLeast"/>
              <w:jc w:val="center"/>
              <w:rPr>
                <w:color w:val="000000"/>
                <w:kern w:val="0"/>
                <w:sz w:val="22"/>
                <w:szCs w:val="22"/>
              </w:rPr>
            </w:pPr>
          </w:p>
          <w:p w14:paraId="657E7EFC">
            <w:pPr>
              <w:spacing w:line="0" w:lineRule="atLeast"/>
              <w:jc w:val="center"/>
              <w:rPr>
                <w:color w:val="000000"/>
                <w:kern w:val="0"/>
                <w:sz w:val="22"/>
                <w:szCs w:val="22"/>
              </w:rPr>
            </w:pPr>
          </w:p>
          <w:p w14:paraId="2AEA9D8B">
            <w:pPr>
              <w:spacing w:line="0" w:lineRule="atLeast"/>
              <w:jc w:val="center"/>
              <w:rPr>
                <w:color w:val="000000"/>
                <w:kern w:val="0"/>
                <w:sz w:val="22"/>
                <w:szCs w:val="22"/>
              </w:rPr>
            </w:pPr>
          </w:p>
          <w:p w14:paraId="408A6171">
            <w:pPr>
              <w:spacing w:line="0" w:lineRule="atLeast"/>
              <w:jc w:val="center"/>
              <w:rPr>
                <w:color w:val="000000"/>
                <w:kern w:val="0"/>
                <w:sz w:val="22"/>
                <w:szCs w:val="22"/>
              </w:rPr>
            </w:pPr>
          </w:p>
          <w:p w14:paraId="461BF38F">
            <w:pPr>
              <w:spacing w:line="0" w:lineRule="atLeast"/>
              <w:jc w:val="center"/>
              <w:rPr>
                <w:color w:val="000000"/>
                <w:kern w:val="0"/>
                <w:sz w:val="22"/>
                <w:szCs w:val="22"/>
              </w:rPr>
            </w:pPr>
          </w:p>
          <w:p w14:paraId="678A5BEE">
            <w:pPr>
              <w:spacing w:line="0" w:lineRule="atLeast"/>
              <w:jc w:val="center"/>
              <w:rPr>
                <w:color w:val="000000"/>
                <w:kern w:val="0"/>
                <w:sz w:val="22"/>
                <w:szCs w:val="22"/>
              </w:rPr>
            </w:pPr>
          </w:p>
          <w:p w14:paraId="0DBB1B2F">
            <w:pPr>
              <w:spacing w:line="0" w:lineRule="atLeast"/>
              <w:jc w:val="center"/>
              <w:rPr>
                <w:color w:val="000000"/>
                <w:kern w:val="0"/>
                <w:sz w:val="22"/>
                <w:szCs w:val="22"/>
              </w:rPr>
            </w:pPr>
          </w:p>
          <w:p w14:paraId="18FBF1B7">
            <w:pPr>
              <w:spacing w:line="0" w:lineRule="atLeast"/>
              <w:jc w:val="center"/>
              <w:rPr>
                <w:color w:val="000000"/>
                <w:kern w:val="0"/>
                <w:sz w:val="22"/>
                <w:szCs w:val="22"/>
              </w:rPr>
            </w:pPr>
          </w:p>
          <w:p w14:paraId="776B3C51">
            <w:pPr>
              <w:spacing w:line="0" w:lineRule="atLeast"/>
              <w:jc w:val="center"/>
              <w:rPr>
                <w:color w:val="000000"/>
                <w:kern w:val="0"/>
                <w:sz w:val="22"/>
                <w:szCs w:val="22"/>
              </w:rPr>
            </w:pPr>
          </w:p>
          <w:p w14:paraId="3EFBD915">
            <w:pPr>
              <w:spacing w:line="0" w:lineRule="atLeast"/>
              <w:jc w:val="center"/>
              <w:rPr>
                <w:color w:val="000000"/>
                <w:kern w:val="0"/>
                <w:sz w:val="22"/>
                <w:szCs w:val="22"/>
              </w:rPr>
            </w:pPr>
          </w:p>
          <w:p w14:paraId="6570D8A7">
            <w:pPr>
              <w:spacing w:line="0" w:lineRule="atLeast"/>
              <w:jc w:val="center"/>
              <w:rPr>
                <w:color w:val="000000"/>
                <w:kern w:val="0"/>
                <w:sz w:val="22"/>
                <w:szCs w:val="22"/>
              </w:rPr>
            </w:pPr>
          </w:p>
          <w:p w14:paraId="5CEC270C">
            <w:pPr>
              <w:spacing w:line="0" w:lineRule="atLeast"/>
              <w:jc w:val="center"/>
              <w:rPr>
                <w:color w:val="000000"/>
                <w:kern w:val="0"/>
                <w:sz w:val="22"/>
                <w:szCs w:val="22"/>
              </w:rPr>
            </w:pPr>
          </w:p>
          <w:p w14:paraId="4AFE8D2C">
            <w:pPr>
              <w:spacing w:line="0" w:lineRule="atLeast"/>
              <w:jc w:val="center"/>
              <w:rPr>
                <w:color w:val="000000"/>
                <w:kern w:val="0"/>
                <w:sz w:val="22"/>
                <w:szCs w:val="22"/>
              </w:rPr>
            </w:pPr>
          </w:p>
          <w:p w14:paraId="5A3D9C23">
            <w:pPr>
              <w:spacing w:line="0" w:lineRule="atLeast"/>
              <w:jc w:val="center"/>
              <w:rPr>
                <w:color w:val="000000"/>
                <w:kern w:val="0"/>
                <w:sz w:val="22"/>
                <w:szCs w:val="22"/>
              </w:rPr>
            </w:pPr>
          </w:p>
          <w:p w14:paraId="0C3ED215">
            <w:pPr>
              <w:spacing w:line="0" w:lineRule="atLeast"/>
              <w:jc w:val="center"/>
              <w:rPr>
                <w:color w:val="000000"/>
                <w:kern w:val="0"/>
                <w:sz w:val="22"/>
                <w:szCs w:val="22"/>
              </w:rPr>
            </w:pPr>
          </w:p>
          <w:p w14:paraId="341337E6">
            <w:pPr>
              <w:spacing w:line="0" w:lineRule="atLeast"/>
              <w:jc w:val="center"/>
              <w:rPr>
                <w:color w:val="000000"/>
                <w:kern w:val="0"/>
                <w:sz w:val="22"/>
                <w:szCs w:val="22"/>
              </w:rPr>
            </w:pPr>
            <w:r>
              <w:rPr>
                <w:color w:val="000000"/>
                <w:kern w:val="0"/>
                <w:sz w:val="22"/>
                <w:szCs w:val="22"/>
              </w:rPr>
              <w:t>过程</w:t>
            </w:r>
          </w:p>
          <w:p w14:paraId="5E281506">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14:paraId="7B671BD0">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352F0CD8">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14:paraId="340B6C4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55D7275">
            <w:pPr>
              <w:widowControl/>
              <w:spacing w:line="0" w:lineRule="atLeast"/>
              <w:rPr>
                <w:color w:val="000000"/>
                <w:kern w:val="0"/>
                <w:sz w:val="22"/>
                <w:szCs w:val="22"/>
              </w:rPr>
            </w:pPr>
            <w:r>
              <w:rPr>
                <w:color w:val="000000"/>
                <w:kern w:val="0"/>
                <w:sz w:val="22"/>
                <w:szCs w:val="22"/>
              </w:rPr>
              <w:t>资金到位率=（实际到位资金/预算资金）×100%。</w:t>
            </w:r>
          </w:p>
          <w:p w14:paraId="17E94449">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C321E2D">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14:paraId="0D38704E">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5F994D17">
            <w:pPr>
              <w:widowControl/>
              <w:spacing w:line="0" w:lineRule="atLeast"/>
              <w:jc w:val="center"/>
              <w:rPr>
                <w:b/>
                <w:bCs/>
                <w:color w:val="000000"/>
                <w:kern w:val="0"/>
                <w:sz w:val="22"/>
                <w:szCs w:val="22"/>
              </w:rPr>
            </w:pPr>
            <w:r>
              <w:rPr>
                <w:rFonts w:hint="eastAsia"/>
                <w:b/>
                <w:bCs/>
                <w:color w:val="000000"/>
                <w:kern w:val="0"/>
                <w:sz w:val="22"/>
                <w:szCs w:val="22"/>
              </w:rPr>
              <w:t>4</w:t>
            </w:r>
          </w:p>
        </w:tc>
      </w:tr>
      <w:tr w14:paraId="73298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6C29BCA5">
            <w:pPr>
              <w:spacing w:line="0" w:lineRule="atLeast"/>
              <w:jc w:val="center"/>
              <w:rPr>
                <w:color w:val="000000"/>
                <w:kern w:val="0"/>
                <w:sz w:val="22"/>
                <w:szCs w:val="22"/>
              </w:rPr>
            </w:pPr>
          </w:p>
        </w:tc>
        <w:tc>
          <w:tcPr>
            <w:tcW w:w="764" w:type="dxa"/>
            <w:vMerge w:val="continue"/>
            <w:shd w:val="clear" w:color="auto" w:fill="FFFFFF"/>
            <w:vAlign w:val="center"/>
          </w:tcPr>
          <w:p w14:paraId="36D4C097">
            <w:pPr>
              <w:spacing w:line="0" w:lineRule="atLeast"/>
              <w:jc w:val="center"/>
              <w:rPr>
                <w:color w:val="000000"/>
                <w:kern w:val="0"/>
                <w:sz w:val="22"/>
                <w:szCs w:val="22"/>
              </w:rPr>
            </w:pPr>
          </w:p>
        </w:tc>
        <w:tc>
          <w:tcPr>
            <w:tcW w:w="873" w:type="dxa"/>
            <w:shd w:val="clear" w:color="auto" w:fill="FFFFFF"/>
            <w:vAlign w:val="center"/>
          </w:tcPr>
          <w:p w14:paraId="68968203">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14:paraId="0E3E951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14:paraId="502E9235">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14:paraId="698DCF2E">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756E812B">
            <w:pPr>
              <w:widowControl/>
              <w:spacing w:line="0" w:lineRule="atLeast"/>
              <w:jc w:val="center"/>
              <w:rPr>
                <w:b/>
                <w:bCs/>
                <w:color w:val="000000"/>
                <w:kern w:val="0"/>
                <w:sz w:val="22"/>
                <w:szCs w:val="22"/>
              </w:rPr>
            </w:pPr>
            <w:r>
              <w:rPr>
                <w:rFonts w:hint="eastAsia"/>
                <w:b/>
                <w:bCs/>
                <w:color w:val="000000"/>
                <w:kern w:val="0"/>
                <w:sz w:val="22"/>
                <w:szCs w:val="22"/>
              </w:rPr>
              <w:t>4</w:t>
            </w:r>
          </w:p>
        </w:tc>
      </w:tr>
      <w:tr w14:paraId="76FDC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067D7FBA">
            <w:pPr>
              <w:spacing w:line="0" w:lineRule="atLeast"/>
              <w:jc w:val="center"/>
              <w:rPr>
                <w:color w:val="000000"/>
                <w:kern w:val="0"/>
                <w:sz w:val="22"/>
                <w:szCs w:val="22"/>
              </w:rPr>
            </w:pPr>
          </w:p>
        </w:tc>
        <w:tc>
          <w:tcPr>
            <w:tcW w:w="764" w:type="dxa"/>
            <w:shd w:val="clear" w:color="auto" w:fill="FFFFFF"/>
            <w:vAlign w:val="center"/>
          </w:tcPr>
          <w:p w14:paraId="17F0B55B">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60A2C55F">
            <w:pPr>
              <w:widowControl/>
              <w:spacing w:line="0" w:lineRule="atLeast"/>
              <w:jc w:val="center"/>
              <w:rPr>
                <w:color w:val="000000"/>
                <w:kern w:val="0"/>
                <w:sz w:val="22"/>
                <w:szCs w:val="22"/>
              </w:rPr>
            </w:pPr>
            <w:r>
              <w:rPr>
                <w:color w:val="000000"/>
                <w:kern w:val="0"/>
                <w:sz w:val="22"/>
                <w:szCs w:val="22"/>
              </w:rPr>
              <w:t>资金使用</w:t>
            </w:r>
          </w:p>
          <w:p w14:paraId="6F8BFA5B">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14:paraId="0823BBC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4FE9DD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14:paraId="6DD1A573">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44FB502B">
            <w:pPr>
              <w:widowControl/>
              <w:spacing w:line="0" w:lineRule="atLeast"/>
              <w:jc w:val="center"/>
              <w:rPr>
                <w:b/>
                <w:bCs/>
                <w:color w:val="000000"/>
                <w:kern w:val="0"/>
                <w:sz w:val="22"/>
                <w:szCs w:val="22"/>
              </w:rPr>
            </w:pPr>
            <w:r>
              <w:rPr>
                <w:rFonts w:hint="eastAsia"/>
                <w:b/>
                <w:bCs/>
                <w:color w:val="000000"/>
                <w:kern w:val="0"/>
                <w:sz w:val="22"/>
                <w:szCs w:val="22"/>
              </w:rPr>
              <w:t>4</w:t>
            </w:r>
          </w:p>
        </w:tc>
      </w:tr>
      <w:tr w14:paraId="0261A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32BC0078">
            <w:pPr>
              <w:spacing w:line="0" w:lineRule="atLeast"/>
              <w:jc w:val="center"/>
              <w:rPr>
                <w:color w:val="000000"/>
                <w:kern w:val="0"/>
                <w:sz w:val="22"/>
                <w:szCs w:val="22"/>
              </w:rPr>
            </w:pPr>
          </w:p>
        </w:tc>
        <w:tc>
          <w:tcPr>
            <w:tcW w:w="764" w:type="dxa"/>
            <w:vMerge w:val="restart"/>
            <w:shd w:val="clear" w:color="auto" w:fill="FFFFFF"/>
            <w:vAlign w:val="center"/>
          </w:tcPr>
          <w:p w14:paraId="0F893476">
            <w:pPr>
              <w:widowControl/>
              <w:spacing w:line="0" w:lineRule="atLeast"/>
              <w:jc w:val="center"/>
              <w:rPr>
                <w:color w:val="000000"/>
                <w:kern w:val="0"/>
                <w:sz w:val="22"/>
                <w:szCs w:val="22"/>
              </w:rPr>
            </w:pPr>
            <w:r>
              <w:rPr>
                <w:color w:val="000000"/>
                <w:kern w:val="0"/>
                <w:sz w:val="22"/>
                <w:szCs w:val="22"/>
              </w:rPr>
              <w:t>组织实施</w:t>
            </w:r>
          </w:p>
          <w:p w14:paraId="7DAE7C3C">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68F0E5E8">
            <w:pPr>
              <w:widowControl/>
              <w:spacing w:line="0" w:lineRule="atLeast"/>
              <w:jc w:val="center"/>
              <w:rPr>
                <w:color w:val="000000"/>
                <w:kern w:val="0"/>
                <w:sz w:val="22"/>
                <w:szCs w:val="22"/>
              </w:rPr>
            </w:pPr>
            <w:r>
              <w:rPr>
                <w:color w:val="000000"/>
                <w:kern w:val="0"/>
                <w:sz w:val="22"/>
                <w:szCs w:val="22"/>
              </w:rPr>
              <w:t>管理制度</w:t>
            </w:r>
          </w:p>
          <w:p w14:paraId="470CDDDC">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14:paraId="20B7F886">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569B153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14:paraId="175657F2">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3D8591BB">
            <w:pPr>
              <w:widowControl/>
              <w:spacing w:line="0" w:lineRule="atLeast"/>
              <w:jc w:val="center"/>
              <w:rPr>
                <w:b/>
                <w:bCs/>
                <w:color w:val="000000"/>
                <w:kern w:val="0"/>
                <w:sz w:val="22"/>
                <w:szCs w:val="22"/>
              </w:rPr>
            </w:pPr>
            <w:r>
              <w:rPr>
                <w:rFonts w:hint="eastAsia"/>
                <w:b/>
                <w:bCs/>
                <w:color w:val="000000"/>
                <w:kern w:val="0"/>
                <w:sz w:val="22"/>
                <w:szCs w:val="22"/>
              </w:rPr>
              <w:t>4</w:t>
            </w:r>
          </w:p>
        </w:tc>
      </w:tr>
      <w:tr w14:paraId="50271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0A32340B">
            <w:pPr>
              <w:widowControl/>
              <w:spacing w:line="0" w:lineRule="atLeast"/>
              <w:jc w:val="center"/>
              <w:rPr>
                <w:color w:val="000000"/>
                <w:kern w:val="0"/>
                <w:sz w:val="22"/>
                <w:szCs w:val="22"/>
              </w:rPr>
            </w:pPr>
          </w:p>
        </w:tc>
        <w:tc>
          <w:tcPr>
            <w:tcW w:w="764" w:type="dxa"/>
            <w:vMerge w:val="continue"/>
            <w:shd w:val="clear" w:color="auto" w:fill="FFFFFF"/>
            <w:vAlign w:val="center"/>
          </w:tcPr>
          <w:p w14:paraId="5600A687">
            <w:pPr>
              <w:widowControl/>
              <w:spacing w:line="0" w:lineRule="atLeast"/>
              <w:jc w:val="center"/>
              <w:rPr>
                <w:color w:val="000000"/>
                <w:kern w:val="0"/>
                <w:sz w:val="22"/>
                <w:szCs w:val="22"/>
              </w:rPr>
            </w:pPr>
          </w:p>
        </w:tc>
        <w:tc>
          <w:tcPr>
            <w:tcW w:w="873" w:type="dxa"/>
            <w:shd w:val="clear" w:color="auto" w:fill="FFFFFF"/>
            <w:vAlign w:val="center"/>
          </w:tcPr>
          <w:p w14:paraId="1E82F376">
            <w:pPr>
              <w:widowControl/>
              <w:spacing w:line="0" w:lineRule="atLeast"/>
              <w:jc w:val="center"/>
              <w:rPr>
                <w:color w:val="000000"/>
                <w:kern w:val="0"/>
                <w:sz w:val="22"/>
                <w:szCs w:val="22"/>
              </w:rPr>
            </w:pPr>
            <w:r>
              <w:rPr>
                <w:color w:val="000000"/>
                <w:kern w:val="0"/>
                <w:sz w:val="22"/>
                <w:szCs w:val="22"/>
              </w:rPr>
              <w:t>制度执行</w:t>
            </w:r>
          </w:p>
          <w:p w14:paraId="40F6E776">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14:paraId="4E5B6CC7">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1274DC6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14:paraId="41749949">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4FD34786">
            <w:pPr>
              <w:widowControl/>
              <w:spacing w:line="0" w:lineRule="atLeast"/>
              <w:jc w:val="center"/>
              <w:rPr>
                <w:b/>
                <w:bCs/>
                <w:color w:val="000000"/>
                <w:kern w:val="0"/>
                <w:sz w:val="22"/>
                <w:szCs w:val="22"/>
              </w:rPr>
            </w:pPr>
            <w:r>
              <w:rPr>
                <w:rFonts w:hint="eastAsia"/>
                <w:b/>
                <w:bCs/>
                <w:color w:val="000000"/>
                <w:kern w:val="0"/>
                <w:sz w:val="22"/>
                <w:szCs w:val="22"/>
              </w:rPr>
              <w:t>4</w:t>
            </w:r>
          </w:p>
        </w:tc>
      </w:tr>
      <w:tr w14:paraId="30E8A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4D831727">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14:paraId="430C1850">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06E022FA">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14:paraId="15DB252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4DE89D9">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F253D72">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15F0C9C3">
            <w:pPr>
              <w:widowControl/>
              <w:spacing w:line="0" w:lineRule="atLeast"/>
              <w:jc w:val="center"/>
              <w:rPr>
                <w:b/>
                <w:bCs/>
                <w:color w:val="000000"/>
                <w:kern w:val="0"/>
                <w:sz w:val="22"/>
                <w:szCs w:val="22"/>
              </w:rPr>
            </w:pPr>
            <w:r>
              <w:rPr>
                <w:rFonts w:hint="eastAsia"/>
                <w:b/>
                <w:bCs/>
                <w:color w:val="000000"/>
                <w:kern w:val="0"/>
                <w:sz w:val="22"/>
                <w:szCs w:val="22"/>
              </w:rPr>
              <w:t>10</w:t>
            </w:r>
          </w:p>
        </w:tc>
      </w:tr>
      <w:tr w14:paraId="785A3F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47E49222">
            <w:pPr>
              <w:widowControl/>
              <w:spacing w:line="0" w:lineRule="atLeast"/>
              <w:jc w:val="center"/>
              <w:rPr>
                <w:color w:val="000000"/>
                <w:kern w:val="0"/>
                <w:sz w:val="22"/>
                <w:szCs w:val="22"/>
              </w:rPr>
            </w:pPr>
          </w:p>
        </w:tc>
        <w:tc>
          <w:tcPr>
            <w:tcW w:w="764" w:type="dxa"/>
            <w:shd w:val="clear" w:color="auto" w:fill="FFFFFF"/>
            <w:vAlign w:val="center"/>
          </w:tcPr>
          <w:p w14:paraId="4DAAF1BB">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5F88F5F5">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14:paraId="70708F0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D62CF57">
            <w:pPr>
              <w:widowControl/>
              <w:spacing w:line="0" w:lineRule="atLeast"/>
              <w:rPr>
                <w:color w:val="000000"/>
                <w:kern w:val="0"/>
                <w:sz w:val="22"/>
                <w:szCs w:val="22"/>
              </w:rPr>
            </w:pPr>
            <w:r>
              <w:rPr>
                <w:color w:val="000000"/>
                <w:kern w:val="0"/>
                <w:sz w:val="22"/>
                <w:szCs w:val="22"/>
              </w:rPr>
              <w:t>质量达标率=（质量达标产出数/实际产出数）×100%。</w:t>
            </w:r>
          </w:p>
          <w:p w14:paraId="31DC86A4">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7B519816">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3A3E7833">
            <w:pPr>
              <w:widowControl/>
              <w:spacing w:line="0" w:lineRule="atLeast"/>
              <w:jc w:val="center"/>
              <w:rPr>
                <w:b/>
                <w:bCs/>
                <w:color w:val="000000"/>
                <w:kern w:val="0"/>
                <w:sz w:val="22"/>
                <w:szCs w:val="22"/>
              </w:rPr>
            </w:pPr>
            <w:r>
              <w:rPr>
                <w:rFonts w:hint="eastAsia"/>
                <w:b/>
                <w:bCs/>
                <w:color w:val="000000"/>
                <w:kern w:val="0"/>
                <w:sz w:val="22"/>
                <w:szCs w:val="22"/>
              </w:rPr>
              <w:t>10</w:t>
            </w:r>
          </w:p>
        </w:tc>
      </w:tr>
      <w:tr w14:paraId="70BB8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10D2BD25">
            <w:pPr>
              <w:spacing w:line="0" w:lineRule="atLeast"/>
              <w:jc w:val="center"/>
              <w:rPr>
                <w:color w:val="000000"/>
                <w:kern w:val="0"/>
                <w:sz w:val="22"/>
                <w:szCs w:val="22"/>
              </w:rPr>
            </w:pPr>
          </w:p>
        </w:tc>
        <w:tc>
          <w:tcPr>
            <w:tcW w:w="764" w:type="dxa"/>
            <w:shd w:val="clear" w:color="auto" w:fill="FFFFFF"/>
            <w:vAlign w:val="center"/>
          </w:tcPr>
          <w:p w14:paraId="0701A356">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27964488">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14:paraId="5454E8F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080C57C6">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14:paraId="7AA8CA88">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1B98762">
            <w:pPr>
              <w:widowControl/>
              <w:spacing w:line="0" w:lineRule="atLeast"/>
              <w:jc w:val="center"/>
              <w:rPr>
                <w:b/>
                <w:bCs/>
                <w:color w:val="000000"/>
                <w:kern w:val="0"/>
                <w:sz w:val="22"/>
                <w:szCs w:val="22"/>
              </w:rPr>
            </w:pPr>
            <w:r>
              <w:rPr>
                <w:rFonts w:hint="eastAsia"/>
                <w:b/>
                <w:bCs/>
                <w:color w:val="000000"/>
                <w:kern w:val="0"/>
                <w:sz w:val="22"/>
                <w:szCs w:val="22"/>
              </w:rPr>
              <w:t>10</w:t>
            </w:r>
          </w:p>
        </w:tc>
      </w:tr>
      <w:tr w14:paraId="319C3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4F6267C6">
            <w:pPr>
              <w:widowControl/>
              <w:spacing w:line="0" w:lineRule="atLeast"/>
              <w:jc w:val="center"/>
              <w:rPr>
                <w:color w:val="000000"/>
                <w:kern w:val="0"/>
                <w:sz w:val="22"/>
                <w:szCs w:val="22"/>
              </w:rPr>
            </w:pPr>
          </w:p>
        </w:tc>
        <w:tc>
          <w:tcPr>
            <w:tcW w:w="764" w:type="dxa"/>
            <w:shd w:val="clear" w:color="auto" w:fill="FFFFFF"/>
            <w:vAlign w:val="center"/>
          </w:tcPr>
          <w:p w14:paraId="0C4F6AFB">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205F0601">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14:paraId="008017AD">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3D87629">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34ADFE1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1FD1A718">
            <w:pPr>
              <w:widowControl/>
              <w:spacing w:line="0" w:lineRule="atLeast"/>
              <w:jc w:val="center"/>
              <w:rPr>
                <w:b/>
                <w:bCs/>
                <w:color w:val="000000"/>
                <w:kern w:val="0"/>
                <w:sz w:val="22"/>
                <w:szCs w:val="22"/>
              </w:rPr>
            </w:pPr>
            <w:r>
              <w:rPr>
                <w:rFonts w:hint="eastAsia"/>
                <w:b/>
                <w:bCs/>
                <w:color w:val="000000"/>
                <w:kern w:val="0"/>
                <w:sz w:val="22"/>
                <w:szCs w:val="22"/>
              </w:rPr>
              <w:t>10</w:t>
            </w:r>
          </w:p>
        </w:tc>
      </w:tr>
      <w:tr w14:paraId="4F160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3C4C84D9">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14:paraId="3836261E">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14:paraId="624F2BA3">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14:paraId="31282D03">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14:paraId="72D0F0F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418FDC71">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14:paraId="02ADB932">
            <w:pPr>
              <w:widowControl/>
              <w:spacing w:line="0" w:lineRule="atLeast"/>
              <w:jc w:val="center"/>
              <w:rPr>
                <w:b/>
                <w:bCs/>
                <w:color w:val="000000"/>
                <w:kern w:val="0"/>
                <w:sz w:val="22"/>
                <w:szCs w:val="22"/>
              </w:rPr>
            </w:pPr>
            <w:r>
              <w:rPr>
                <w:rFonts w:hint="eastAsia"/>
                <w:b/>
                <w:bCs/>
                <w:color w:val="000000"/>
                <w:kern w:val="0"/>
                <w:sz w:val="22"/>
                <w:szCs w:val="22"/>
              </w:rPr>
              <w:t>10</w:t>
            </w:r>
          </w:p>
        </w:tc>
      </w:tr>
      <w:tr w14:paraId="0947FF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6A021E5A">
            <w:pPr>
              <w:widowControl/>
              <w:spacing w:line="0" w:lineRule="atLeast"/>
              <w:jc w:val="center"/>
              <w:rPr>
                <w:color w:val="000000"/>
                <w:kern w:val="0"/>
                <w:sz w:val="22"/>
                <w:szCs w:val="22"/>
              </w:rPr>
            </w:pPr>
          </w:p>
        </w:tc>
        <w:tc>
          <w:tcPr>
            <w:tcW w:w="764" w:type="dxa"/>
            <w:vMerge w:val="continue"/>
            <w:shd w:val="clear" w:color="auto" w:fill="FFFFFF"/>
            <w:vAlign w:val="center"/>
          </w:tcPr>
          <w:p w14:paraId="61D2316C">
            <w:pPr>
              <w:widowControl/>
              <w:spacing w:line="0" w:lineRule="atLeast"/>
              <w:jc w:val="center"/>
              <w:rPr>
                <w:color w:val="000000"/>
                <w:kern w:val="0"/>
                <w:sz w:val="22"/>
                <w:szCs w:val="22"/>
              </w:rPr>
            </w:pPr>
          </w:p>
        </w:tc>
        <w:tc>
          <w:tcPr>
            <w:tcW w:w="873" w:type="dxa"/>
            <w:shd w:val="clear" w:color="auto" w:fill="FFFFFF"/>
            <w:vAlign w:val="center"/>
          </w:tcPr>
          <w:p w14:paraId="1F2AE758">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14:paraId="653B59CE">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14:paraId="3369C009">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A48D43E">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29C66EC1">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2FBE9801"/>
    <w:sectPr>
      <w:pgSz w:w="16838" w:h="11906" w:orient="landscape"/>
      <w:pgMar w:top="1800" w:right="1440" w:bottom="1558"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51DCF9">
        <w:pPr>
          <w:pStyle w:val="8"/>
          <w:jc w:val="center"/>
        </w:pPr>
        <w:r>
          <w:fldChar w:fldCharType="begin"/>
        </w:r>
        <w:r>
          <w:instrText xml:space="preserve">PAGE   \* MERGEFORMAT</w:instrText>
        </w:r>
        <w:r>
          <w:fldChar w:fldCharType="separate"/>
        </w:r>
        <w:r>
          <w:rPr>
            <w:lang w:val="zh-CN"/>
          </w:rPr>
          <w:t>13</w:t>
        </w:r>
        <w:r>
          <w:fldChar w:fldCharType="end"/>
        </w:r>
      </w:p>
    </w:sdtContent>
  </w:sdt>
  <w:p w14:paraId="3673995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5B1DA7"/>
    <w:multiLevelType w:val="singleLevel"/>
    <w:tmpl w:val="CA5B1DA7"/>
    <w:lvl w:ilvl="0" w:tentative="0">
      <w:start w:val="1"/>
      <w:numFmt w:val="decimal"/>
      <w:lvlText w:val="%1."/>
      <w:lvlJc w:val="left"/>
      <w:pPr>
        <w:tabs>
          <w:tab w:val="left" w:pos="312"/>
        </w:tabs>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0NDY0OGU2MmQxYjRhMGI0Nzk0YTkwZmIzOTBhMGEifQ=="/>
  </w:docVars>
  <w:rsids>
    <w:rsidRoot w:val="FF6C4049"/>
    <w:rsid w:val="00140C09"/>
    <w:rsid w:val="00160233"/>
    <w:rsid w:val="002904D4"/>
    <w:rsid w:val="00290521"/>
    <w:rsid w:val="00454D73"/>
    <w:rsid w:val="004D5AB5"/>
    <w:rsid w:val="004E7263"/>
    <w:rsid w:val="00515836"/>
    <w:rsid w:val="006217E8"/>
    <w:rsid w:val="006F6CDD"/>
    <w:rsid w:val="006F7242"/>
    <w:rsid w:val="00734859"/>
    <w:rsid w:val="007B168A"/>
    <w:rsid w:val="00801411"/>
    <w:rsid w:val="00886ADA"/>
    <w:rsid w:val="008B2CFE"/>
    <w:rsid w:val="00A62D54"/>
    <w:rsid w:val="00B55A18"/>
    <w:rsid w:val="00C52035"/>
    <w:rsid w:val="00C97EF1"/>
    <w:rsid w:val="00E25C6E"/>
    <w:rsid w:val="00E4325D"/>
    <w:rsid w:val="00E75DD7"/>
    <w:rsid w:val="00F120B8"/>
    <w:rsid w:val="00F26FF6"/>
    <w:rsid w:val="07397B77"/>
    <w:rsid w:val="0CE11DD7"/>
    <w:rsid w:val="0D4F6F5B"/>
    <w:rsid w:val="0DC6455A"/>
    <w:rsid w:val="0F584251"/>
    <w:rsid w:val="10B43BB6"/>
    <w:rsid w:val="11064115"/>
    <w:rsid w:val="12815109"/>
    <w:rsid w:val="13471461"/>
    <w:rsid w:val="13B90F01"/>
    <w:rsid w:val="170221CA"/>
    <w:rsid w:val="181066D2"/>
    <w:rsid w:val="18B15FDC"/>
    <w:rsid w:val="1A8A0D28"/>
    <w:rsid w:val="1C671E73"/>
    <w:rsid w:val="1E2D641A"/>
    <w:rsid w:val="20DF018E"/>
    <w:rsid w:val="20F20532"/>
    <w:rsid w:val="23CA0706"/>
    <w:rsid w:val="24495E2F"/>
    <w:rsid w:val="270746A3"/>
    <w:rsid w:val="27F7477A"/>
    <w:rsid w:val="2AAD2990"/>
    <w:rsid w:val="2ABE3D6C"/>
    <w:rsid w:val="2B834B08"/>
    <w:rsid w:val="2C8943E5"/>
    <w:rsid w:val="2CC50556"/>
    <w:rsid w:val="2D5A6C6F"/>
    <w:rsid w:val="2E3C169E"/>
    <w:rsid w:val="2F2F26AB"/>
    <w:rsid w:val="2F7B5C7D"/>
    <w:rsid w:val="2FAF5C99"/>
    <w:rsid w:val="317F6FB4"/>
    <w:rsid w:val="337A0AA8"/>
    <w:rsid w:val="359F4318"/>
    <w:rsid w:val="38CA40DD"/>
    <w:rsid w:val="395F2B56"/>
    <w:rsid w:val="3B3E0087"/>
    <w:rsid w:val="3BECE841"/>
    <w:rsid w:val="3E2F2040"/>
    <w:rsid w:val="3FF7797D"/>
    <w:rsid w:val="40AC7F4F"/>
    <w:rsid w:val="43625F2A"/>
    <w:rsid w:val="438F3569"/>
    <w:rsid w:val="444725BA"/>
    <w:rsid w:val="4672784F"/>
    <w:rsid w:val="492D2391"/>
    <w:rsid w:val="4B07544E"/>
    <w:rsid w:val="4B68058C"/>
    <w:rsid w:val="4C5B7215"/>
    <w:rsid w:val="4D930111"/>
    <w:rsid w:val="4E061402"/>
    <w:rsid w:val="4F7800DE"/>
    <w:rsid w:val="506F767A"/>
    <w:rsid w:val="53146FD7"/>
    <w:rsid w:val="531C427B"/>
    <w:rsid w:val="5624160B"/>
    <w:rsid w:val="56372BD2"/>
    <w:rsid w:val="56A804E8"/>
    <w:rsid w:val="5BFF6039"/>
    <w:rsid w:val="5D76A616"/>
    <w:rsid w:val="5D7F20B9"/>
    <w:rsid w:val="5DAC7D0E"/>
    <w:rsid w:val="5ECA37CC"/>
    <w:rsid w:val="5F98B5AF"/>
    <w:rsid w:val="5FFE8511"/>
    <w:rsid w:val="5FFEACE2"/>
    <w:rsid w:val="602A16E4"/>
    <w:rsid w:val="62B90A52"/>
    <w:rsid w:val="638C21D1"/>
    <w:rsid w:val="643EE26D"/>
    <w:rsid w:val="656B14F4"/>
    <w:rsid w:val="66DC6D4D"/>
    <w:rsid w:val="67ED0229"/>
    <w:rsid w:val="6AE47E94"/>
    <w:rsid w:val="6CD72E81"/>
    <w:rsid w:val="6CFD4D50"/>
    <w:rsid w:val="6E6715F2"/>
    <w:rsid w:val="6F5C41AC"/>
    <w:rsid w:val="6FAF6C78"/>
    <w:rsid w:val="7317C656"/>
    <w:rsid w:val="734ED73F"/>
    <w:rsid w:val="736C1264"/>
    <w:rsid w:val="7378476E"/>
    <w:rsid w:val="76461D10"/>
    <w:rsid w:val="77FD8BE9"/>
    <w:rsid w:val="780D4955"/>
    <w:rsid w:val="79202388"/>
    <w:rsid w:val="79890A01"/>
    <w:rsid w:val="79A9BD3F"/>
    <w:rsid w:val="7A395130"/>
    <w:rsid w:val="7B0405AD"/>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10074</Words>
  <Characters>10500</Characters>
  <Lines>76</Lines>
  <Paragraphs>21</Paragraphs>
  <TotalTime>40</TotalTime>
  <ScaleCrop>false</ScaleCrop>
  <LinksUpToDate>false</LinksUpToDate>
  <CharactersWithSpaces>10529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默</cp:lastModifiedBy>
  <cp:lastPrinted>2024-04-12T13:34:00Z</cp:lastPrinted>
  <dcterms:modified xsi:type="dcterms:W3CDTF">2024-08-28T03:39:14Z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DEB37354E36D40D48F20A3DAB18895C3</vt:lpwstr>
  </property>
</Properties>
</file>