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eastAsia="华文中宋"/>
          <w:b/>
          <w:color w:val="auto"/>
          <w:kern w:val="0"/>
          <w:sz w:val="72"/>
          <w:szCs w:val="72"/>
          <w:highlight w:val="none"/>
        </w:rPr>
      </w:pPr>
    </w:p>
    <w:p>
      <w:pPr>
        <w:spacing w:line="540" w:lineRule="exact"/>
        <w:jc w:val="center"/>
        <w:rPr>
          <w:rFonts w:eastAsia="华文中宋"/>
          <w:b/>
          <w:color w:val="auto"/>
          <w:kern w:val="0"/>
          <w:sz w:val="52"/>
          <w:szCs w:val="52"/>
          <w:highlight w:val="none"/>
        </w:rPr>
      </w:pPr>
    </w:p>
    <w:p>
      <w:pPr>
        <w:spacing w:line="540" w:lineRule="exact"/>
        <w:jc w:val="center"/>
        <w:rPr>
          <w:rFonts w:eastAsia="华文中宋"/>
          <w:b/>
          <w:color w:val="auto"/>
          <w:kern w:val="0"/>
          <w:sz w:val="52"/>
          <w:szCs w:val="52"/>
          <w:highlight w:val="none"/>
        </w:rPr>
      </w:pPr>
    </w:p>
    <w:p>
      <w:pPr>
        <w:spacing w:line="700" w:lineRule="exact"/>
        <w:ind w:left="510" w:leftChars="243"/>
        <w:jc w:val="left"/>
        <w:rPr>
          <w:rFonts w:eastAsia="方正小标宋_GBK"/>
          <w:color w:val="auto"/>
          <w:kern w:val="0"/>
          <w:sz w:val="48"/>
          <w:szCs w:val="48"/>
          <w:highlight w:val="none"/>
        </w:rPr>
      </w:pPr>
      <w:r>
        <w:rPr>
          <w:rFonts w:hint="eastAsia" w:eastAsia="方正小标宋_GBK"/>
          <w:color w:val="auto"/>
          <w:kern w:val="0"/>
          <w:sz w:val="48"/>
          <w:szCs w:val="48"/>
          <w:highlight w:val="none"/>
        </w:rPr>
        <w:t>自治区固体废弃物（危险废物）监督管理专项</w:t>
      </w:r>
      <w:r>
        <w:rPr>
          <w:rFonts w:eastAsia="方正小标宋_GBK"/>
          <w:color w:val="auto"/>
          <w:kern w:val="0"/>
          <w:sz w:val="48"/>
          <w:szCs w:val="48"/>
          <w:highlight w:val="none"/>
        </w:rPr>
        <w:t>资金项目支出绩效评价报告</w:t>
      </w:r>
    </w:p>
    <w:p>
      <w:pPr>
        <w:spacing w:line="540" w:lineRule="exact"/>
        <w:jc w:val="center"/>
        <w:rPr>
          <w:rFonts w:eastAsia="华文中宋"/>
          <w:b/>
          <w:color w:val="auto"/>
          <w:kern w:val="0"/>
          <w:sz w:val="52"/>
          <w:szCs w:val="52"/>
          <w:highlight w:val="none"/>
        </w:rPr>
      </w:pPr>
    </w:p>
    <w:p>
      <w:pPr>
        <w:spacing w:line="540" w:lineRule="exact"/>
        <w:jc w:val="center"/>
        <w:rPr>
          <w:rFonts w:eastAsia="仿宋_GB2312"/>
          <w:color w:val="auto"/>
          <w:kern w:val="0"/>
          <w:sz w:val="36"/>
          <w:szCs w:val="36"/>
          <w:highlight w:val="none"/>
        </w:rPr>
      </w:pPr>
      <w:r>
        <w:rPr>
          <w:rFonts w:eastAsia="仿宋_GB2312"/>
          <w:color w:val="auto"/>
          <w:kern w:val="0"/>
          <w:sz w:val="36"/>
          <w:szCs w:val="36"/>
          <w:highlight w:val="none"/>
        </w:rPr>
        <w:t xml:space="preserve">（ </w:t>
      </w:r>
      <w:r>
        <w:rPr>
          <w:rFonts w:hint="eastAsia" w:eastAsia="仿宋_GB2312"/>
          <w:color w:val="auto"/>
          <w:kern w:val="0"/>
          <w:sz w:val="36"/>
          <w:szCs w:val="36"/>
          <w:highlight w:val="none"/>
        </w:rPr>
        <w:t>2023</w:t>
      </w:r>
      <w:r>
        <w:rPr>
          <w:rFonts w:eastAsia="仿宋_GB2312"/>
          <w:color w:val="auto"/>
          <w:kern w:val="0"/>
          <w:sz w:val="36"/>
          <w:szCs w:val="36"/>
          <w:highlight w:val="none"/>
        </w:rPr>
        <w:t>年度）</w:t>
      </w:r>
    </w:p>
    <w:p>
      <w:pPr>
        <w:spacing w:line="540" w:lineRule="exact"/>
        <w:jc w:val="center"/>
        <w:rPr>
          <w:rFonts w:eastAsia="仿宋_GB2312"/>
          <w:color w:val="auto"/>
          <w:kern w:val="0"/>
          <w:sz w:val="30"/>
          <w:szCs w:val="30"/>
          <w:highlight w:val="none"/>
        </w:rPr>
      </w:pPr>
    </w:p>
    <w:p>
      <w:pPr>
        <w:spacing w:line="540" w:lineRule="exact"/>
        <w:jc w:val="center"/>
        <w:rPr>
          <w:rFonts w:eastAsia="仿宋_GB2312"/>
          <w:color w:val="auto"/>
          <w:kern w:val="0"/>
          <w:sz w:val="30"/>
          <w:szCs w:val="30"/>
          <w:highlight w:val="none"/>
        </w:rPr>
      </w:pPr>
    </w:p>
    <w:p>
      <w:pPr>
        <w:spacing w:line="540" w:lineRule="exact"/>
        <w:jc w:val="center"/>
        <w:rPr>
          <w:rFonts w:eastAsia="仿宋_GB2312"/>
          <w:color w:val="auto"/>
          <w:kern w:val="0"/>
          <w:sz w:val="30"/>
          <w:szCs w:val="30"/>
          <w:highlight w:val="none"/>
        </w:rPr>
      </w:pPr>
    </w:p>
    <w:p>
      <w:pPr>
        <w:spacing w:line="540" w:lineRule="exact"/>
        <w:jc w:val="center"/>
        <w:rPr>
          <w:rFonts w:eastAsia="仿宋_GB2312"/>
          <w:color w:val="auto"/>
          <w:kern w:val="0"/>
          <w:sz w:val="30"/>
          <w:szCs w:val="30"/>
          <w:highlight w:val="none"/>
        </w:rPr>
      </w:pPr>
    </w:p>
    <w:p>
      <w:pPr>
        <w:spacing w:line="540" w:lineRule="exact"/>
        <w:rPr>
          <w:rFonts w:eastAsia="仿宋_GB2312"/>
          <w:color w:val="auto"/>
          <w:kern w:val="0"/>
          <w:sz w:val="30"/>
          <w:szCs w:val="30"/>
          <w:highlight w:val="none"/>
        </w:rPr>
      </w:pPr>
    </w:p>
    <w:p>
      <w:pPr>
        <w:spacing w:line="700" w:lineRule="exact"/>
        <w:ind w:left="3425" w:leftChars="688" w:hanging="1980" w:hangingChars="550"/>
        <w:jc w:val="left"/>
        <w:rPr>
          <w:rFonts w:eastAsia="仿宋_GB2312"/>
          <w:color w:val="auto"/>
          <w:kern w:val="0"/>
          <w:sz w:val="36"/>
          <w:szCs w:val="36"/>
          <w:highlight w:val="none"/>
        </w:rPr>
      </w:pPr>
      <w:r>
        <w:rPr>
          <w:rFonts w:eastAsia="仿宋_GB2312"/>
          <w:color w:val="auto"/>
          <w:kern w:val="0"/>
          <w:sz w:val="36"/>
          <w:szCs w:val="36"/>
          <w:highlight w:val="none"/>
        </w:rPr>
        <w:t>项目名称：</w:t>
      </w:r>
      <w:r>
        <w:rPr>
          <w:rFonts w:hint="eastAsia" w:eastAsia="仿宋_GB2312"/>
          <w:color w:val="auto"/>
          <w:kern w:val="0"/>
          <w:sz w:val="36"/>
          <w:szCs w:val="36"/>
          <w:highlight w:val="none"/>
        </w:rPr>
        <w:t>自治区固体废弃物（危险废物）监督管理专项</w:t>
      </w:r>
    </w:p>
    <w:p>
      <w:pPr>
        <w:spacing w:line="700" w:lineRule="exact"/>
        <w:ind w:left="3065" w:leftChars="688" w:hanging="1620" w:hangingChars="450"/>
        <w:jc w:val="left"/>
        <w:rPr>
          <w:rFonts w:eastAsia="仿宋_GB2312"/>
          <w:color w:val="auto"/>
          <w:kern w:val="0"/>
          <w:sz w:val="36"/>
          <w:szCs w:val="36"/>
          <w:highlight w:val="none"/>
        </w:rPr>
      </w:pPr>
      <w:r>
        <w:rPr>
          <w:rFonts w:eastAsia="仿宋_GB2312"/>
          <w:color w:val="auto"/>
          <w:kern w:val="0"/>
          <w:sz w:val="36"/>
          <w:szCs w:val="36"/>
          <w:highlight w:val="none"/>
        </w:rPr>
        <w:t>实施单位（公章）：</w:t>
      </w:r>
      <w:r>
        <w:rPr>
          <w:rFonts w:hint="eastAsia" w:eastAsia="仿宋_GB2312"/>
          <w:color w:val="auto"/>
          <w:kern w:val="0"/>
          <w:sz w:val="36"/>
          <w:szCs w:val="36"/>
          <w:highlight w:val="none"/>
        </w:rPr>
        <w:t>新疆维吾尔自治区固体废物管理中心</w:t>
      </w:r>
    </w:p>
    <w:p>
      <w:pPr>
        <w:spacing w:line="700" w:lineRule="exact"/>
        <w:ind w:left="3065" w:leftChars="688" w:hanging="1620" w:hangingChars="450"/>
        <w:jc w:val="left"/>
        <w:rPr>
          <w:rFonts w:eastAsia="仿宋_GB2312"/>
          <w:color w:val="auto"/>
          <w:kern w:val="0"/>
          <w:sz w:val="36"/>
          <w:szCs w:val="36"/>
          <w:highlight w:val="none"/>
        </w:rPr>
      </w:pPr>
      <w:r>
        <w:rPr>
          <w:rFonts w:eastAsia="仿宋_GB2312"/>
          <w:color w:val="auto"/>
          <w:kern w:val="0"/>
          <w:sz w:val="36"/>
          <w:szCs w:val="36"/>
          <w:highlight w:val="none"/>
        </w:rPr>
        <w:t>主管部门（公章）：</w:t>
      </w:r>
      <w:r>
        <w:rPr>
          <w:rFonts w:hint="eastAsia" w:eastAsia="仿宋_GB2312"/>
          <w:color w:val="auto"/>
          <w:kern w:val="0"/>
          <w:sz w:val="36"/>
          <w:szCs w:val="36"/>
          <w:highlight w:val="none"/>
        </w:rPr>
        <w:t>新疆维吾尔自治区生态环境厅</w:t>
      </w:r>
    </w:p>
    <w:p>
      <w:pPr>
        <w:spacing w:line="700" w:lineRule="exact"/>
        <w:ind w:firstLine="1440" w:firstLineChars="400"/>
        <w:jc w:val="left"/>
        <w:rPr>
          <w:rFonts w:eastAsia="仿宋_GB2312"/>
          <w:color w:val="auto"/>
          <w:kern w:val="0"/>
          <w:sz w:val="36"/>
          <w:szCs w:val="36"/>
          <w:highlight w:val="none"/>
        </w:rPr>
      </w:pPr>
      <w:r>
        <w:rPr>
          <w:rFonts w:eastAsia="仿宋_GB2312"/>
          <w:color w:val="auto"/>
          <w:kern w:val="0"/>
          <w:sz w:val="36"/>
          <w:szCs w:val="36"/>
          <w:highlight w:val="none"/>
        </w:rPr>
        <w:t>项目负责人（签章）：</w:t>
      </w:r>
      <w:r>
        <w:rPr>
          <w:rFonts w:hint="eastAsia" w:eastAsia="仿宋_GB2312"/>
          <w:color w:val="auto"/>
          <w:kern w:val="0"/>
          <w:sz w:val="36"/>
          <w:szCs w:val="36"/>
          <w:highlight w:val="none"/>
        </w:rPr>
        <w:t>李刚</w:t>
      </w:r>
    </w:p>
    <w:p>
      <w:pPr>
        <w:spacing w:line="700" w:lineRule="exact"/>
        <w:ind w:firstLine="1440" w:firstLineChars="400"/>
        <w:jc w:val="left"/>
        <w:rPr>
          <w:rFonts w:eastAsia="仿宋_GB2312"/>
          <w:color w:val="auto"/>
          <w:kern w:val="0"/>
          <w:sz w:val="36"/>
          <w:szCs w:val="36"/>
          <w:highlight w:val="none"/>
        </w:rPr>
      </w:pPr>
      <w:r>
        <w:rPr>
          <w:rFonts w:eastAsia="仿宋_GB2312"/>
          <w:color w:val="auto"/>
          <w:kern w:val="0"/>
          <w:sz w:val="36"/>
          <w:szCs w:val="36"/>
          <w:highlight w:val="none"/>
        </w:rPr>
        <w:t>填报时间：</w:t>
      </w:r>
      <w:r>
        <w:rPr>
          <w:rFonts w:hint="eastAsia" w:eastAsia="仿宋_GB2312"/>
          <w:color w:val="auto"/>
          <w:kern w:val="0"/>
          <w:sz w:val="36"/>
          <w:szCs w:val="36"/>
          <w:highlight w:val="none"/>
        </w:rPr>
        <w:t>2024</w:t>
      </w:r>
      <w:r>
        <w:rPr>
          <w:rFonts w:eastAsia="仿宋_GB2312"/>
          <w:color w:val="auto"/>
          <w:kern w:val="0"/>
          <w:sz w:val="36"/>
          <w:szCs w:val="36"/>
          <w:highlight w:val="none"/>
        </w:rPr>
        <w:t>年</w:t>
      </w:r>
      <w:r>
        <w:rPr>
          <w:rFonts w:hint="eastAsia" w:eastAsia="仿宋_GB2312"/>
          <w:color w:val="auto"/>
          <w:kern w:val="0"/>
          <w:sz w:val="36"/>
          <w:szCs w:val="36"/>
          <w:highlight w:val="none"/>
        </w:rPr>
        <w:t>2</w:t>
      </w:r>
      <w:r>
        <w:rPr>
          <w:rFonts w:eastAsia="仿宋_GB2312"/>
          <w:color w:val="auto"/>
          <w:kern w:val="0"/>
          <w:sz w:val="36"/>
          <w:szCs w:val="36"/>
          <w:highlight w:val="none"/>
        </w:rPr>
        <w:t>月</w:t>
      </w:r>
      <w:r>
        <w:rPr>
          <w:rFonts w:hint="eastAsia" w:eastAsia="仿宋_GB2312"/>
          <w:color w:val="auto"/>
          <w:kern w:val="0"/>
          <w:sz w:val="36"/>
          <w:szCs w:val="36"/>
          <w:highlight w:val="none"/>
        </w:rPr>
        <w:t>18</w:t>
      </w:r>
      <w:r>
        <w:rPr>
          <w:rFonts w:eastAsia="仿宋_GB2312"/>
          <w:color w:val="auto"/>
          <w:kern w:val="0"/>
          <w:sz w:val="36"/>
          <w:szCs w:val="36"/>
          <w:highlight w:val="none"/>
        </w:rPr>
        <w:t>日</w:t>
      </w:r>
    </w:p>
    <w:p>
      <w:pPr>
        <w:spacing w:line="540" w:lineRule="exact"/>
        <w:jc w:val="center"/>
        <w:rPr>
          <w:rFonts w:eastAsia="仿宋_GB2312"/>
          <w:color w:val="auto"/>
          <w:kern w:val="0"/>
          <w:sz w:val="30"/>
          <w:szCs w:val="30"/>
          <w:highlight w:val="none"/>
        </w:rPr>
      </w:pPr>
    </w:p>
    <w:p>
      <w:pPr>
        <w:spacing w:line="540" w:lineRule="exact"/>
        <w:rPr>
          <w:rStyle w:val="24"/>
          <w:rFonts w:eastAsia="黑体"/>
          <w:b w:val="0"/>
          <w:color w:val="auto"/>
          <w:spacing w:val="-4"/>
          <w:sz w:val="32"/>
          <w:szCs w:val="32"/>
          <w:highlight w:val="none"/>
        </w:rPr>
      </w:pPr>
    </w:p>
    <w:p>
      <w:pPr>
        <w:spacing w:line="600" w:lineRule="exact"/>
        <w:rPr>
          <w:rFonts w:eastAsia="黑体"/>
          <w:bCs/>
          <w:color w:val="auto"/>
          <w:sz w:val="32"/>
          <w:szCs w:val="32"/>
          <w:highlight w:val="none"/>
        </w:rPr>
        <w:sectPr>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600" w:lineRule="exact"/>
        <w:rPr>
          <w:rFonts w:eastAsia="黑体"/>
          <w:bCs/>
          <w:color w:val="auto"/>
          <w:sz w:val="32"/>
          <w:szCs w:val="32"/>
          <w:highlight w:val="none"/>
        </w:rPr>
      </w:pPr>
      <w:r>
        <w:rPr>
          <w:rFonts w:eastAsia="黑体"/>
          <w:bCs/>
          <w:color w:val="auto"/>
          <w:sz w:val="32"/>
          <w:szCs w:val="32"/>
          <w:highlight w:val="none"/>
        </w:rPr>
        <w:t>一、基本情况</w:t>
      </w:r>
    </w:p>
    <w:p>
      <w:pPr>
        <w:spacing w:line="600" w:lineRule="exact"/>
        <w:ind w:firstLine="641"/>
        <w:rPr>
          <w:rFonts w:eastAsia="楷体_GB2312"/>
          <w:b/>
          <w:bCs/>
          <w:color w:val="auto"/>
          <w:sz w:val="32"/>
          <w:szCs w:val="32"/>
          <w:highlight w:val="none"/>
        </w:rPr>
      </w:pPr>
      <w:r>
        <w:rPr>
          <w:rFonts w:eastAsia="楷体_GB2312"/>
          <w:b/>
          <w:bCs/>
          <w:color w:val="auto"/>
          <w:sz w:val="32"/>
          <w:szCs w:val="32"/>
          <w:highlight w:val="none"/>
        </w:rPr>
        <w:t>（一）项目概况</w:t>
      </w:r>
    </w:p>
    <w:p>
      <w:pPr>
        <w:spacing w:line="600" w:lineRule="exact"/>
        <w:ind w:firstLine="641"/>
        <w:rPr>
          <w:rFonts w:eastAsia="仿宋_GB2312"/>
          <w:b/>
          <w:bCs/>
          <w:color w:val="auto"/>
          <w:sz w:val="32"/>
          <w:szCs w:val="32"/>
          <w:highlight w:val="none"/>
        </w:rPr>
      </w:pPr>
      <w:r>
        <w:rPr>
          <w:rFonts w:eastAsia="仿宋_GB2312"/>
          <w:b/>
          <w:bCs/>
          <w:color w:val="auto"/>
          <w:sz w:val="32"/>
          <w:szCs w:val="32"/>
          <w:highlight w:val="none"/>
        </w:rPr>
        <w:t>1、项目背景</w:t>
      </w:r>
    </w:p>
    <w:p>
      <w:pPr>
        <w:spacing w:line="54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十三五”期间，自治区经济社会进入快速发展新常态。随着供给侧结构性改革和“环保优先、生态立区”战略的深入实施，产业结构调整速度加快、经济发展方式逐步转变，会减缓新增污染物排放压力，固体废物（危险废物）及化学品环境管理和污染防治作为生态文明建设和环境保护的重要组成部分已受到高度重视，尤其是在“十四五”期间，自治区固体废物环境管理工作将面临良好机遇。2020年4月29日修订通过的《中华人民共和国固体废物污染环境防治法》，对固体废物（危险废物）环境管理提出了新要求。2021年5月，国务院办公厅印发了《强化危险废物监管和利用处置能力改革实施方案》，深入贯彻习近平生态文明思想，坚持精准治污、科学治污、依法治污，深化体制机制改革，着力提升危险废物监管和利用处置能力，对于持续改善生态环境质量、有效防控危险废物环境与安全风险、切实维护人民群众身体健康和生态环境安全具有重大意义。</w:t>
      </w:r>
    </w:p>
    <w:p>
      <w:pPr>
        <w:spacing w:line="54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与此同时，自治区固体废物尤其是危险废物环境管理底子薄、任务重，固体废物及化学品环境管理仍将处于负重前行的关键期。</w:t>
      </w:r>
    </w:p>
    <w:p>
      <w:pPr>
        <w:spacing w:line="54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新疆维吾尔自治区固体废物管理中心是隶属于自治区生态环境厅的一类公益事业单位，经费实行全额预算管理，机构级别为县（处）级。主要职责任务为：按照有关规定，负责管理自治区境内固体废物和危险废物的转移、贮存、利用、处置等活动；对危险废物经营活动实施监督管理；组织建立固体废物档案和管理信息系统等。多年来，自治区固管中心持续开展固体废物（危险废物）管理和服务工作，并为自治区生态环境厅开展全区固体废物（包括危险废物）的环境保护监督管理提供了有力的技术支撑。</w:t>
      </w:r>
    </w:p>
    <w:p>
      <w:pPr>
        <w:pStyle w:val="2"/>
        <w:numPr>
          <w:ilvl w:val="0"/>
          <w:numId w:val="1"/>
        </w:numPr>
        <w:spacing w:before="0" w:after="0" w:line="600" w:lineRule="exact"/>
        <w:ind w:firstLine="642" w:firstLineChars="200"/>
        <w:jc w:val="both"/>
        <w:rPr>
          <w:rFonts w:ascii="Times New Roman" w:hAnsi="Times New Roman" w:eastAsia="仿宋_GB2312"/>
          <w:color w:val="auto"/>
          <w:kern w:val="2"/>
          <w:highlight w:val="none"/>
        </w:rPr>
      </w:pPr>
      <w:r>
        <w:rPr>
          <w:rFonts w:ascii="Times New Roman" w:hAnsi="Times New Roman" w:eastAsia="仿宋_GB2312"/>
          <w:color w:val="auto"/>
          <w:kern w:val="2"/>
          <w:highlight w:val="none"/>
        </w:rPr>
        <w:t>项目主要内容：</w:t>
      </w:r>
    </w:p>
    <w:p>
      <w:pPr>
        <w:spacing w:line="54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项目主要内容根据中心工作职能，负责全区负责管理自治区境内固体废物和危险废物的转移、贮存、利用、处置等活动；对危险废物经营活动实施监督管理；组织建立固体废物档案和管理信息系统等；主要开展的工作有危险废物规范化考核；全区危险废物现场业务指导；危险废物产生单位危险废物申报登记专项调查；废弃电器电子产品拆解处理情况审核；持久性有机污染物年度调查；危险化学品环境管理；重金属环境管理；自治区汞污染物排放专项调查；尾矿库污染隐患排查治理；突发环境应急事件调查；信访投诉案件调查等相关工作，以及全区危险废物污染防治工作等相关工作。</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2" w:firstLineChars="200"/>
        <w:rPr>
          <w:rFonts w:eastAsia="仿宋_GB2312"/>
          <w:b/>
          <w:bCs/>
          <w:color w:val="auto"/>
          <w:sz w:val="32"/>
          <w:szCs w:val="32"/>
          <w:highlight w:val="none"/>
        </w:rPr>
      </w:pPr>
      <w:r>
        <w:rPr>
          <w:rFonts w:eastAsia="仿宋_GB2312"/>
          <w:b/>
          <w:bCs/>
          <w:color w:val="auto"/>
          <w:sz w:val="32"/>
          <w:szCs w:val="32"/>
          <w:highlight w:val="none"/>
        </w:rPr>
        <w:t>3、资金投入和使用情况</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（1）资金投入情况</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该项目年初预算数188万元，全年预算数188万元，实际总投入188万元，该项目资金已全部落实到位，资金来源为财政拨款和上年结转资金。</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（2）资金使用情况</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该项目年初预算数188万元，全年预算数188万元,全年执行数186.74万元，预算执行率为</w:t>
      </w:r>
      <w:r>
        <w:rPr>
          <w:rFonts w:ascii="仿宋_GB2312" w:hAnsi="仿宋_GB2312" w:eastAsia="仿宋_GB2312" w:cs="仿宋_GB2312"/>
          <w:color w:val="auto"/>
          <w:sz w:val="32"/>
          <w:szCs w:val="32"/>
          <w:highlight w:val="none"/>
        </w:rPr>
        <w:t>99.33%</w:t>
      </w:r>
      <w:r>
        <w:rPr>
          <w:rFonts w:hint="eastAsia" w:ascii="仿宋_GB2312" w:hAnsi="仿宋_GB2312" w:eastAsia="仿宋_GB2312" w:cs="仿宋_GB2312"/>
          <w:color w:val="auto"/>
          <w:sz w:val="32"/>
          <w:szCs w:val="32"/>
          <w:highlight w:val="none"/>
        </w:rPr>
        <w:t>，主要用于支付项目实施进程中的各项费用。</w:t>
      </w:r>
    </w:p>
    <w:p>
      <w:pPr>
        <w:spacing w:line="600" w:lineRule="exact"/>
        <w:ind w:firstLine="642" w:firstLineChars="200"/>
        <w:rPr>
          <w:rFonts w:eastAsia="楷体_GB2312"/>
          <w:b/>
          <w:bCs/>
          <w:color w:val="auto"/>
          <w:sz w:val="32"/>
          <w:szCs w:val="32"/>
          <w:highlight w:val="none"/>
        </w:rPr>
      </w:pPr>
      <w:bookmarkStart w:id="0" w:name="page10"/>
      <w:bookmarkEnd w:id="0"/>
      <w:r>
        <w:rPr>
          <w:rFonts w:eastAsia="楷体_GB2312"/>
          <w:b/>
          <w:bCs/>
          <w:color w:val="auto"/>
          <w:sz w:val="32"/>
          <w:szCs w:val="32"/>
          <w:highlight w:val="none"/>
        </w:rPr>
        <w:t>（二）项目绩效目标</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1、总体目标</w:t>
      </w:r>
    </w:p>
    <w:p>
      <w:pPr>
        <w:pStyle w:val="2"/>
        <w:spacing w:before="0" w:after="0" w:line="600" w:lineRule="exact"/>
        <w:ind w:firstLine="640" w:firstLineChars="200"/>
        <w:jc w:val="both"/>
        <w:rPr>
          <w:rFonts w:ascii="Times New Roman" w:hAnsi="Times New Roman" w:eastAsia="仿宋_GB2312"/>
          <w:b w:val="0"/>
          <w:bCs w:val="0"/>
          <w:color w:val="auto"/>
          <w:kern w:val="2"/>
          <w:highlight w:val="none"/>
        </w:rPr>
      </w:pPr>
      <w:r>
        <w:rPr>
          <w:rFonts w:hint="eastAsia" w:ascii="Times New Roman" w:hAnsi="Times New Roman" w:eastAsia="仿宋_GB2312"/>
          <w:b w:val="0"/>
          <w:bCs w:val="0"/>
          <w:color w:val="auto"/>
          <w:kern w:val="2"/>
          <w:highlight w:val="none"/>
        </w:rPr>
        <w:t>通过项目实施，为自治区生态环境厅开展全区危险废物环境保护监督管理提供有力的技术支撑，切实提升涉危险废物企业和单位对危险废物环境管理的能力。危险废物规范化评估抽查企业数量达到120家，地级行政区规范化评估抽查覆盖率达到90%，后续问题整改落实率达到90%；危险废物经营许可证核查数量20家，核查按时完成率达到90%。</w:t>
      </w:r>
    </w:p>
    <w:p>
      <w:pPr>
        <w:spacing w:line="600" w:lineRule="exact"/>
        <w:ind w:firstLine="640" w:firstLineChars="200"/>
        <w:rPr>
          <w:color w:val="auto"/>
          <w:highlight w:val="none"/>
        </w:rPr>
      </w:pPr>
      <w:r>
        <w:rPr>
          <w:rFonts w:eastAsia="仿宋_GB2312"/>
          <w:color w:val="auto"/>
          <w:sz w:val="32"/>
          <w:szCs w:val="32"/>
          <w:highlight w:val="none"/>
        </w:rPr>
        <w:t>2、阶段性目标</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（1）前期准备：通过制定项目实施方案，经项目负责人审核通过后，有序开展后续工作。</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（2）组织实施：资金到位立即根据项目要求实施项目。项目责任人按照项目实施方案要求逐一进行项目部署安排，提高项目质量及效率性。</w:t>
      </w:r>
    </w:p>
    <w:p>
      <w:pPr>
        <w:spacing w:line="600" w:lineRule="exact"/>
        <w:ind w:firstLine="640" w:firstLineChars="200"/>
        <w:rPr>
          <w:rFonts w:eastAsia="黑体"/>
          <w:color w:val="auto"/>
          <w:sz w:val="32"/>
          <w:szCs w:val="32"/>
          <w:highlight w:val="none"/>
        </w:rPr>
      </w:pPr>
      <w:r>
        <w:rPr>
          <w:rFonts w:eastAsia="黑体"/>
          <w:color w:val="auto"/>
          <w:sz w:val="32"/>
          <w:szCs w:val="32"/>
          <w:highlight w:val="none"/>
        </w:rPr>
        <w:t>二、绩效评价工作开展情况</w:t>
      </w:r>
    </w:p>
    <w:p>
      <w:pPr>
        <w:spacing w:line="600" w:lineRule="exact"/>
        <w:ind w:firstLine="642" w:firstLineChars="200"/>
        <w:rPr>
          <w:rFonts w:eastAsia="楷体_GB2312"/>
          <w:b/>
          <w:bCs/>
          <w:color w:val="auto"/>
          <w:sz w:val="32"/>
          <w:szCs w:val="32"/>
          <w:highlight w:val="none"/>
        </w:rPr>
      </w:pPr>
      <w:r>
        <w:rPr>
          <w:rFonts w:eastAsia="楷体_GB2312"/>
          <w:b/>
          <w:bCs/>
          <w:color w:val="auto"/>
          <w:sz w:val="32"/>
          <w:szCs w:val="32"/>
          <w:highlight w:val="none"/>
        </w:rPr>
        <w:t>（一）绩效评价目的、对象和范围</w:t>
      </w:r>
    </w:p>
    <w:p>
      <w:pPr>
        <w:pStyle w:val="2"/>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1、绩效评价的目的</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综合来看，通过开展有效的财政支出绩效评价管理，达到改进预算管理、控制节约成本，提高预算资金使用效益的目的。</w:t>
      </w:r>
    </w:p>
    <w:p>
      <w:pPr>
        <w:pStyle w:val="2"/>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2、绩效评价的对象</w:t>
      </w:r>
    </w:p>
    <w:p>
      <w:pPr>
        <w:spacing w:line="576"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自治区固体废弃物（危险废物）监督管理专项所包含的全部项目建设内容。</w:t>
      </w:r>
    </w:p>
    <w:p>
      <w:pPr>
        <w:pStyle w:val="2"/>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3、绩效评价的范围</w:t>
      </w:r>
    </w:p>
    <w:p>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评价从项目决策（包括绩效目标、决策过程）、项目管理（包括项目资金、项目实施）、项目产出（包括项目产出数量、产出质量、产出时效和产出成本）项目效益四个维度对自治区固体废弃物（危险废物）监督管理专项进行评价，评价核心为专项资金的支出完成情况和效果。</w:t>
      </w:r>
    </w:p>
    <w:p>
      <w:pPr>
        <w:spacing w:line="600" w:lineRule="exact"/>
        <w:ind w:firstLine="642" w:firstLineChars="200"/>
        <w:rPr>
          <w:color w:val="auto"/>
          <w:highlight w:val="none"/>
        </w:rPr>
      </w:pPr>
      <w:r>
        <w:rPr>
          <w:rFonts w:eastAsia="楷体_GB2312"/>
          <w:b/>
          <w:bCs/>
          <w:color w:val="auto"/>
          <w:sz w:val="32"/>
          <w:szCs w:val="32"/>
          <w:highlight w:val="none"/>
        </w:rPr>
        <w:t>（二）绩效评价原则、评价指标体系（详情见表1）、评价方法、评价标准。</w:t>
      </w:r>
    </w:p>
    <w:p>
      <w:pPr>
        <w:pStyle w:val="2"/>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1、绩效评价原则</w:t>
      </w:r>
    </w:p>
    <w:p>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本次项目绩效评价遵循以下基本原则：</w:t>
      </w:r>
    </w:p>
    <w:p>
      <w:pPr>
        <w:pStyle w:val="2"/>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（1）科学公正。绩效评价应当运用科学合理的方法，按照规范的程序，对项目绩效进行客观、公正的反映。</w:t>
      </w:r>
    </w:p>
    <w:p>
      <w:pPr>
        <w:pStyle w:val="2"/>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（3）激励约束。绩效评价结果应与预算安排、政策调整、改进管理实质性挂钩，体现奖优罚劣和激励相容导向，有效要安排、低效要压减、无效要问责。</w:t>
      </w:r>
    </w:p>
    <w:p>
      <w:pPr>
        <w:pStyle w:val="2"/>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（4）公开透明。绩效评价结果应依法依规公开，并自觉接受社会监督。</w:t>
      </w:r>
    </w:p>
    <w:p>
      <w:pPr>
        <w:pStyle w:val="2"/>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2、评价指标体系</w:t>
      </w:r>
    </w:p>
    <w:p>
      <w:pPr>
        <w:spacing w:line="600" w:lineRule="exact"/>
        <w:ind w:firstLine="708" w:firstLineChars="200"/>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（1）确定评价指标</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（2）确定权重</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w:t>
      </w:r>
      <w:r>
        <w:rPr>
          <w:rFonts w:hint="eastAsia" w:eastAsia="仿宋_GB2312"/>
          <w:color w:val="auto"/>
          <w:spacing w:val="17"/>
          <w:sz w:val="32"/>
          <w:szCs w:val="32"/>
          <w:highlight w:val="none"/>
        </w:rPr>
        <w:t>20</w:t>
      </w:r>
      <w:r>
        <w:rPr>
          <w:rFonts w:eastAsia="仿宋_GB2312"/>
          <w:color w:val="auto"/>
          <w:spacing w:val="17"/>
          <w:sz w:val="32"/>
          <w:szCs w:val="32"/>
          <w:highlight w:val="none"/>
        </w:rPr>
        <w:t>分，项目过程权重为</w:t>
      </w:r>
      <w:r>
        <w:rPr>
          <w:rFonts w:hint="eastAsia" w:eastAsia="仿宋_GB2312"/>
          <w:color w:val="auto"/>
          <w:spacing w:val="17"/>
          <w:sz w:val="32"/>
          <w:szCs w:val="32"/>
          <w:highlight w:val="none"/>
        </w:rPr>
        <w:t>20</w:t>
      </w:r>
      <w:r>
        <w:rPr>
          <w:rFonts w:eastAsia="仿宋_GB2312"/>
          <w:color w:val="auto"/>
          <w:spacing w:val="17"/>
          <w:sz w:val="32"/>
          <w:szCs w:val="32"/>
          <w:highlight w:val="none"/>
        </w:rPr>
        <w:t>分，项目产出权重为</w:t>
      </w:r>
      <w:r>
        <w:rPr>
          <w:rFonts w:hint="eastAsia" w:eastAsia="仿宋_GB2312"/>
          <w:color w:val="auto"/>
          <w:spacing w:val="17"/>
          <w:sz w:val="32"/>
          <w:szCs w:val="32"/>
          <w:highlight w:val="none"/>
        </w:rPr>
        <w:t>4</w:t>
      </w:r>
      <w:r>
        <w:rPr>
          <w:rFonts w:eastAsia="仿宋_GB2312"/>
          <w:color w:val="auto"/>
          <w:spacing w:val="17"/>
          <w:sz w:val="32"/>
          <w:szCs w:val="32"/>
          <w:highlight w:val="none"/>
        </w:rPr>
        <w:t>0分，项目效益权重为</w:t>
      </w:r>
      <w:r>
        <w:rPr>
          <w:rFonts w:hint="eastAsia" w:eastAsia="仿宋_GB2312"/>
          <w:color w:val="auto"/>
          <w:spacing w:val="17"/>
          <w:sz w:val="32"/>
          <w:szCs w:val="32"/>
          <w:highlight w:val="none"/>
        </w:rPr>
        <w:t>2</w:t>
      </w:r>
      <w:r>
        <w:rPr>
          <w:rFonts w:eastAsia="仿宋_GB2312"/>
          <w:color w:val="auto"/>
          <w:spacing w:val="17"/>
          <w:sz w:val="32"/>
          <w:szCs w:val="32"/>
          <w:highlight w:val="none"/>
        </w:rPr>
        <w:t>0分。</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spacing w:before="0" w:after="0" w:line="600" w:lineRule="exact"/>
        <w:ind w:firstLine="708" w:firstLineChars="200"/>
        <w:jc w:val="both"/>
        <w:rPr>
          <w:rFonts w:ascii="Times New Roman" w:hAnsi="Times New Roman" w:eastAsia="仿宋_GB2312"/>
          <w:b w:val="0"/>
          <w:bCs w:val="0"/>
          <w:color w:val="auto"/>
          <w:spacing w:val="17"/>
          <w:kern w:val="2"/>
          <w:highlight w:val="none"/>
        </w:rPr>
      </w:pPr>
      <w:r>
        <w:rPr>
          <w:rFonts w:ascii="Times New Roman" w:hAnsi="Times New Roman" w:eastAsia="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600" w:lineRule="exact"/>
        <w:ind w:firstLine="708" w:firstLineChars="200"/>
        <w:jc w:val="both"/>
        <w:outlineLvl w:val="9"/>
        <w:rPr>
          <w:rFonts w:ascii="Times New Roman" w:hAnsi="Times New Roman" w:eastAsia="仿宋_GB2312"/>
          <w:b w:val="0"/>
          <w:bCs w:val="0"/>
          <w:color w:val="auto"/>
          <w:spacing w:val="17"/>
          <w:highlight w:val="none"/>
        </w:rPr>
      </w:pPr>
      <w:r>
        <w:rPr>
          <w:rFonts w:ascii="Times New Roman" w:hAnsi="Times New Roman" w:eastAsia="仿宋_GB2312"/>
          <w:b w:val="0"/>
          <w:bCs w:val="0"/>
          <w:color w:val="auto"/>
          <w:spacing w:val="17"/>
          <w:highlight w:val="none"/>
        </w:rPr>
        <w:t>具体评价指标体系详情见附件1</w:t>
      </w:r>
    </w:p>
    <w:p>
      <w:pPr>
        <w:pStyle w:val="2"/>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3、绩效评价方法</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（1）比较法</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通过对绩效目标与实施效果、历史与当期情况，综合分析绩效目标实现程度。对</w:t>
      </w:r>
      <w:r>
        <w:rPr>
          <w:rFonts w:eastAsia="仿宋_GB2312"/>
          <w:color w:val="auto"/>
          <w:sz w:val="32"/>
          <w:szCs w:val="32"/>
          <w:highlight w:val="none"/>
        </w:rPr>
        <w:t>项目</w:t>
      </w:r>
      <w:r>
        <w:rPr>
          <w:rFonts w:eastAsia="仿宋_GB2312"/>
          <w:color w:val="auto"/>
          <w:spacing w:val="17"/>
          <w:sz w:val="32"/>
          <w:szCs w:val="32"/>
          <w:highlight w:val="none"/>
        </w:rPr>
        <w:t>最终验收情况与年度绩效目标对比、预算资金执行情况等相关因素进行比较。</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（2）因素分析法</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pPr>
        <w:pStyle w:val="2"/>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4、评价标准</w:t>
      </w:r>
    </w:p>
    <w:p>
      <w:pPr>
        <w:spacing w:line="60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绩效评价标准通常包括计划标准、行业标准、历史标准等，用于对绩效指标完成情况进行比较。本次评价主要采用了计划标准和行业标准。</w:t>
      </w:r>
    </w:p>
    <w:p>
      <w:pPr>
        <w:spacing w:line="600" w:lineRule="exact"/>
        <w:ind w:firstLine="708" w:firstLineChars="200"/>
        <w:rPr>
          <w:rFonts w:eastAsia="仿宋_GB2312"/>
          <w:color w:val="auto"/>
          <w:spacing w:val="17"/>
          <w:sz w:val="32"/>
          <w:szCs w:val="32"/>
          <w:highlight w:val="none"/>
        </w:rPr>
      </w:pPr>
      <w:bookmarkStart w:id="1" w:name="_Toc31464"/>
      <w:bookmarkStart w:id="2" w:name="_Toc17882"/>
      <w:r>
        <w:rPr>
          <w:rFonts w:hint="eastAsia" w:eastAsia="仿宋_GB2312"/>
          <w:color w:val="auto"/>
          <w:spacing w:val="17"/>
          <w:sz w:val="32"/>
          <w:szCs w:val="32"/>
          <w:highlight w:val="none"/>
        </w:rPr>
        <w:t>计划标准：指以预先制定的目标、计划、预算、定额等作为评价标准。</w:t>
      </w:r>
      <w:bookmarkEnd w:id="1"/>
      <w:bookmarkEnd w:id="2"/>
    </w:p>
    <w:p>
      <w:pPr>
        <w:spacing w:line="600" w:lineRule="exact"/>
        <w:ind w:firstLine="708" w:firstLineChars="200"/>
        <w:rPr>
          <w:rFonts w:eastAsia="仿宋_GB2312"/>
          <w:color w:val="auto"/>
          <w:spacing w:val="17"/>
          <w:sz w:val="32"/>
          <w:szCs w:val="32"/>
          <w:highlight w:val="none"/>
        </w:rPr>
      </w:pPr>
      <w:bookmarkStart w:id="3" w:name="_Toc2318"/>
      <w:bookmarkStart w:id="4" w:name="_Toc5633"/>
      <w:r>
        <w:rPr>
          <w:rFonts w:hint="eastAsia" w:eastAsia="仿宋_GB2312"/>
          <w:color w:val="auto"/>
          <w:spacing w:val="17"/>
          <w:sz w:val="32"/>
          <w:szCs w:val="32"/>
          <w:highlight w:val="none"/>
        </w:rPr>
        <w:t>行业标准：指参照国家公布的行业指标数据制定的评价标准。</w:t>
      </w:r>
      <w:bookmarkEnd w:id="3"/>
      <w:bookmarkEnd w:id="4"/>
    </w:p>
    <w:p>
      <w:pPr>
        <w:spacing w:line="600" w:lineRule="exact"/>
        <w:ind w:firstLine="708" w:firstLineChars="200"/>
        <w:rPr>
          <w:rFonts w:eastAsia="仿宋_GB2312"/>
          <w:color w:val="auto"/>
          <w:spacing w:val="17"/>
          <w:sz w:val="32"/>
          <w:szCs w:val="32"/>
          <w:highlight w:val="none"/>
        </w:rPr>
      </w:pPr>
      <w:bookmarkStart w:id="5" w:name="_Toc430"/>
      <w:bookmarkStart w:id="6" w:name="_Toc16028"/>
      <w:r>
        <w:rPr>
          <w:rFonts w:hint="eastAsia" w:eastAsia="仿宋_GB2312"/>
          <w:color w:val="auto"/>
          <w:spacing w:val="17"/>
          <w:sz w:val="32"/>
          <w:szCs w:val="32"/>
          <w:highlight w:val="none"/>
        </w:rPr>
        <w:t>历史标准：指</w:t>
      </w:r>
      <w:r>
        <w:rPr>
          <w:rFonts w:hint="eastAsia" w:eastAsia="仿宋_GB2312" w:cs="Times New Roman"/>
          <w:color w:val="auto"/>
          <w:spacing w:val="17"/>
          <w:sz w:val="32"/>
          <w:szCs w:val="32"/>
          <w:highlight w:val="none"/>
        </w:rPr>
        <w:t>参照历史数据制定的评价标准，为体现绩效改进的原则，在可实现的条件下应当确定相对较高的评价标准。</w:t>
      </w:r>
      <w:bookmarkEnd w:id="5"/>
      <w:bookmarkEnd w:id="6"/>
    </w:p>
    <w:p>
      <w:pPr>
        <w:pStyle w:val="2"/>
        <w:numPr>
          <w:ilvl w:val="0"/>
          <w:numId w:val="3"/>
        </w:numPr>
        <w:spacing w:before="0" w:after="0" w:line="600" w:lineRule="exact"/>
        <w:ind w:firstLine="710" w:firstLineChars="200"/>
        <w:jc w:val="both"/>
        <w:rPr>
          <w:rFonts w:ascii="楷体" w:hAnsi="楷体" w:eastAsia="楷体" w:cs="楷体"/>
          <w:color w:val="auto"/>
          <w:spacing w:val="17"/>
          <w:highlight w:val="none"/>
        </w:rPr>
      </w:pPr>
      <w:r>
        <w:rPr>
          <w:rFonts w:hint="eastAsia" w:ascii="楷体" w:hAnsi="楷体" w:eastAsia="楷体" w:cs="楷体"/>
          <w:color w:val="auto"/>
          <w:spacing w:val="17"/>
          <w:highlight w:val="none"/>
        </w:rPr>
        <w:t>绩效评价工作过程</w:t>
      </w:r>
    </w:p>
    <w:p>
      <w:pPr>
        <w:numPr>
          <w:ilvl w:val="0"/>
          <w:numId w:val="4"/>
        </w:numPr>
        <w:spacing w:line="600"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pacing w:line="600"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组织实</w:t>
      </w:r>
      <w:bookmarkStart w:id="10" w:name="_GoBack"/>
      <w:bookmarkEnd w:id="10"/>
      <w:r>
        <w:rPr>
          <w:rFonts w:hint="eastAsia" w:eastAsia="仿宋_GB2312"/>
          <w:bCs/>
          <w:color w:val="auto"/>
          <w:sz w:val="32"/>
          <w:szCs w:val="32"/>
          <w:highlight w:val="none"/>
        </w:rPr>
        <w:t>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pacing w:line="600" w:lineRule="exact"/>
        <w:ind w:firstLine="640" w:firstLineChars="200"/>
        <w:rPr>
          <w:color w:val="auto"/>
          <w:sz w:val="32"/>
          <w:szCs w:val="32"/>
          <w:highlight w:val="none"/>
        </w:rPr>
      </w:pPr>
      <w:r>
        <w:rPr>
          <w:rFonts w:hint="eastAsia" w:eastAsia="仿宋_GB2312"/>
          <w:bCs/>
          <w:color w:val="auto"/>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40" w:firstLineChars="200"/>
        <w:rPr>
          <w:rFonts w:eastAsia="黑体"/>
          <w:color w:val="auto"/>
          <w:sz w:val="32"/>
          <w:szCs w:val="32"/>
          <w:highlight w:val="none"/>
        </w:rPr>
      </w:pPr>
      <w:r>
        <w:rPr>
          <w:rFonts w:eastAsia="黑体"/>
          <w:color w:val="auto"/>
          <w:sz w:val="32"/>
          <w:szCs w:val="32"/>
          <w:highlight w:val="none"/>
        </w:rPr>
        <w:t>综合评价情况及评价结论（附相关评分表）</w:t>
      </w:r>
    </w:p>
    <w:p>
      <w:pPr>
        <w:pStyle w:val="2"/>
        <w:spacing w:before="0" w:after="0" w:line="560" w:lineRule="exact"/>
        <w:ind w:firstLine="321" w:firstLineChars="100"/>
        <w:jc w:val="both"/>
        <w:rPr>
          <w:rFonts w:ascii="Times New Roman" w:hAnsi="Times New Roman" w:eastAsia="楷体_GB2312"/>
          <w:color w:val="auto"/>
          <w:highlight w:val="none"/>
        </w:rPr>
      </w:pPr>
      <w:r>
        <w:rPr>
          <w:rFonts w:hint="eastAsia" w:ascii="Times New Roman" w:hAnsi="Times New Roman" w:eastAsia="楷体_GB2312"/>
          <w:color w:val="auto"/>
          <w:highlight w:val="none"/>
        </w:rPr>
        <w:t>（一）评价情况</w:t>
      </w:r>
    </w:p>
    <w:p>
      <w:pPr>
        <w:pStyle w:val="2"/>
        <w:widowControl w:val="0"/>
        <w:spacing w:before="0" w:after="0" w:line="60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spacing w:before="0" w:after="0" w:line="560" w:lineRule="exact"/>
        <w:ind w:firstLine="642" w:firstLineChars="200"/>
        <w:jc w:val="both"/>
        <w:rPr>
          <w:rFonts w:ascii="Times New Roman" w:hAnsi="Times New Roman" w:eastAsia="楷体_GB2312"/>
          <w:color w:val="auto"/>
          <w:highlight w:val="none"/>
        </w:rPr>
      </w:pPr>
      <w:r>
        <w:rPr>
          <w:rFonts w:hint="eastAsia" w:ascii="Times New Roman" w:hAnsi="Times New Roman" w:eastAsia="楷体_GB2312"/>
          <w:color w:val="auto"/>
          <w:highlight w:val="none"/>
        </w:rPr>
        <w:t>（二）评价结论</w:t>
      </w:r>
    </w:p>
    <w:p>
      <w:pPr>
        <w:pStyle w:val="2"/>
        <w:widowControl w:val="0"/>
        <w:spacing w:before="0" w:after="0" w:line="600" w:lineRule="exact"/>
        <w:ind w:firstLine="640" w:firstLineChars="200"/>
        <w:jc w:val="both"/>
        <w:outlineLvl w:val="9"/>
        <w:rPr>
          <w:rFonts w:ascii="Times New Roman" w:hAnsi="Times New Roman" w:eastAsia="仿宋_GB2312"/>
          <w:color w:val="auto"/>
          <w:sz w:val="30"/>
          <w:szCs w:val="30"/>
          <w:highlight w:val="none"/>
        </w:rPr>
      </w:pPr>
      <w:r>
        <w:rPr>
          <w:rFonts w:hint="eastAsia" w:ascii="Times New Roman" w:hAnsi="Times New Roman" w:eastAsia="仿宋_GB2312"/>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w:t>
      </w:r>
      <w:r>
        <w:rPr>
          <w:rFonts w:ascii="Times New Roman" w:hAnsi="Times New Roman" w:eastAsia="仿宋_GB2312"/>
          <w:b w:val="0"/>
          <w:bCs w:val="0"/>
          <w:color w:val="auto"/>
          <w:highlight w:val="none"/>
        </w:rPr>
        <w:t>总得分为</w:t>
      </w:r>
      <w:r>
        <w:rPr>
          <w:rFonts w:hint="eastAsia" w:ascii="Times New Roman" w:hAnsi="Times New Roman" w:eastAsia="仿宋_GB2312"/>
          <w:b w:val="0"/>
          <w:bCs w:val="0"/>
          <w:color w:val="auto"/>
          <w:highlight w:val="none"/>
        </w:rPr>
        <w:t>99.</w:t>
      </w:r>
      <w:r>
        <w:rPr>
          <w:rFonts w:hint="eastAsia" w:ascii="Times New Roman" w:hAnsi="Times New Roman" w:eastAsia="仿宋_GB2312"/>
          <w:b w:val="0"/>
          <w:bCs w:val="0"/>
          <w:color w:val="auto"/>
          <w:highlight w:val="none"/>
          <w:lang w:val="en-US" w:eastAsia="zh-CN"/>
        </w:rPr>
        <w:t>97</w:t>
      </w:r>
      <w:r>
        <w:rPr>
          <w:rFonts w:ascii="Times New Roman" w:hAnsi="Times New Roman" w:eastAsia="仿宋_GB2312"/>
          <w:b w:val="0"/>
          <w:bCs w:val="0"/>
          <w:color w:val="auto"/>
          <w:highlight w:val="none"/>
        </w:rPr>
        <w:t>分，属于“优”。其中，项目决策类指标权重为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rPr>
        <w:t>100</w:t>
      </w:r>
      <w:r>
        <w:rPr>
          <w:rFonts w:ascii="Times New Roman" w:hAnsi="Times New Roman" w:eastAsia="仿宋_GB2312"/>
          <w:b w:val="0"/>
          <w:bCs w:val="0"/>
          <w:color w:val="auto"/>
          <w:highlight w:val="none"/>
        </w:rPr>
        <w:t>%。项目过程类指标权重为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19.97</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99.85</w:t>
      </w:r>
      <w:r>
        <w:rPr>
          <w:rFonts w:ascii="Times New Roman" w:hAnsi="Times New Roman" w:eastAsia="仿宋_GB2312"/>
          <w:b w:val="0"/>
          <w:bCs w:val="0"/>
          <w:color w:val="auto"/>
          <w:highlight w:val="none"/>
        </w:rPr>
        <w:t>%。项目产出类指标权重为</w:t>
      </w:r>
      <w:r>
        <w:rPr>
          <w:rFonts w:hint="eastAsia" w:ascii="Times New Roman" w:hAnsi="Times New Roman" w:eastAsia="仿宋_GB2312"/>
          <w:b w:val="0"/>
          <w:bCs w:val="0"/>
          <w:color w:val="auto"/>
          <w:highlight w:val="none"/>
        </w:rPr>
        <w:t>40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40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%。项目效益类指标权重为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rPr>
        <w:t>100</w:t>
      </w:r>
      <w:r>
        <w:rPr>
          <w:rFonts w:ascii="Times New Roman" w:hAnsi="Times New Roman" w:eastAsia="仿宋_GB2312"/>
          <w:b w:val="0"/>
          <w:bCs w:val="0"/>
          <w:color w:val="auto"/>
          <w:highlight w:val="none"/>
        </w:rPr>
        <w:t>%。</w:t>
      </w:r>
      <w:r>
        <w:rPr>
          <w:rFonts w:hint="eastAsia" w:ascii="Times New Roman" w:hAnsi="Times New Roman" w:eastAsia="仿宋_GB2312"/>
          <w:b w:val="0"/>
          <w:bCs w:val="0"/>
          <w:color w:val="auto"/>
          <w:highlight w:val="none"/>
        </w:rPr>
        <w:t>具体打分情况详见：附件1综合评分表。</w:t>
      </w:r>
    </w:p>
    <w:p>
      <w:pPr>
        <w:pStyle w:val="2"/>
        <w:rPr>
          <w:rFonts w:ascii="Times New Roman" w:hAnsi="Times New Roman" w:eastAsia="仿宋_GB2312"/>
          <w:color w:val="auto"/>
          <w:sz w:val="30"/>
          <w:szCs w:val="30"/>
          <w:highlight w:val="none"/>
        </w:rPr>
      </w:pPr>
      <w:r>
        <w:rPr>
          <w:rFonts w:ascii="Times New Roman" w:hAnsi="Times New Roman" w:eastAsia="仿宋_GB2312"/>
          <w:color w:val="auto"/>
          <w:sz w:val="30"/>
          <w:szCs w:val="30"/>
          <w:highlight w:val="none"/>
        </w:rPr>
        <w:t>表1综合评分表</w:t>
      </w:r>
    </w:p>
    <w:tbl>
      <w:tblPr>
        <w:tblStyle w:val="22"/>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highlight w:val="none"/>
              </w:rPr>
            </w:pPr>
            <w:r>
              <w:rPr>
                <w:rFonts w:hint="eastAsia"/>
                <w:b/>
                <w:bCs/>
                <w:color w:val="auto"/>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highlight w:val="none"/>
              </w:rPr>
            </w:pPr>
            <w:r>
              <w:rPr>
                <w:rFonts w:hint="eastAsia"/>
                <w:b/>
                <w:bCs/>
                <w:color w:val="auto"/>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highlight w:val="none"/>
              </w:rPr>
            </w:pPr>
            <w:r>
              <w:rPr>
                <w:rFonts w:hint="eastAsia"/>
                <w:b/>
                <w:bCs/>
                <w:color w:val="auto"/>
                <w:sz w:val="22"/>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highlight w:val="none"/>
              </w:rPr>
            </w:pPr>
            <w:r>
              <w:rPr>
                <w:rFonts w:hint="eastAsia"/>
                <w:color w:val="auto"/>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color w:val="auto"/>
                <w:sz w:val="22"/>
                <w:highlight w:val="none"/>
              </w:rPr>
            </w:pPr>
            <w:r>
              <w:rPr>
                <w:rFonts w:hint="eastAsia"/>
                <w:color w:val="auto"/>
                <w:sz w:val="22"/>
                <w:highlight w:val="none"/>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auto"/>
                <w:sz w:val="22"/>
                <w:highlight w:val="none"/>
              </w:rPr>
            </w:pPr>
            <w:r>
              <w:rPr>
                <w:rFonts w:hint="eastAsia"/>
                <w:color w:val="auto"/>
                <w:sz w:val="22"/>
                <w:highlight w:val="none"/>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highlight w:val="none"/>
              </w:rPr>
            </w:pPr>
            <w:r>
              <w:rPr>
                <w:rFonts w:hint="eastAsia"/>
                <w:color w:val="auto"/>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color w:val="auto"/>
                <w:sz w:val="22"/>
                <w:highlight w:val="none"/>
              </w:rPr>
            </w:pPr>
            <w:r>
              <w:rPr>
                <w:rFonts w:hint="eastAsia"/>
                <w:color w:val="auto"/>
                <w:sz w:val="22"/>
                <w:highlight w:val="none"/>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auto"/>
                <w:sz w:val="22"/>
                <w:highlight w:val="none"/>
                <w:lang w:val="en-US" w:eastAsia="zh-CN"/>
              </w:rPr>
            </w:pPr>
            <w:r>
              <w:rPr>
                <w:rFonts w:hint="eastAsia"/>
                <w:color w:val="auto"/>
                <w:sz w:val="22"/>
                <w:highlight w:val="none"/>
                <w:lang w:val="en-US" w:eastAsia="zh-CN"/>
              </w:rPr>
              <w:t>19.97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highlight w:val="none"/>
              </w:rPr>
            </w:pPr>
            <w:r>
              <w:rPr>
                <w:rFonts w:hint="eastAsia"/>
                <w:color w:val="auto"/>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color w:val="auto"/>
                <w:sz w:val="22"/>
                <w:highlight w:val="none"/>
              </w:rPr>
            </w:pPr>
            <w:r>
              <w:rPr>
                <w:rFonts w:hint="eastAsia"/>
                <w:color w:val="auto"/>
                <w:sz w:val="22"/>
                <w:highlight w:val="none"/>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auto"/>
                <w:sz w:val="22"/>
                <w:highlight w:val="none"/>
                <w:lang w:val="en-US" w:eastAsia="zh-CN"/>
              </w:rPr>
            </w:pPr>
            <w:r>
              <w:rPr>
                <w:rFonts w:hint="eastAsia"/>
                <w:color w:val="auto"/>
                <w:sz w:val="22"/>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highlight w:val="none"/>
              </w:rPr>
            </w:pPr>
            <w:r>
              <w:rPr>
                <w:rFonts w:hint="eastAsia"/>
                <w:color w:val="auto"/>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color w:val="auto"/>
                <w:sz w:val="22"/>
                <w:highlight w:val="none"/>
              </w:rPr>
            </w:pPr>
            <w:r>
              <w:rPr>
                <w:rFonts w:hint="eastAsia"/>
                <w:color w:val="auto"/>
                <w:sz w:val="22"/>
                <w:highlight w:val="none"/>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auto"/>
                <w:sz w:val="22"/>
                <w:highlight w:val="none"/>
              </w:rPr>
            </w:pPr>
            <w:r>
              <w:rPr>
                <w:rFonts w:hint="eastAsia"/>
                <w:color w:val="auto"/>
                <w:sz w:val="22"/>
                <w:highlight w:val="none"/>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highlight w:val="none"/>
              </w:rPr>
            </w:pPr>
            <w:r>
              <w:rPr>
                <w:rFonts w:hint="eastAsia" w:cs="宋体"/>
                <w:b/>
                <w:bCs/>
                <w:color w:val="auto"/>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auto"/>
                <w:sz w:val="22"/>
                <w:highlight w:val="none"/>
              </w:rPr>
            </w:pPr>
            <w:r>
              <w:rPr>
                <w:rFonts w:hint="eastAsia"/>
                <w:b/>
                <w:bCs/>
                <w:color w:val="auto"/>
                <w:sz w:val="22"/>
                <w:highlight w:val="none"/>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auto"/>
                <w:sz w:val="22"/>
                <w:highlight w:val="none"/>
                <w:lang w:val="en-US" w:eastAsia="zh-CN"/>
              </w:rPr>
            </w:pPr>
            <w:r>
              <w:rPr>
                <w:rFonts w:hint="eastAsia"/>
                <w:b/>
                <w:bCs/>
                <w:color w:val="auto"/>
                <w:sz w:val="22"/>
                <w:highlight w:val="none"/>
                <w:lang w:val="en-US" w:eastAsia="zh-CN"/>
              </w:rPr>
              <w:t>99.97</w:t>
            </w:r>
          </w:p>
        </w:tc>
      </w:tr>
    </w:tbl>
    <w:p>
      <w:pPr>
        <w:rPr>
          <w:color w:val="auto"/>
          <w:highlight w:val="none"/>
        </w:rPr>
      </w:pPr>
    </w:p>
    <w:p>
      <w:pPr>
        <w:rPr>
          <w:color w:val="auto"/>
          <w:highlight w:val="none"/>
        </w:rPr>
      </w:pPr>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auto"/>
                <w:kern w:val="0"/>
                <w:sz w:val="22"/>
                <w:szCs w:val="22"/>
                <w:highlight w:val="none"/>
              </w:rPr>
            </w:pPr>
            <w:r>
              <w:rPr>
                <w:b/>
                <w:bCs/>
                <w:color w:val="auto"/>
                <w:kern w:val="0"/>
                <w:sz w:val="22"/>
                <w:szCs w:val="22"/>
                <w:highlight w:val="none"/>
              </w:rPr>
              <w:t>一级指标</w:t>
            </w:r>
          </w:p>
        </w:tc>
        <w:tc>
          <w:tcPr>
            <w:tcW w:w="990" w:type="dxa"/>
            <w:shd w:val="clear" w:color="auto" w:fill="BFBFB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分值</w:t>
            </w:r>
          </w:p>
        </w:tc>
        <w:tc>
          <w:tcPr>
            <w:tcW w:w="1283" w:type="dxa"/>
            <w:shd w:val="clear" w:color="auto" w:fill="BFBFB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1707" w:type="dxa"/>
            <w:shd w:val="clear" w:color="auto" w:fill="BFBFB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727" w:type="dxa"/>
            <w:shd w:val="clear" w:color="auto" w:fill="BFBFB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1044" w:type="dxa"/>
            <w:shd w:val="clear" w:color="auto" w:fill="BFBFBF"/>
            <w:vAlign w:val="center"/>
          </w:tcPr>
          <w:p>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目标值</w:t>
            </w:r>
          </w:p>
        </w:tc>
        <w:tc>
          <w:tcPr>
            <w:tcW w:w="924" w:type="dxa"/>
            <w:shd w:val="clear" w:color="auto" w:fill="BFBFBF"/>
            <w:vAlign w:val="center"/>
          </w:tcPr>
          <w:p>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业绩值</w:t>
            </w:r>
          </w:p>
        </w:tc>
        <w:tc>
          <w:tcPr>
            <w:tcW w:w="1215" w:type="dxa"/>
            <w:shd w:val="clear" w:color="auto" w:fill="BFBFBF"/>
            <w:vAlign w:val="center"/>
          </w:tcPr>
          <w:p>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得分率</w:t>
            </w:r>
          </w:p>
        </w:tc>
        <w:tc>
          <w:tcPr>
            <w:tcW w:w="960" w:type="dxa"/>
            <w:shd w:val="clear" w:color="auto" w:fill="BFBFBF"/>
            <w:vAlign w:val="center"/>
          </w:tcPr>
          <w:p>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决策　</w:t>
            </w:r>
          </w:p>
          <w:p>
            <w:pPr>
              <w:widowControl/>
              <w:spacing w:line="0" w:lineRule="atLeast"/>
              <w:jc w:val="center"/>
              <w:rPr>
                <w:color w:val="auto"/>
                <w:kern w:val="0"/>
                <w:sz w:val="22"/>
                <w:szCs w:val="22"/>
                <w:highlight w:val="none"/>
              </w:rPr>
            </w:pPr>
            <w:r>
              <w:rPr>
                <w:color w:val="auto"/>
                <w:kern w:val="0"/>
                <w:sz w:val="22"/>
                <w:szCs w:val="22"/>
                <w:highlight w:val="none"/>
              </w:rPr>
              <w:t>　</w:t>
            </w:r>
          </w:p>
          <w:p>
            <w:pPr>
              <w:spacing w:line="0" w:lineRule="atLeast"/>
              <w:jc w:val="center"/>
              <w:rPr>
                <w:color w:val="auto"/>
                <w:kern w:val="0"/>
                <w:sz w:val="22"/>
                <w:szCs w:val="22"/>
                <w:highlight w:val="none"/>
              </w:rPr>
            </w:pPr>
            <w:r>
              <w:rPr>
                <w:color w:val="auto"/>
                <w:kern w:val="0"/>
                <w:sz w:val="22"/>
                <w:szCs w:val="22"/>
                <w:highlight w:val="none"/>
              </w:rPr>
              <w:t>　</w:t>
            </w:r>
          </w:p>
          <w:p>
            <w:pPr>
              <w:widowControl/>
              <w:spacing w:line="0" w:lineRule="atLeast"/>
              <w:jc w:val="center"/>
              <w:rPr>
                <w:color w:val="auto"/>
                <w:kern w:val="0"/>
                <w:sz w:val="22"/>
                <w:szCs w:val="22"/>
                <w:highlight w:val="none"/>
              </w:rPr>
            </w:pPr>
            <w:r>
              <w:rPr>
                <w:color w:val="auto"/>
                <w:kern w:val="0"/>
                <w:sz w:val="22"/>
                <w:szCs w:val="22"/>
                <w:highlight w:val="none"/>
              </w:rPr>
              <w:t>　</w:t>
            </w:r>
          </w:p>
        </w:tc>
        <w:tc>
          <w:tcPr>
            <w:tcW w:w="990" w:type="dxa"/>
            <w:vMerge w:val="restart"/>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20</w:t>
            </w:r>
            <w:r>
              <w:rPr>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立项依据</w:t>
            </w:r>
          </w:p>
          <w:p>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充分</w:t>
            </w:r>
          </w:p>
        </w:tc>
        <w:tc>
          <w:tcPr>
            <w:tcW w:w="92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充分</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立项程序</w:t>
            </w:r>
          </w:p>
          <w:p>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规范</w:t>
            </w:r>
          </w:p>
        </w:tc>
        <w:tc>
          <w:tcPr>
            <w:tcW w:w="92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规范</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合理</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合理</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绩效指标</w:t>
            </w:r>
          </w:p>
          <w:p>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明确</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明确</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spacing w:line="0" w:lineRule="atLeast"/>
              <w:jc w:val="center"/>
              <w:rPr>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资金投入</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预算编制</w:t>
            </w:r>
          </w:p>
          <w:p>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科学</w:t>
            </w:r>
          </w:p>
        </w:tc>
        <w:tc>
          <w:tcPr>
            <w:tcW w:w="92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科学</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资金分配</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合理</w:t>
            </w:r>
          </w:p>
        </w:tc>
        <w:tc>
          <w:tcPr>
            <w:tcW w:w="92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合理</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67" w:hRule="atLeast"/>
        </w:trPr>
        <w:tc>
          <w:tcPr>
            <w:tcW w:w="1104" w:type="dxa"/>
            <w:vMerge w:val="restart"/>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过程</w:t>
            </w:r>
          </w:p>
          <w:p>
            <w:pPr>
              <w:spacing w:line="0" w:lineRule="atLeast"/>
              <w:jc w:val="center"/>
              <w:rPr>
                <w:color w:val="auto"/>
                <w:kern w:val="0"/>
                <w:sz w:val="22"/>
                <w:szCs w:val="22"/>
                <w:highlight w:val="none"/>
              </w:rPr>
            </w:pPr>
            <w:r>
              <w:rPr>
                <w:color w:val="auto"/>
                <w:kern w:val="0"/>
                <w:sz w:val="22"/>
                <w:szCs w:val="22"/>
                <w:highlight w:val="none"/>
              </w:rPr>
              <w:t>　</w:t>
            </w:r>
          </w:p>
        </w:tc>
        <w:tc>
          <w:tcPr>
            <w:tcW w:w="990" w:type="dxa"/>
            <w:vMerge w:val="restart"/>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20</w:t>
            </w:r>
            <w:r>
              <w:rPr>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1215"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60"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spacing w:line="0" w:lineRule="atLeast"/>
              <w:jc w:val="center"/>
              <w:rPr>
                <w:color w:val="auto"/>
                <w:kern w:val="0"/>
                <w:sz w:val="22"/>
                <w:szCs w:val="22"/>
                <w:highlight w:val="none"/>
              </w:rPr>
            </w:pPr>
          </w:p>
        </w:tc>
        <w:tc>
          <w:tcPr>
            <w:tcW w:w="1283" w:type="dxa"/>
            <w:vMerge w:val="continue"/>
            <w:shd w:val="clear" w:color="auto" w:fill="FFFFFF"/>
            <w:vAlign w:val="center"/>
          </w:tcPr>
          <w:p>
            <w:pPr>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24"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99.</w:t>
            </w:r>
            <w:r>
              <w:rPr>
                <w:rFonts w:hint="eastAsia"/>
                <w:color w:val="auto"/>
                <w:kern w:val="0"/>
                <w:sz w:val="22"/>
                <w:szCs w:val="22"/>
                <w:highlight w:val="none"/>
                <w:lang w:val="en-US" w:eastAsia="zh-CN"/>
              </w:rPr>
              <w:t>33</w:t>
            </w:r>
            <w:r>
              <w:rPr>
                <w:color w:val="auto"/>
                <w:kern w:val="0"/>
                <w:sz w:val="22"/>
                <w:szCs w:val="22"/>
                <w:highlight w:val="none"/>
              </w:rPr>
              <w:t>%</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99.</w:t>
            </w:r>
            <w:r>
              <w:rPr>
                <w:rFonts w:hint="eastAsia"/>
                <w:color w:val="auto"/>
                <w:kern w:val="0"/>
                <w:sz w:val="22"/>
                <w:szCs w:val="22"/>
                <w:highlight w:val="none"/>
                <w:lang w:val="en-US" w:eastAsia="zh-CN"/>
              </w:rPr>
              <w:t>33</w:t>
            </w:r>
            <w:r>
              <w:rPr>
                <w:color w:val="auto"/>
                <w:kern w:val="0"/>
                <w:sz w:val="22"/>
                <w:szCs w:val="22"/>
                <w:highlight w:val="none"/>
              </w:rPr>
              <w:t>%</w:t>
            </w:r>
          </w:p>
        </w:tc>
        <w:tc>
          <w:tcPr>
            <w:tcW w:w="960" w:type="dxa"/>
            <w:shd w:val="clear" w:color="auto" w:fill="FFFFFF"/>
            <w:vAlign w:val="center"/>
          </w:tcPr>
          <w:p>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3.97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资金使用</w:t>
            </w:r>
          </w:p>
          <w:p>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合格</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合格</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spacing w:line="0" w:lineRule="atLeast"/>
              <w:jc w:val="center"/>
              <w:rPr>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组织实施</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管理制度</w:t>
            </w:r>
          </w:p>
          <w:p>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健全</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健全</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制度执行</w:t>
            </w:r>
          </w:p>
          <w:p>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有效</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有效</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990" w:type="dxa"/>
            <w:vMerge w:val="restart"/>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40</w:t>
            </w:r>
            <w:r>
              <w:rPr>
                <w:color w:val="auto"/>
                <w:kern w:val="0"/>
                <w:sz w:val="22"/>
                <w:szCs w:val="22"/>
                <w:highlight w:val="none"/>
              </w:rPr>
              <w:t>分</w:t>
            </w:r>
          </w:p>
        </w:tc>
        <w:tc>
          <w:tcPr>
            <w:tcW w:w="128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727"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w:t>
            </w:r>
            <w:r>
              <w:rPr>
                <w:rFonts w:hint="eastAsia"/>
                <w:color w:val="auto"/>
                <w:kern w:val="0"/>
                <w:sz w:val="22"/>
                <w:szCs w:val="22"/>
                <w:highlight w:val="none"/>
              </w:rPr>
              <w:t>0</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1215"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60"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727"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highlight w:val="none"/>
              </w:rPr>
            </w:pPr>
          </w:p>
        </w:tc>
        <w:tc>
          <w:tcPr>
            <w:tcW w:w="990" w:type="dxa"/>
            <w:vMerge w:val="continue"/>
            <w:shd w:val="clear" w:color="auto" w:fill="FFFFFF"/>
            <w:vAlign w:val="center"/>
          </w:tcPr>
          <w:p>
            <w:pPr>
              <w:spacing w:line="0" w:lineRule="atLeast"/>
              <w:jc w:val="center"/>
              <w:rPr>
                <w:color w:val="auto"/>
                <w:kern w:val="0"/>
                <w:sz w:val="22"/>
                <w:szCs w:val="22"/>
                <w:highlight w:val="none"/>
              </w:rPr>
            </w:pPr>
          </w:p>
        </w:tc>
        <w:tc>
          <w:tcPr>
            <w:tcW w:w="1283" w:type="dxa"/>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产出时效</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727"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w:t>
            </w:r>
            <w:r>
              <w:rPr>
                <w:rFonts w:hint="eastAsia"/>
                <w:color w:val="auto"/>
                <w:kern w:val="0"/>
                <w:sz w:val="22"/>
                <w:szCs w:val="22"/>
                <w:highlight w:val="none"/>
              </w:rPr>
              <w:t>0</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及时</w:t>
            </w:r>
          </w:p>
        </w:tc>
        <w:tc>
          <w:tcPr>
            <w:tcW w:w="92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及时</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727"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w:t>
            </w:r>
          </w:p>
        </w:tc>
        <w:tc>
          <w:tcPr>
            <w:tcW w:w="1044" w:type="dxa"/>
            <w:shd w:val="clear" w:color="000000"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rFonts w:hint="eastAsia"/>
                <w:color w:val="auto"/>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效益　</w:t>
            </w:r>
          </w:p>
        </w:tc>
        <w:tc>
          <w:tcPr>
            <w:tcW w:w="990" w:type="dxa"/>
            <w:vMerge w:val="restart"/>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20</w:t>
            </w:r>
            <w:r>
              <w:rPr>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实施效益</w:t>
            </w:r>
          </w:p>
          <w:p>
            <w:pPr>
              <w:widowControl/>
              <w:spacing w:line="0" w:lineRule="atLeast"/>
              <w:jc w:val="center"/>
              <w:rPr>
                <w:color w:val="auto"/>
                <w:kern w:val="0"/>
                <w:sz w:val="22"/>
                <w:szCs w:val="22"/>
                <w:highlight w:val="none"/>
              </w:rPr>
            </w:pPr>
            <w:r>
              <w:rPr>
                <w:color w:val="auto"/>
                <w:kern w:val="0"/>
                <w:sz w:val="22"/>
                <w:szCs w:val="22"/>
                <w:highlight w:val="none"/>
              </w:rPr>
              <w:t>（社会效益、经济效益、</w:t>
            </w:r>
            <w:r>
              <w:rPr>
                <w:rFonts w:hint="eastAsia"/>
                <w:color w:val="auto"/>
                <w:kern w:val="0"/>
                <w:sz w:val="22"/>
                <w:szCs w:val="22"/>
                <w:highlight w:val="none"/>
                <w:lang w:val="en-US" w:eastAsia="zh-CN"/>
              </w:rPr>
              <w:t>生态</w:t>
            </w:r>
            <w:r>
              <w:rPr>
                <w:color w:val="auto"/>
                <w:kern w:val="0"/>
                <w:sz w:val="22"/>
                <w:szCs w:val="22"/>
                <w:highlight w:val="none"/>
              </w:rPr>
              <w:t>效益）</w:t>
            </w:r>
          </w:p>
        </w:tc>
        <w:tc>
          <w:tcPr>
            <w:tcW w:w="727"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15</w:t>
            </w:r>
          </w:p>
        </w:tc>
        <w:tc>
          <w:tcPr>
            <w:tcW w:w="104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有效</w:t>
            </w:r>
          </w:p>
        </w:tc>
        <w:tc>
          <w:tcPr>
            <w:tcW w:w="92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有效</w:t>
            </w:r>
          </w:p>
        </w:tc>
        <w:tc>
          <w:tcPr>
            <w:tcW w:w="1215"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auto"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5" w:hRule="atLeast"/>
        </w:trPr>
        <w:tc>
          <w:tcPr>
            <w:tcW w:w="1104" w:type="dxa"/>
            <w:vMerge w:val="continue"/>
            <w:shd w:val="clear" w:color="auto" w:fill="FFFFFF"/>
            <w:vAlign w:val="center"/>
          </w:tcPr>
          <w:p>
            <w:pPr>
              <w:widowControl/>
              <w:spacing w:line="0" w:lineRule="atLeast"/>
              <w:jc w:val="center"/>
              <w:rPr>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color w:val="auto"/>
                <w:kern w:val="0"/>
                <w:sz w:val="22"/>
                <w:szCs w:val="22"/>
                <w:highlight w:val="none"/>
              </w:rPr>
            </w:pPr>
          </w:p>
        </w:tc>
        <w:tc>
          <w:tcPr>
            <w:tcW w:w="170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满意度</w:t>
            </w:r>
            <w:r>
              <w:rPr>
                <w:rFonts w:hint="eastAsia"/>
                <w:color w:val="auto"/>
                <w:kern w:val="0"/>
                <w:sz w:val="22"/>
                <w:szCs w:val="22"/>
                <w:highlight w:val="none"/>
              </w:rPr>
              <w:t>(检查人员被投诉次数)</w:t>
            </w:r>
          </w:p>
        </w:tc>
        <w:tc>
          <w:tcPr>
            <w:tcW w:w="727"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5</w:t>
            </w:r>
          </w:p>
        </w:tc>
        <w:tc>
          <w:tcPr>
            <w:tcW w:w="1044"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≤4次</w:t>
            </w:r>
          </w:p>
        </w:tc>
        <w:tc>
          <w:tcPr>
            <w:tcW w:w="924"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0次</w:t>
            </w:r>
          </w:p>
        </w:tc>
        <w:tc>
          <w:tcPr>
            <w:tcW w:w="1215"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100%</w:t>
            </w:r>
          </w:p>
        </w:tc>
        <w:tc>
          <w:tcPr>
            <w:tcW w:w="960" w:type="dxa"/>
            <w:shd w:val="clear" w:color="000000" w:fill="FFFFFF"/>
            <w:vAlign w:val="center"/>
          </w:tcPr>
          <w:p>
            <w:pPr>
              <w:widowControl/>
              <w:spacing w:line="0" w:lineRule="atLeast"/>
              <w:jc w:val="center"/>
              <w:rPr>
                <w:color w:val="auto"/>
                <w:kern w:val="0"/>
                <w:sz w:val="22"/>
                <w:szCs w:val="22"/>
                <w:highlight w:val="none"/>
              </w:rPr>
            </w:pPr>
            <w:r>
              <w:rPr>
                <w:rFonts w:hint="eastAsia"/>
                <w:color w:val="auto"/>
                <w:kern w:val="0"/>
                <w:sz w:val="22"/>
                <w:szCs w:val="22"/>
                <w:highlight w:val="none"/>
              </w:rPr>
              <w:t>5</w:t>
            </w:r>
          </w:p>
        </w:tc>
      </w:tr>
    </w:tbl>
    <w:p>
      <w:pPr>
        <w:spacing w:line="600" w:lineRule="exact"/>
        <w:ind w:firstLine="320" w:firstLineChars="100"/>
        <w:rPr>
          <w:rFonts w:eastAsia="黑体"/>
          <w:color w:val="auto"/>
          <w:sz w:val="32"/>
          <w:szCs w:val="32"/>
          <w:highlight w:val="none"/>
        </w:rPr>
      </w:pPr>
      <w:r>
        <w:rPr>
          <w:rFonts w:eastAsia="黑体"/>
          <w:color w:val="auto"/>
          <w:sz w:val="32"/>
          <w:szCs w:val="32"/>
          <w:highlight w:val="none"/>
        </w:rPr>
        <w:t>四、绩效评价指标分析</w:t>
      </w:r>
    </w:p>
    <w:p>
      <w:pPr>
        <w:pStyle w:val="2"/>
        <w:ind w:firstLine="321" w:firstLineChars="100"/>
        <w:jc w:val="both"/>
        <w:rPr>
          <w:rFonts w:ascii="Times New Roman" w:hAnsi="Times New Roman" w:eastAsia="楷体_GB2312"/>
          <w:color w:val="auto"/>
          <w:highlight w:val="none"/>
        </w:rPr>
      </w:pPr>
      <w:r>
        <w:rPr>
          <w:rFonts w:ascii="Times New Roman" w:hAnsi="Times New Roman" w:eastAsia="楷体_GB2312"/>
          <w:color w:val="auto"/>
          <w:highlight w:val="none"/>
        </w:rPr>
        <w:t>（一）项目决策情况</w:t>
      </w:r>
    </w:p>
    <w:p>
      <w:pPr>
        <w:spacing w:line="600" w:lineRule="exact"/>
        <w:ind w:firstLine="600" w:firstLineChars="200"/>
        <w:outlineLvl w:val="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项目决策类指标包括项目立项、绩效目标和资金投入三方面的内容，由6个三级指标构成，权重分值为20分，实际得分20分，得分率为100%。</w:t>
      </w:r>
    </w:p>
    <w:p>
      <w:pPr>
        <w:pStyle w:val="57"/>
        <w:spacing w:line="560" w:lineRule="exact"/>
        <w:ind w:firstLine="64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1.项目立项</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（1）立项依据充分性</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（2）立项程序规范性</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57"/>
        <w:spacing w:line="560" w:lineRule="exact"/>
        <w:ind w:firstLine="64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2.绩效目标</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（1）绩效目标合理性</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（2）绩效指标明确性</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项目设置了明确的预期产出效益和效果，将绩效目标细化分解为具体的绩效指标，绩效目标与项目目标任务数相对应，绩效目标设定的绩效指标清晰、细化、可衡量。</w:t>
      </w:r>
    </w:p>
    <w:p>
      <w:pPr>
        <w:pStyle w:val="57"/>
        <w:spacing w:line="560" w:lineRule="exact"/>
        <w:ind w:firstLine="64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3.资金投入</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（1）预算编制科学性</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预算编制经过科学论证，提供充分的测算依据佐证资料，预算内容与项目内容相匹配。项目投资额与工作任务相匹配。</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（2）资金分配合理性</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资金分配额度与项目单位实际工作内容相适应，资金分配额度合理，资金分配依据充分。</w:t>
      </w:r>
    </w:p>
    <w:p>
      <w:pPr>
        <w:pStyle w:val="2"/>
        <w:ind w:firstLine="321" w:firstLineChars="100"/>
        <w:jc w:val="both"/>
        <w:rPr>
          <w:rFonts w:ascii="Times New Roman" w:hAnsi="Times New Roman" w:eastAsia="楷体_GB2312"/>
          <w:color w:val="auto"/>
          <w:highlight w:val="none"/>
        </w:rPr>
      </w:pPr>
      <w:r>
        <w:rPr>
          <w:rFonts w:hint="eastAsia" w:ascii="Times New Roman" w:hAnsi="Times New Roman" w:eastAsia="楷体_GB2312"/>
          <w:color w:val="auto"/>
          <w:highlight w:val="none"/>
        </w:rPr>
        <w:t>（二）</w:t>
      </w:r>
      <w:r>
        <w:rPr>
          <w:rFonts w:ascii="Times New Roman" w:hAnsi="Times New Roman" w:eastAsia="楷体_GB2312"/>
          <w:color w:val="auto"/>
          <w:highlight w:val="none"/>
        </w:rPr>
        <w:t>项目过程情况</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项目过程类指标包括资金管理和组织实施两方面的内容，由5个三级指标构成，权重分值为20分，实际得分</w:t>
      </w:r>
      <w:r>
        <w:rPr>
          <w:rFonts w:hint="eastAsia" w:ascii="仿宋_GB2312" w:hAnsi="仿宋_GB2312" w:eastAsia="仿宋_GB2312" w:cs="仿宋_GB2312"/>
          <w:color w:val="auto"/>
          <w:sz w:val="32"/>
          <w:szCs w:val="32"/>
          <w:highlight w:val="none"/>
          <w:lang w:val="en-US" w:eastAsia="zh-CN"/>
        </w:rPr>
        <w:t>19.97</w:t>
      </w:r>
      <w:r>
        <w:rPr>
          <w:rFonts w:hint="eastAsia" w:ascii="仿宋_GB2312" w:hAnsi="仿宋_GB2312" w:eastAsia="仿宋_GB2312" w:cs="仿宋_GB2312"/>
          <w:color w:val="auto"/>
          <w:sz w:val="32"/>
          <w:szCs w:val="32"/>
          <w:highlight w:val="none"/>
        </w:rPr>
        <w:t>分，得分率为100%。</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57"/>
        <w:spacing w:line="560" w:lineRule="exact"/>
        <w:ind w:firstLine="64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1.资金管理</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（1）资金到位率</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本项目总投资188万元，财政资金及时足额到位，到位率100%，预算资金按计划进度执行。</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（2）预算执行率</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预算编制较为详细，项目资金支出总体能够按照预算执行，预算资金支出186.74万元，预算执行率为99.33%。</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（3）资金使用合规性</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57"/>
        <w:spacing w:line="560" w:lineRule="exact"/>
        <w:ind w:firstLine="64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2.组织实施</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（1）管理制度健全性</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（2）制度执行有效性</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对资金使用的合法合规性进行监督，年末对资金使用效果进行评价。项目管理、实施人员落实到位，有效按照计划执行。项目执行情况等资料齐全，项目相关手续完备，及时进行归档。</w:t>
      </w:r>
    </w:p>
    <w:p>
      <w:pPr>
        <w:pStyle w:val="2"/>
        <w:ind w:firstLine="321" w:firstLineChars="100"/>
        <w:jc w:val="both"/>
        <w:rPr>
          <w:rFonts w:ascii="Times New Roman" w:hAnsi="Times New Roman" w:eastAsia="楷体_GB2312"/>
          <w:color w:val="auto"/>
          <w:highlight w:val="none"/>
        </w:rPr>
      </w:pPr>
      <w:r>
        <w:rPr>
          <w:rFonts w:hint="eastAsia" w:ascii="Times New Roman" w:hAnsi="Times New Roman" w:eastAsia="楷体_GB2312"/>
          <w:color w:val="auto"/>
          <w:highlight w:val="none"/>
        </w:rPr>
        <w:t>（三）</w:t>
      </w:r>
      <w:r>
        <w:rPr>
          <w:rFonts w:ascii="Times New Roman" w:hAnsi="Times New Roman" w:eastAsia="楷体_GB2312"/>
          <w:color w:val="auto"/>
          <w:highlight w:val="none"/>
        </w:rPr>
        <w:t>项目产出</w:t>
      </w:r>
      <w:r>
        <w:rPr>
          <w:rFonts w:hint="eastAsia" w:eastAsia="楷体_GB2312"/>
          <w:color w:val="auto"/>
          <w:highlight w:val="none"/>
        </w:rPr>
        <w:t>情况</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项目产出类指标包括产出数量、产出质量、产出时效、产出成本四方面的内容，由</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个三级指标构成，权重分为40分，实际得分</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rPr>
        <w:t>分，得分率为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%。具体产出指标完成情况如下：</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ascii="仿宋_GB2312" w:hAnsi="仿宋_GB2312" w:eastAsia="仿宋_GB2312" w:cs="仿宋_GB2312"/>
          <w:color w:val="auto"/>
          <w:sz w:val="32"/>
          <w:szCs w:val="32"/>
          <w:highlight w:val="none"/>
        </w:rPr>
        <w:t>数量指标：</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指标1：危险废物规范化评估抽查企业数量指标，指标值为120</w:t>
      </w:r>
      <w:r>
        <w:rPr>
          <w:rFonts w:hint="eastAsia" w:ascii="仿宋_GB2312" w:hAnsi="仿宋_GB2312" w:eastAsia="仿宋_GB2312" w:cs="仿宋_GB2312"/>
          <w:color w:val="auto"/>
          <w:sz w:val="32"/>
          <w:szCs w:val="32"/>
          <w:highlight w:val="none"/>
          <w:lang w:val="en-US" w:eastAsia="zh-CN"/>
        </w:rPr>
        <w:t>家</w:t>
      </w:r>
      <w:r>
        <w:rPr>
          <w:rFonts w:hint="eastAsia" w:ascii="仿宋_GB2312" w:hAnsi="仿宋_GB2312" w:eastAsia="仿宋_GB2312" w:cs="仿宋_GB2312"/>
          <w:color w:val="auto"/>
          <w:sz w:val="32"/>
          <w:szCs w:val="32"/>
          <w:highlight w:val="none"/>
        </w:rPr>
        <w:t>，实际完成121</w:t>
      </w:r>
      <w:r>
        <w:rPr>
          <w:rFonts w:hint="eastAsia" w:ascii="仿宋_GB2312" w:hAnsi="仿宋_GB2312" w:eastAsia="仿宋_GB2312" w:cs="仿宋_GB2312"/>
          <w:color w:val="auto"/>
          <w:sz w:val="32"/>
          <w:szCs w:val="32"/>
          <w:highlight w:val="none"/>
          <w:lang w:val="en-US" w:eastAsia="zh-CN"/>
        </w:rPr>
        <w:t>家</w:t>
      </w:r>
      <w:r>
        <w:rPr>
          <w:rFonts w:hint="eastAsia" w:ascii="仿宋_GB2312" w:hAnsi="仿宋_GB2312" w:eastAsia="仿宋_GB2312" w:cs="仿宋_GB2312"/>
          <w:color w:val="auto"/>
          <w:sz w:val="32"/>
          <w:szCs w:val="32"/>
          <w:highlight w:val="none"/>
        </w:rPr>
        <w:t>，完成率100.83%，偏差率0.83%，偏差原因是由于现场评估企业临时增加一家投诉举报企业纳入核查，今后将严格执行预算指标值。</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指标2: 尾矿库污染隐患排查治理监督检查企业数量指标，指标值为30</w:t>
      </w:r>
      <w:r>
        <w:rPr>
          <w:rFonts w:hint="eastAsia" w:ascii="仿宋_GB2312" w:hAnsi="仿宋_GB2312" w:eastAsia="仿宋_GB2312" w:cs="仿宋_GB2312"/>
          <w:color w:val="auto"/>
          <w:sz w:val="32"/>
          <w:szCs w:val="32"/>
          <w:highlight w:val="none"/>
          <w:lang w:val="en-US" w:eastAsia="zh-CN"/>
        </w:rPr>
        <w:t>家</w:t>
      </w:r>
      <w:r>
        <w:rPr>
          <w:rFonts w:hint="eastAsia" w:ascii="仿宋_GB2312" w:hAnsi="仿宋_GB2312" w:eastAsia="仿宋_GB2312" w:cs="仿宋_GB2312"/>
          <w:color w:val="auto"/>
          <w:sz w:val="32"/>
          <w:szCs w:val="32"/>
          <w:highlight w:val="none"/>
        </w:rPr>
        <w:t>，实际完成30</w:t>
      </w:r>
      <w:r>
        <w:rPr>
          <w:rFonts w:hint="eastAsia" w:ascii="仿宋_GB2312" w:hAnsi="仿宋_GB2312" w:eastAsia="仿宋_GB2312" w:cs="仿宋_GB2312"/>
          <w:color w:val="auto"/>
          <w:sz w:val="32"/>
          <w:szCs w:val="32"/>
          <w:highlight w:val="none"/>
          <w:lang w:val="en-US" w:eastAsia="zh-CN"/>
        </w:rPr>
        <w:t>家</w:t>
      </w:r>
      <w:r>
        <w:rPr>
          <w:rFonts w:hint="eastAsia" w:ascii="仿宋_GB2312" w:hAnsi="仿宋_GB2312" w:eastAsia="仿宋_GB2312" w:cs="仿宋_GB2312"/>
          <w:color w:val="auto"/>
          <w:sz w:val="32"/>
          <w:szCs w:val="32"/>
          <w:highlight w:val="none"/>
        </w:rPr>
        <w:t>，完成率100%。</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指标3：危险废物鉴别报告核查数量指标，指标值为10</w:t>
      </w:r>
      <w:r>
        <w:rPr>
          <w:rFonts w:hint="eastAsia" w:ascii="仿宋_GB2312" w:hAnsi="仿宋_GB2312" w:eastAsia="仿宋_GB2312" w:cs="仿宋_GB2312"/>
          <w:color w:val="auto"/>
          <w:sz w:val="32"/>
          <w:szCs w:val="32"/>
          <w:highlight w:val="none"/>
          <w:lang w:val="en-US" w:eastAsia="zh-CN"/>
        </w:rPr>
        <w:t>家</w:t>
      </w:r>
      <w:r>
        <w:rPr>
          <w:rFonts w:hint="eastAsia" w:ascii="仿宋_GB2312" w:hAnsi="仿宋_GB2312" w:eastAsia="仿宋_GB2312" w:cs="仿宋_GB2312"/>
          <w:color w:val="auto"/>
          <w:sz w:val="32"/>
          <w:szCs w:val="32"/>
          <w:highlight w:val="none"/>
        </w:rPr>
        <w:t>，实际完成10</w:t>
      </w:r>
      <w:r>
        <w:rPr>
          <w:rFonts w:hint="eastAsia" w:ascii="仿宋_GB2312" w:hAnsi="仿宋_GB2312" w:eastAsia="仿宋_GB2312" w:cs="仿宋_GB2312"/>
          <w:color w:val="auto"/>
          <w:sz w:val="32"/>
          <w:szCs w:val="32"/>
          <w:highlight w:val="none"/>
          <w:lang w:val="en-US" w:eastAsia="zh-CN"/>
        </w:rPr>
        <w:t>家</w:t>
      </w:r>
      <w:r>
        <w:rPr>
          <w:rFonts w:hint="eastAsia" w:ascii="仿宋_GB2312" w:hAnsi="仿宋_GB2312" w:eastAsia="仿宋_GB2312" w:cs="仿宋_GB2312"/>
          <w:color w:val="auto"/>
          <w:sz w:val="32"/>
          <w:szCs w:val="32"/>
          <w:highlight w:val="none"/>
        </w:rPr>
        <w:t>，完成率100%。</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指标4：危险废物经营许可证核查数量指标，指标值为20</w:t>
      </w:r>
      <w:r>
        <w:rPr>
          <w:rFonts w:hint="eastAsia" w:ascii="仿宋_GB2312" w:hAnsi="仿宋_GB2312" w:eastAsia="仿宋_GB2312" w:cs="仿宋_GB2312"/>
          <w:color w:val="auto"/>
          <w:sz w:val="32"/>
          <w:szCs w:val="32"/>
          <w:highlight w:val="none"/>
          <w:lang w:val="en-US" w:eastAsia="zh-CN"/>
        </w:rPr>
        <w:t>家</w:t>
      </w:r>
      <w:r>
        <w:rPr>
          <w:rFonts w:hint="eastAsia" w:ascii="仿宋_GB2312" w:hAnsi="仿宋_GB2312" w:eastAsia="仿宋_GB2312" w:cs="仿宋_GB2312"/>
          <w:color w:val="auto"/>
          <w:sz w:val="32"/>
          <w:szCs w:val="32"/>
          <w:highlight w:val="none"/>
        </w:rPr>
        <w:t>，实际完成20</w:t>
      </w:r>
      <w:r>
        <w:rPr>
          <w:rFonts w:hint="eastAsia" w:ascii="仿宋_GB2312" w:hAnsi="仿宋_GB2312" w:eastAsia="仿宋_GB2312" w:cs="仿宋_GB2312"/>
          <w:color w:val="auto"/>
          <w:sz w:val="32"/>
          <w:szCs w:val="32"/>
          <w:highlight w:val="none"/>
          <w:lang w:val="en-US" w:eastAsia="zh-CN"/>
        </w:rPr>
        <w:t>家</w:t>
      </w:r>
      <w:r>
        <w:rPr>
          <w:rFonts w:hint="eastAsia" w:ascii="仿宋_GB2312" w:hAnsi="仿宋_GB2312" w:eastAsia="仿宋_GB2312" w:cs="仿宋_GB2312"/>
          <w:color w:val="auto"/>
          <w:sz w:val="32"/>
          <w:szCs w:val="32"/>
          <w:highlight w:val="none"/>
        </w:rPr>
        <w:t>，完成率100%。</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指标1：地级行政区规范化评估抽查覆盖率指标，指标值为90%，实际完成100%，完成率111.1%，偏差率11.1%。按文件要求对14各地州全覆盖，今后将适当调整预算指标值，减小偏差。</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指标1：危险废物经营许可证核查按时完成率指标，指标值为90%，实际完成100%，完成率111.11%，偏差率11.11%。按照危险废物经营许可证核查工作程序按时完成核查工作，今后将适当调整预算指标值，减小偏差。</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4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④</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成本指标：</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指标1：监督管理成本，指标值为</w:t>
      </w:r>
      <w:r>
        <w:rPr>
          <w:rFonts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rPr>
        <w:t>82.4万元，实际完成81.35万元，完成率98.73%，偏差率1.27%，偏差原因其中政府采购指标设备购置为节约成本以实际协议采购价格为准。</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指标2：技术核查成本，指标值为</w:t>
      </w:r>
      <w:r>
        <w:rPr>
          <w:rFonts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rPr>
        <w:t>85.6万元，实际完成85.6万元，完成率100%。</w:t>
      </w:r>
    </w:p>
    <w:p>
      <w:pPr>
        <w:pStyle w:val="2"/>
        <w:ind w:firstLine="321" w:firstLineChars="100"/>
        <w:jc w:val="both"/>
        <w:rPr>
          <w:rFonts w:ascii="Times New Roman" w:hAnsi="Times New Roman" w:eastAsia="楷体_GB2312"/>
          <w:color w:val="auto"/>
          <w:highlight w:val="none"/>
        </w:rPr>
      </w:pPr>
      <w:r>
        <w:rPr>
          <w:rFonts w:hint="eastAsia" w:ascii="Times New Roman" w:hAnsi="Times New Roman" w:eastAsia="楷体_GB2312"/>
          <w:color w:val="auto"/>
          <w:highlight w:val="none"/>
        </w:rPr>
        <w:t>（四）项目</w:t>
      </w:r>
      <w:r>
        <w:rPr>
          <w:rFonts w:ascii="Times New Roman" w:hAnsi="Times New Roman" w:eastAsia="楷体_GB2312"/>
          <w:color w:val="auto"/>
          <w:highlight w:val="none"/>
        </w:rPr>
        <w:t>效益情况</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项目效益类指标包括项目实施效益和满意度两方面的内容，由2个三级指标构成，权重分为20分，实际得分20分，得分率为100%。具体效益指标及满意度指标完成情况如下：</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1.实施效益</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①</w:t>
      </w:r>
      <w:r>
        <w:rPr>
          <w:rFonts w:ascii="仿宋_GB2312" w:hAnsi="仿宋_GB2312" w:eastAsia="仿宋_GB2312" w:cs="仿宋_GB2312"/>
          <w:color w:val="auto"/>
          <w:sz w:val="32"/>
          <w:szCs w:val="32"/>
          <w:highlight w:val="none"/>
        </w:rPr>
        <w:t>社会效益指标：</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规范化评估问题整改落实率指标，指标值为90%，实际完成94.9%，完成率105.44%，偏差率5.44%。偏差原因:按月定时调度地州规范化评估问题整改落实情况，各地积极落实整改，总体整改落实进度加快，今后将适当调整预算指标值，减小偏差。</w:t>
      </w:r>
    </w:p>
    <w:p>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2.满意度</w:t>
      </w:r>
    </w:p>
    <w:p>
      <w:pPr>
        <w:spacing w:line="600" w:lineRule="exact"/>
        <w:ind w:firstLine="640" w:firstLineChars="20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满意度指标：</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指标1：检查人员被投诉次数指标，指标值为4</w:t>
      </w:r>
      <w:r>
        <w:rPr>
          <w:rFonts w:hint="eastAsia" w:ascii="仿宋_GB2312" w:hAnsi="仿宋_GB2312" w:eastAsia="仿宋_GB2312" w:cs="仿宋_GB2312"/>
          <w:color w:val="auto"/>
          <w:sz w:val="32"/>
          <w:szCs w:val="32"/>
          <w:highlight w:val="none"/>
          <w:lang w:val="en-US" w:eastAsia="zh-CN"/>
        </w:rPr>
        <w:t>次</w:t>
      </w:r>
      <w:r>
        <w:rPr>
          <w:rFonts w:hint="eastAsia" w:ascii="仿宋_GB2312" w:hAnsi="仿宋_GB2312" w:eastAsia="仿宋_GB2312" w:cs="仿宋_GB2312"/>
          <w:color w:val="auto"/>
          <w:sz w:val="32"/>
          <w:szCs w:val="32"/>
          <w:highlight w:val="none"/>
        </w:rPr>
        <w:t>，实际完成0</w:t>
      </w:r>
      <w:r>
        <w:rPr>
          <w:rFonts w:hint="eastAsia" w:ascii="仿宋_GB2312" w:hAnsi="仿宋_GB2312" w:eastAsia="仿宋_GB2312" w:cs="仿宋_GB2312"/>
          <w:color w:val="auto"/>
          <w:sz w:val="32"/>
          <w:szCs w:val="32"/>
          <w:highlight w:val="none"/>
          <w:lang w:val="en-US" w:eastAsia="zh-CN"/>
        </w:rPr>
        <w:t>次</w:t>
      </w:r>
      <w:r>
        <w:rPr>
          <w:rFonts w:hint="eastAsia" w:ascii="仿宋_GB2312" w:hAnsi="仿宋_GB2312" w:eastAsia="仿宋_GB2312" w:cs="仿宋_GB2312"/>
          <w:color w:val="auto"/>
          <w:sz w:val="32"/>
          <w:szCs w:val="32"/>
          <w:highlight w:val="none"/>
        </w:rPr>
        <w:t>，完成率100%。</w:t>
      </w:r>
    </w:p>
    <w:p>
      <w:pPr>
        <w:spacing w:line="600" w:lineRule="exact"/>
        <w:ind w:firstLine="960" w:firstLineChars="300"/>
        <w:rPr>
          <w:rFonts w:eastAsia="黑体"/>
          <w:color w:val="auto"/>
          <w:sz w:val="32"/>
          <w:szCs w:val="32"/>
          <w:highlight w:val="none"/>
        </w:rPr>
      </w:pPr>
      <w:r>
        <w:rPr>
          <w:rFonts w:eastAsia="黑体"/>
          <w:color w:val="auto"/>
          <w:sz w:val="32"/>
          <w:szCs w:val="32"/>
          <w:highlight w:val="none"/>
        </w:rPr>
        <w:t>五、</w:t>
      </w:r>
      <w:r>
        <w:rPr>
          <w:rFonts w:hint="eastAsia" w:eastAsia="黑体"/>
          <w:color w:val="auto"/>
          <w:sz w:val="32"/>
          <w:szCs w:val="32"/>
          <w:highlight w:val="none"/>
        </w:rPr>
        <w:t>预算执行进度与绩效指标总体完成率偏差</w:t>
      </w:r>
    </w:p>
    <w:p>
      <w:pPr>
        <w:pStyle w:val="57"/>
        <w:spacing w:line="360" w:lineRule="auto"/>
        <w:ind w:firstLine="640"/>
        <w:rPr>
          <w:rFonts w:eastAsia="方正仿宋_GBK" w:cs="方正仿宋_GBK"/>
          <w:color w:val="auto"/>
          <w:sz w:val="32"/>
          <w:szCs w:val="32"/>
          <w:highlight w:val="none"/>
        </w:rPr>
      </w:pPr>
      <w:r>
        <w:rPr>
          <w:rFonts w:hint="eastAsia" w:eastAsia="仿宋_GB2312"/>
          <w:color w:val="auto"/>
          <w:kern w:val="2"/>
          <w:sz w:val="32"/>
          <w:szCs w:val="32"/>
          <w:highlight w:val="none"/>
        </w:rPr>
        <w:t>自治区固体废弃物（危险废物）监督管理专项年初预算188万元，全年预算188万元，实际支出</w:t>
      </w:r>
      <w:r>
        <w:rPr>
          <w:rFonts w:eastAsia="仿宋_GB2312"/>
          <w:color w:val="auto"/>
          <w:kern w:val="2"/>
          <w:sz w:val="32"/>
          <w:szCs w:val="32"/>
          <w:highlight w:val="none"/>
        </w:rPr>
        <w:t>186.74</w:t>
      </w:r>
      <w:r>
        <w:rPr>
          <w:rFonts w:hint="eastAsia" w:eastAsia="仿宋_GB2312"/>
          <w:color w:val="auto"/>
          <w:kern w:val="2"/>
          <w:sz w:val="32"/>
          <w:szCs w:val="32"/>
          <w:highlight w:val="none"/>
        </w:rPr>
        <w:t>万元，预算执行率为</w:t>
      </w:r>
      <w:r>
        <w:rPr>
          <w:rFonts w:eastAsia="仿宋_GB2312"/>
          <w:color w:val="auto"/>
          <w:kern w:val="2"/>
          <w:sz w:val="32"/>
          <w:szCs w:val="32"/>
          <w:highlight w:val="none"/>
        </w:rPr>
        <w:t>99.</w:t>
      </w:r>
      <w:r>
        <w:rPr>
          <w:rFonts w:hint="eastAsia" w:eastAsia="仿宋_GB2312"/>
          <w:color w:val="auto"/>
          <w:kern w:val="2"/>
          <w:sz w:val="32"/>
          <w:szCs w:val="32"/>
          <w:highlight w:val="none"/>
        </w:rPr>
        <w:t>33%，项目绩效指标总体完成率为102.72%，总体偏差率为</w:t>
      </w:r>
      <w:r>
        <w:rPr>
          <w:rFonts w:hint="eastAsia" w:eastAsia="仿宋_GB2312"/>
          <w:color w:val="auto"/>
          <w:kern w:val="2"/>
          <w:sz w:val="32"/>
          <w:szCs w:val="32"/>
          <w:highlight w:val="none"/>
          <w:lang w:val="en-US" w:eastAsia="zh-CN"/>
        </w:rPr>
        <w:t>3.39</w:t>
      </w:r>
      <w:r>
        <w:rPr>
          <w:rFonts w:hint="eastAsia" w:eastAsia="仿宋_GB2312"/>
          <w:color w:val="auto"/>
          <w:kern w:val="2"/>
          <w:sz w:val="32"/>
          <w:szCs w:val="32"/>
          <w:highlight w:val="none"/>
        </w:rPr>
        <w:t>%,偏差原因:除成本指标因节约成本实际采购价格低于预算价格外其他均为正向偏差，实际</w:t>
      </w:r>
      <w:r>
        <w:rPr>
          <w:rFonts w:hint="eastAsia" w:eastAsia="仿宋_GB2312"/>
          <w:color w:val="auto"/>
          <w:kern w:val="2"/>
          <w:sz w:val="32"/>
          <w:szCs w:val="32"/>
          <w:highlight w:val="none"/>
          <w:lang w:val="en-US" w:eastAsia="zh-CN"/>
        </w:rPr>
        <w:t>超额</w:t>
      </w:r>
      <w:r>
        <w:rPr>
          <w:rFonts w:hint="eastAsia" w:eastAsia="仿宋_GB2312"/>
          <w:color w:val="auto"/>
          <w:kern w:val="2"/>
          <w:sz w:val="32"/>
          <w:szCs w:val="32"/>
          <w:highlight w:val="none"/>
        </w:rPr>
        <w:t>完成了预期指标，改进措施今后将适当调整预算指标值，做到精准预算，减小偏差。</w:t>
      </w:r>
    </w:p>
    <w:p>
      <w:pPr>
        <w:spacing w:line="600" w:lineRule="exact"/>
        <w:ind w:firstLine="640" w:firstLineChars="200"/>
        <w:rPr>
          <w:rStyle w:val="54"/>
          <w:rFonts w:ascii="Times New Roman" w:hAnsi="Times New Roman" w:cs="Times New Roman"/>
          <w:color w:val="auto"/>
          <w:highlight w:val="none"/>
        </w:rPr>
      </w:pPr>
      <w:r>
        <w:rPr>
          <w:rFonts w:hint="eastAsia" w:eastAsia="黑体"/>
          <w:color w:val="auto"/>
          <w:sz w:val="32"/>
          <w:szCs w:val="32"/>
          <w:highlight w:val="none"/>
        </w:rPr>
        <w:t>六</w:t>
      </w:r>
      <w:r>
        <w:rPr>
          <w:rFonts w:eastAsia="黑体"/>
          <w:color w:val="auto"/>
          <w:sz w:val="32"/>
          <w:szCs w:val="32"/>
          <w:highlight w:val="none"/>
        </w:rPr>
        <w:t>、主要经验及做法、存在的问题及原因分析</w:t>
      </w:r>
    </w:p>
    <w:p>
      <w:pPr>
        <w:spacing w:line="600" w:lineRule="exact"/>
        <w:ind w:firstLine="626" w:firstLineChars="200"/>
        <w:rPr>
          <w:rFonts w:eastAsia="楷体"/>
          <w:b/>
          <w:color w:val="auto"/>
          <w:spacing w:val="-4"/>
          <w:sz w:val="32"/>
          <w:szCs w:val="32"/>
          <w:highlight w:val="none"/>
        </w:rPr>
      </w:pPr>
      <w:r>
        <w:rPr>
          <w:rFonts w:eastAsia="楷体"/>
          <w:b/>
          <w:color w:val="auto"/>
          <w:spacing w:val="-4"/>
          <w:sz w:val="32"/>
          <w:szCs w:val="32"/>
          <w:highlight w:val="none"/>
        </w:rPr>
        <w:t>（一）主要经验及做法</w:t>
      </w:r>
    </w:p>
    <w:p>
      <w:pPr>
        <w:spacing w:line="600" w:lineRule="exact"/>
        <w:ind w:firstLine="640" w:firstLineChars="200"/>
        <w:rPr>
          <w:rFonts w:ascii="Times New Roman" w:hAnsi="Times New Roman" w:eastAsia="仿宋_GB2312"/>
          <w:b w:val="0"/>
          <w:bCs w:val="0"/>
          <w:color w:val="auto"/>
          <w:kern w:val="2"/>
          <w:highlight w:val="none"/>
        </w:rPr>
      </w:pPr>
      <w:r>
        <w:rPr>
          <w:rFonts w:hint="eastAsia" w:eastAsia="仿宋_GB2312"/>
          <w:color w:val="auto"/>
          <w:sz w:val="32"/>
          <w:szCs w:val="32"/>
          <w:highlight w:val="none"/>
          <w:lang w:val="en-US" w:eastAsia="zh-CN"/>
        </w:rPr>
        <w:t>一是</w:t>
      </w:r>
      <w:r>
        <w:rPr>
          <w:rFonts w:hint="eastAsia" w:eastAsia="仿宋_GB2312"/>
          <w:color w:val="auto"/>
          <w:sz w:val="32"/>
          <w:szCs w:val="32"/>
          <w:highlight w:val="none"/>
        </w:rPr>
        <w:t>加强思想教育，提高认识。通过加强学习，教育引导干部职工深刻理解和认识加强绩效考核工作的重要性和紧迫性，统一思想，提高认识，形成了人人关心、积极参与绩效考核的浓厚氛围。</w:t>
      </w:r>
      <w:r>
        <w:rPr>
          <w:rFonts w:hint="eastAsia" w:eastAsia="仿宋_GB2312"/>
          <w:color w:val="auto"/>
          <w:sz w:val="32"/>
          <w:szCs w:val="32"/>
          <w:highlight w:val="none"/>
          <w:lang w:val="en-US" w:eastAsia="zh-CN"/>
        </w:rPr>
        <w:t>二</w:t>
      </w:r>
      <w:r>
        <w:rPr>
          <w:rFonts w:hint="eastAsia" w:eastAsia="仿宋_GB2312"/>
          <w:color w:val="auto"/>
          <w:sz w:val="32"/>
          <w:szCs w:val="32"/>
          <w:highlight w:val="none"/>
        </w:rPr>
        <w:t>是紧密联系</w:t>
      </w:r>
      <w:r>
        <w:rPr>
          <w:rFonts w:hint="eastAsia" w:eastAsia="仿宋_GB2312"/>
          <w:color w:val="auto"/>
          <w:sz w:val="32"/>
          <w:szCs w:val="32"/>
          <w:highlight w:val="none"/>
          <w:lang w:val="en-US" w:eastAsia="zh-CN"/>
        </w:rPr>
        <w:t>业务</w:t>
      </w:r>
      <w:r>
        <w:rPr>
          <w:rFonts w:hint="eastAsia" w:eastAsia="仿宋_GB2312"/>
          <w:color w:val="auto"/>
          <w:sz w:val="32"/>
          <w:szCs w:val="32"/>
          <w:highlight w:val="none"/>
        </w:rPr>
        <w:t>工作实际，把加强绩效考核与党风廉政建设和反腐败工作结合起来。坚持把提升</w:t>
      </w:r>
      <w:r>
        <w:rPr>
          <w:rFonts w:hint="eastAsia" w:eastAsia="仿宋_GB2312"/>
          <w:color w:val="auto"/>
          <w:sz w:val="32"/>
          <w:szCs w:val="32"/>
          <w:highlight w:val="none"/>
          <w:lang w:val="en-US" w:eastAsia="zh-CN"/>
        </w:rPr>
        <w:t>技术支撑能力</w:t>
      </w:r>
      <w:r>
        <w:rPr>
          <w:rFonts w:hint="eastAsia" w:eastAsia="仿宋_GB2312"/>
          <w:color w:val="auto"/>
          <w:sz w:val="32"/>
          <w:szCs w:val="32"/>
          <w:highlight w:val="none"/>
        </w:rPr>
        <w:t>，加强绩效考核与业务工作一起部署、一起检查、一起考核、一起落实。</w:t>
      </w:r>
      <w:r>
        <w:rPr>
          <w:rFonts w:hint="eastAsia" w:eastAsia="仿宋_GB2312"/>
          <w:color w:val="auto"/>
          <w:sz w:val="32"/>
          <w:szCs w:val="32"/>
          <w:highlight w:val="none"/>
          <w:lang w:val="en-US" w:eastAsia="zh-CN"/>
        </w:rPr>
        <w:t>三</w:t>
      </w:r>
      <w:r>
        <w:rPr>
          <w:rFonts w:hint="eastAsia" w:eastAsia="仿宋_GB2312"/>
          <w:color w:val="auto"/>
          <w:sz w:val="32"/>
          <w:szCs w:val="32"/>
          <w:highlight w:val="none"/>
        </w:rPr>
        <w:t>是</w:t>
      </w:r>
      <w:r>
        <w:rPr>
          <w:rFonts w:hint="eastAsia" w:eastAsia="仿宋_GB2312"/>
          <w:color w:val="auto"/>
          <w:sz w:val="32"/>
          <w:szCs w:val="32"/>
          <w:highlight w:val="none"/>
          <w:lang w:val="en-US" w:eastAsia="zh-CN"/>
        </w:rPr>
        <w:t>中心支委多次召开专题会议，研究中心开展绩效考核工作活动事项。四是在项目资金使用过程中，严格落实把关，按照项目资金使用范围做好审核工作，让项目资金落于实处。严格坚持先做事、后验收、再拨付的原则，基本杜绝了资金被挤占和挪用现象的发生，跟踪检查到位。</w:t>
      </w:r>
    </w:p>
    <w:p>
      <w:pPr>
        <w:keepNext/>
        <w:keepLines/>
        <w:numPr>
          <w:ilvl w:val="0"/>
          <w:numId w:val="6"/>
        </w:numPr>
        <w:spacing w:line="600" w:lineRule="exact"/>
        <w:ind w:firstLine="642" w:firstLineChars="200"/>
        <w:rPr>
          <w:rFonts w:eastAsia="楷体_GB2312"/>
          <w:b/>
          <w:bCs/>
          <w:color w:val="auto"/>
          <w:sz w:val="32"/>
          <w:szCs w:val="32"/>
          <w:highlight w:val="none"/>
        </w:rPr>
      </w:pPr>
      <w:r>
        <w:rPr>
          <w:rFonts w:eastAsia="楷体_GB2312"/>
          <w:b/>
          <w:bCs/>
          <w:color w:val="auto"/>
          <w:sz w:val="32"/>
          <w:szCs w:val="32"/>
          <w:highlight w:val="none"/>
        </w:rPr>
        <w:t>存在的问题及原因分析</w:t>
      </w:r>
    </w:p>
    <w:p>
      <w:pPr>
        <w:pStyle w:val="2"/>
        <w:spacing w:before="0" w:after="0" w:line="600" w:lineRule="exact"/>
        <w:ind w:firstLine="640" w:firstLineChars="200"/>
        <w:jc w:val="both"/>
        <w:rPr>
          <w:rFonts w:hint="eastAsia" w:ascii="Times New Roman" w:hAnsi="Times New Roman" w:eastAsia="仿宋_GB2312"/>
          <w:b w:val="0"/>
          <w:bCs w:val="0"/>
          <w:color w:val="auto"/>
          <w:kern w:val="2"/>
          <w:highlight w:val="none"/>
        </w:rPr>
      </w:pPr>
      <w:r>
        <w:rPr>
          <w:rFonts w:hint="eastAsia" w:ascii="Times New Roman" w:hAnsi="Times New Roman" w:eastAsia="仿宋_GB2312"/>
          <w:b w:val="0"/>
          <w:bCs w:val="0"/>
          <w:color w:val="auto"/>
          <w:kern w:val="2"/>
          <w:highlight w:val="none"/>
        </w:rPr>
        <w:t>1.绩效管理的整体性上还有差距，管理体系需进一步健全。</w:t>
      </w:r>
    </w:p>
    <w:p>
      <w:pPr>
        <w:pStyle w:val="2"/>
        <w:spacing w:before="0" w:after="0" w:line="600" w:lineRule="exact"/>
        <w:ind w:firstLine="640" w:firstLineChars="200"/>
        <w:jc w:val="both"/>
        <w:rPr>
          <w:rFonts w:hint="eastAsia" w:ascii="Times New Roman" w:hAnsi="Times New Roman" w:eastAsia="仿宋_GB2312"/>
          <w:b w:val="0"/>
          <w:bCs w:val="0"/>
          <w:color w:val="auto"/>
          <w:kern w:val="2"/>
          <w:highlight w:val="none"/>
        </w:rPr>
      </w:pPr>
      <w:r>
        <w:rPr>
          <w:rFonts w:hint="eastAsia" w:ascii="Times New Roman" w:hAnsi="Times New Roman" w:eastAsia="仿宋_GB2312"/>
          <w:b w:val="0"/>
          <w:bCs w:val="0"/>
          <w:color w:val="auto"/>
          <w:kern w:val="2"/>
          <w:highlight w:val="none"/>
        </w:rPr>
        <w:t>2.设置质量指标、时效指标、社会效益指标过于保守，在今后的预算设定时将适当提高指标值。</w:t>
      </w:r>
    </w:p>
    <w:p>
      <w:pPr>
        <w:pStyle w:val="2"/>
        <w:spacing w:before="0" w:after="0" w:line="600" w:lineRule="exact"/>
        <w:ind w:firstLine="640" w:firstLineChars="200"/>
        <w:jc w:val="both"/>
        <w:rPr>
          <w:rFonts w:hint="eastAsia" w:ascii="Times New Roman" w:hAnsi="Times New Roman" w:eastAsia="仿宋_GB2312"/>
          <w:b w:val="0"/>
          <w:bCs w:val="0"/>
          <w:color w:val="auto"/>
          <w:kern w:val="2"/>
          <w:highlight w:val="none"/>
        </w:rPr>
      </w:pPr>
      <w:r>
        <w:rPr>
          <w:rFonts w:hint="eastAsia" w:ascii="Times New Roman" w:hAnsi="Times New Roman" w:eastAsia="仿宋_GB2312"/>
          <w:b w:val="0"/>
          <w:bCs w:val="0"/>
          <w:color w:val="auto"/>
          <w:kern w:val="2"/>
          <w:highlight w:val="none"/>
        </w:rPr>
        <w:t>3.因工作开展情况，导致个别项目在一定程度上存在支出进度慢的现象。</w:t>
      </w:r>
    </w:p>
    <w:p>
      <w:pPr>
        <w:pStyle w:val="2"/>
        <w:spacing w:before="0" w:after="0" w:line="600" w:lineRule="exact"/>
        <w:ind w:firstLine="642" w:firstLineChars="200"/>
        <w:jc w:val="both"/>
        <w:rPr>
          <w:rFonts w:eastAsia="黑体"/>
          <w:color w:val="auto"/>
          <w:sz w:val="32"/>
          <w:szCs w:val="32"/>
          <w:highlight w:val="none"/>
        </w:rPr>
      </w:pPr>
      <w:r>
        <w:rPr>
          <w:rFonts w:hint="eastAsia" w:eastAsia="黑体"/>
          <w:color w:val="auto"/>
          <w:sz w:val="32"/>
          <w:szCs w:val="32"/>
          <w:highlight w:val="none"/>
        </w:rPr>
        <w:t>七、</w:t>
      </w:r>
      <w:r>
        <w:rPr>
          <w:rFonts w:eastAsia="黑体"/>
          <w:color w:val="auto"/>
          <w:sz w:val="32"/>
          <w:szCs w:val="32"/>
          <w:highlight w:val="none"/>
        </w:rPr>
        <w:t>有关建议</w:t>
      </w:r>
    </w:p>
    <w:p>
      <w:pPr>
        <w:spacing w:line="600" w:lineRule="exact"/>
        <w:ind w:firstLine="640" w:firstLineChars="200"/>
        <w:rPr>
          <w:color w:val="auto"/>
          <w:highlight w:val="none"/>
        </w:rPr>
      </w:pPr>
      <w:r>
        <w:rPr>
          <w:rFonts w:hint="eastAsia" w:ascii="仿宋_GB2312" w:hAnsi="仿宋_GB2312" w:eastAsia="仿宋_GB2312" w:cs="仿宋_GB2312"/>
          <w:color w:val="auto"/>
          <w:sz w:val="32"/>
          <w:szCs w:val="28"/>
          <w:highlight w:val="none"/>
        </w:rPr>
        <w:t>1.建立绩效工作考核制度，加大全局对全面实施预算绩效管理和绩效管理工作的学习力度，让“花钱必问效，无效必问责”的理念深入工作每个环节。</w:t>
      </w:r>
    </w:p>
    <w:p>
      <w:pPr>
        <w:spacing w:line="600" w:lineRule="exact"/>
        <w:ind w:firstLine="640" w:firstLineChars="200"/>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lang w:val="en-US" w:eastAsia="zh-CN"/>
        </w:rPr>
        <w:t>2.</w:t>
      </w:r>
      <w:r>
        <w:rPr>
          <w:rFonts w:hint="eastAsia" w:ascii="仿宋_GB2312" w:hAnsi="仿宋_GB2312" w:eastAsia="仿宋_GB2312" w:cs="仿宋_GB2312"/>
          <w:color w:val="auto"/>
          <w:sz w:val="32"/>
          <w:szCs w:val="28"/>
          <w:highlight w:val="none"/>
        </w:rPr>
        <w:t>细化预算编制工作，认真做好预算编制。进一步加强内部预算管理意识，严格按照预算编制的相关制度和要求进行预算编制</w:t>
      </w:r>
      <w:r>
        <w:rPr>
          <w:rFonts w:hint="eastAsia" w:ascii="仿宋_GB2312" w:hAnsi="仿宋_GB2312" w:eastAsia="仿宋_GB2312" w:cs="仿宋_GB2312"/>
          <w:color w:val="auto"/>
          <w:sz w:val="32"/>
          <w:szCs w:val="28"/>
          <w:highlight w:val="none"/>
          <w:lang w:eastAsia="zh-CN"/>
        </w:rPr>
        <w:t>；</w:t>
      </w:r>
      <w:r>
        <w:rPr>
          <w:rFonts w:hint="eastAsia" w:ascii="仿宋_GB2312" w:hAnsi="仿宋_GB2312" w:eastAsia="仿宋_GB2312" w:cs="仿宋_GB2312"/>
          <w:color w:val="auto"/>
          <w:sz w:val="32"/>
          <w:szCs w:val="28"/>
          <w:highlight w:val="none"/>
        </w:rPr>
        <w:t>全面编制预算项目，优先保障固定性的、相对刚性的费用支出项目，进</w:t>
      </w:r>
      <w:r>
        <w:rPr>
          <w:rFonts w:hint="eastAsia" w:ascii="仿宋_GB2312" w:hAnsi="仿宋_GB2312" w:eastAsia="仿宋_GB2312" w:cs="仿宋_GB2312"/>
          <w:color w:val="auto"/>
          <w:sz w:val="32"/>
          <w:szCs w:val="28"/>
          <w:highlight w:val="none"/>
          <w:lang w:val="en-US" w:eastAsia="zh-CN"/>
        </w:rPr>
        <w:t>一</w:t>
      </w:r>
      <w:r>
        <w:rPr>
          <w:rFonts w:hint="eastAsia" w:ascii="仿宋_GB2312" w:hAnsi="仿宋_GB2312" w:eastAsia="仿宋_GB2312" w:cs="仿宋_GB2312"/>
          <w:color w:val="auto"/>
          <w:sz w:val="32"/>
          <w:szCs w:val="28"/>
          <w:highlight w:val="none"/>
        </w:rPr>
        <w:t>步提高预算编制的科学性、严谨性和可控性。</w:t>
      </w:r>
    </w:p>
    <w:p>
      <w:pPr>
        <w:spacing w:line="600" w:lineRule="exact"/>
        <w:ind w:firstLine="640" w:firstLineChars="200"/>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3.加强项目开展进度的跟踪，开展项目绩效评价，确保项目绩效目标的完成。</w:t>
      </w:r>
    </w:p>
    <w:p>
      <w:pPr>
        <w:spacing w:line="600" w:lineRule="exact"/>
        <w:ind w:firstLine="640" w:firstLineChars="200"/>
        <w:rPr>
          <w:rFonts w:eastAsia="黑体"/>
          <w:color w:val="auto"/>
          <w:sz w:val="32"/>
          <w:szCs w:val="32"/>
          <w:highlight w:val="none"/>
        </w:rPr>
      </w:pPr>
      <w:r>
        <w:rPr>
          <w:rFonts w:hint="eastAsia" w:eastAsia="黑体"/>
          <w:color w:val="auto"/>
          <w:sz w:val="32"/>
          <w:szCs w:val="32"/>
          <w:highlight w:val="none"/>
        </w:rPr>
        <w:t>八、</w:t>
      </w:r>
      <w:r>
        <w:rPr>
          <w:rFonts w:eastAsia="黑体"/>
          <w:color w:val="auto"/>
          <w:sz w:val="32"/>
          <w:szCs w:val="32"/>
          <w:highlight w:val="none"/>
        </w:rPr>
        <w:t>其他需要说</w:t>
      </w:r>
      <w:bookmarkStart w:id="7" w:name="page8"/>
      <w:bookmarkEnd w:id="7"/>
      <w:r>
        <w:rPr>
          <w:rFonts w:eastAsia="黑体"/>
          <w:color w:val="auto"/>
          <w:sz w:val="32"/>
          <w:szCs w:val="32"/>
          <w:highlight w:val="none"/>
        </w:rPr>
        <w:t>明的问题</w:t>
      </w:r>
    </w:p>
    <w:p>
      <w:pPr>
        <w:pStyle w:val="21"/>
        <w:spacing w:after="0" w:line="560" w:lineRule="exact"/>
        <w:ind w:left="0" w:leftChars="0" w:firstLine="640"/>
        <w:rPr>
          <w:rFonts w:hint="eastAsia" w:ascii="仿宋_GB2312" w:hAnsi="仿宋_GB2312" w:eastAsia="仿宋_GB2312" w:cs="仿宋_GB2312"/>
          <w:color w:val="auto"/>
          <w:sz w:val="32"/>
          <w:szCs w:val="28"/>
          <w:highlight w:val="none"/>
        </w:rPr>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仿宋_GB2312" w:hAnsi="仿宋_GB2312" w:eastAsia="仿宋_GB2312" w:cs="仿宋_GB2312"/>
          <w:color w:val="auto"/>
          <w:sz w:val="32"/>
          <w:szCs w:val="28"/>
          <w:highlight w:val="none"/>
        </w:rPr>
        <w:t>本项目无其他需说明的问题。</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9"/>
        <w:gridCol w:w="761"/>
        <w:gridCol w:w="828"/>
        <w:gridCol w:w="1695"/>
        <w:gridCol w:w="841"/>
        <w:gridCol w:w="1092"/>
        <w:gridCol w:w="992"/>
        <w:gridCol w:w="926"/>
        <w:gridCol w:w="788"/>
        <w:gridCol w:w="671"/>
        <w:gridCol w:w="710"/>
        <w:gridCol w:w="709"/>
        <w:gridCol w:w="553"/>
        <w:gridCol w:w="44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0" w:type="auto"/>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0" w:type="auto"/>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自治区固体废弃物（危险废物）监督管理专项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新疆维吾尔自治区生态环境厅</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实施单位</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新疆维吾尔自治区固体废物管理中心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w:t>
            </w:r>
            <w:r>
              <w:rPr>
                <w:rFonts w:hint="eastAsia" w:ascii="宋体" w:hAnsi="宋体" w:eastAsia="宋体" w:cs="宋体"/>
                <w:b/>
                <w:bCs/>
                <w:i w:val="0"/>
                <w:iCs w:val="0"/>
                <w:color w:val="auto"/>
                <w:kern w:val="0"/>
                <w:sz w:val="18"/>
                <w:szCs w:val="18"/>
                <w:highlight w:val="none"/>
                <w:u w:val="none"/>
                <w:lang w:val="en-US" w:eastAsia="zh-CN" w:bidi="ar"/>
              </w:rPr>
              <w:br w:type="textWrapping"/>
            </w:r>
            <w:r>
              <w:rPr>
                <w:rFonts w:hint="eastAsia" w:ascii="宋体" w:hAnsi="宋体" w:eastAsia="宋体" w:cs="宋体"/>
                <w:b/>
                <w:bCs/>
                <w:i w:val="0"/>
                <w:iCs w:val="0"/>
                <w:color w:val="auto"/>
                <w:kern w:val="0"/>
                <w:sz w:val="18"/>
                <w:szCs w:val="18"/>
                <w:highlight w:val="none"/>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年初预算数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全年执行数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分值</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188</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188</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186.74</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10</w:t>
            </w:r>
            <w:r>
              <w:rPr>
                <w:rFonts w:hint="eastAsia" w:ascii="宋体" w:hAnsi="宋体" w:cs="宋体"/>
                <w:i w:val="0"/>
                <w:iCs w:val="0"/>
                <w:color w:val="auto"/>
                <w:kern w:val="0"/>
                <w:sz w:val="18"/>
                <w:szCs w:val="18"/>
                <w:highlight w:val="none"/>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其中：当年财政拨款</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168</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166.95</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166.95</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 xml:space="preserve">  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19.79</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19.79</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年度总体目标</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预期目标</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通过项目实施，为自治区生态环境厅开展全区危险废物环境保护监督管理提供有力的技术支撑，切实提升涉危险废物企业和单位对危险废物环境管理的能力。危险废物规范化评估抽查企业数量达到120家，地级行政区规范化评估抽查覆盖率达到90%，后续问题整改落实率达到90%；危险废物经营许可证核查数量20家，核查按时完成率达到90%。</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通过项目实施，为自治区生态环境厅开展全区危险废物环境保护监督管理提供了有力的技术支撑，切实提升涉危险废物企业和单位对危险废物环境管理的能力。危险废物规范化评估抽查企业数量达到121家，地级行政区规范化评估抽查覆盖率达到100%，后续问题整改落实率达到94.9%；尾矿库污染隐患排查治理监督检查企业数量达到28家；危险废物鉴别报告核查数量达到10家；危险废物经营许可证核查数量20家，核查按时完成率达到100%；检查人员未出现投诉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目标值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业绩值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完成率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指标值设定依据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上年完成情况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赋分规则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年度绩效指标完成情况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危险废物规范化评估抽查企业数量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&gt;=120</w:t>
            </w:r>
            <w:r>
              <w:rPr>
                <w:rFonts w:ascii="仿宋_GB2312" w:hAnsi="Times New Roman" w:eastAsia="仿宋_GB2312" w:cs="仿宋_GB2312"/>
                <w:i w:val="0"/>
                <w:iCs w:val="0"/>
                <w:color w:val="auto"/>
                <w:kern w:val="0"/>
                <w:sz w:val="18"/>
                <w:szCs w:val="18"/>
                <w:highlight w:val="none"/>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121</w:t>
            </w:r>
            <w:r>
              <w:rPr>
                <w:rFonts w:ascii="仿宋_GB2312" w:hAnsi="宋体" w:eastAsia="仿宋_GB2312" w:cs="仿宋_GB2312"/>
                <w:i w:val="0"/>
                <w:iCs w:val="0"/>
                <w:color w:val="auto"/>
                <w:kern w:val="0"/>
                <w:sz w:val="18"/>
                <w:szCs w:val="18"/>
                <w:highlight w:val="none"/>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100.83%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4.96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临时增加一家投诉举报企业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尾矿库污染隐患排查治理监督检查企业数量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&gt;=30</w:t>
            </w:r>
            <w:r>
              <w:rPr>
                <w:rFonts w:ascii="仿宋_GB2312" w:hAnsi="Times New Roman" w:eastAsia="仿宋_GB2312" w:cs="仿宋_GB2312"/>
                <w:i w:val="0"/>
                <w:iCs w:val="0"/>
                <w:color w:val="auto"/>
                <w:kern w:val="0"/>
                <w:sz w:val="18"/>
                <w:szCs w:val="18"/>
                <w:highlight w:val="none"/>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w:t>
            </w:r>
            <w:r>
              <w:rPr>
                <w:rFonts w:ascii="仿宋_GB2312" w:hAnsi="宋体" w:eastAsia="仿宋_GB2312" w:cs="仿宋_GB2312"/>
                <w:i w:val="0"/>
                <w:iCs w:val="0"/>
                <w:color w:val="auto"/>
                <w:kern w:val="0"/>
                <w:sz w:val="18"/>
                <w:szCs w:val="18"/>
                <w:highlight w:val="none"/>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危险废物鉴别报告核查数量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&gt;=10</w:t>
            </w:r>
            <w:r>
              <w:rPr>
                <w:rFonts w:ascii="仿宋_GB2312" w:hAnsi="Times New Roman" w:eastAsia="仿宋_GB2312" w:cs="仿宋_GB2312"/>
                <w:i w:val="0"/>
                <w:iCs w:val="0"/>
                <w:color w:val="auto"/>
                <w:kern w:val="0"/>
                <w:sz w:val="18"/>
                <w:szCs w:val="18"/>
                <w:highlight w:val="none"/>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r>
              <w:rPr>
                <w:rFonts w:ascii="仿宋_GB2312" w:hAnsi="宋体" w:eastAsia="仿宋_GB2312" w:cs="仿宋_GB2312"/>
                <w:i w:val="0"/>
                <w:iCs w:val="0"/>
                <w:color w:val="auto"/>
                <w:kern w:val="0"/>
                <w:sz w:val="18"/>
                <w:szCs w:val="18"/>
                <w:highlight w:val="none"/>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危险废物经营许可证核查数量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&gt;=20</w:t>
            </w:r>
            <w:r>
              <w:rPr>
                <w:rFonts w:ascii="仿宋_GB2312" w:hAnsi="Times New Roman" w:eastAsia="仿宋_GB2312" w:cs="仿宋_GB2312"/>
                <w:i w:val="0"/>
                <w:iCs w:val="0"/>
                <w:color w:val="auto"/>
                <w:kern w:val="0"/>
                <w:sz w:val="18"/>
                <w:szCs w:val="18"/>
                <w:highlight w:val="none"/>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r>
              <w:rPr>
                <w:rFonts w:ascii="仿宋_GB2312" w:hAnsi="宋体" w:eastAsia="仿宋_GB2312" w:cs="仿宋_GB2312"/>
                <w:i w:val="0"/>
                <w:iCs w:val="0"/>
                <w:color w:val="auto"/>
                <w:kern w:val="0"/>
                <w:sz w:val="18"/>
                <w:szCs w:val="18"/>
                <w:highlight w:val="none"/>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地级行政区规范化评估抽查覆盖率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111.11%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8.89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按文件要求对14各地州全覆盖，今后将适当调整预算指标值，减小偏差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危险废物经营许可证核查按时完成率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111.11%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8.89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按照危险废物经营许可证核查工作程序按时完成核查工作，今后将适当调整预算指标值，减小偏差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监督管理成本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&lt;=82.4万元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81.35万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98.73%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9.68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预算支出标准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103万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其中政府采购指标设备购置为节约成本以实际协议采购价格为准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技术核查成本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&lt;=85.6万元</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85.6万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预算支出标准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65万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规范化评估问题整改落实率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94.90%</w:t>
            </w:r>
          </w:p>
        </w:tc>
        <w:tc>
          <w:tcPr>
            <w:tcW w:w="0" w:type="auto"/>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105.44%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按月定时调度地州规范化评估问题整改落实情况，各地积极落实整改，总体整改落实进度加快，今后将适当调整预算指标值，减小偏差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检查人员被投诉次数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&lt;=4次</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总分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96.33</w:t>
            </w:r>
            <w:r>
              <w:rPr>
                <w:rFonts w:hint="eastAsia" w:ascii="宋体" w:hAnsi="宋体" w:cs="宋体"/>
                <w:i w:val="0"/>
                <w:iCs w:val="0"/>
                <w:color w:val="auto"/>
                <w:kern w:val="0"/>
                <w:sz w:val="18"/>
                <w:szCs w:val="18"/>
                <w:highlight w:val="none"/>
                <w:u w:val="none"/>
                <w:lang w:val="en-US" w:eastAsia="zh-CN" w:bidi="ar"/>
              </w:rPr>
              <w:t>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r>
    </w:tbl>
    <w:p>
      <w:pPr>
        <w:pStyle w:val="21"/>
        <w:spacing w:after="0" w:line="560" w:lineRule="exact"/>
        <w:ind w:left="0" w:leftChars="0" w:firstLine="640"/>
        <w:rPr>
          <w:rFonts w:hint="eastAsia" w:ascii="仿宋_GB2312" w:hAnsi="仿宋_GB2312" w:eastAsia="仿宋_GB2312" w:cs="仿宋_GB2312"/>
          <w:color w:val="auto"/>
          <w:sz w:val="32"/>
          <w:szCs w:val="28"/>
          <w:highlight w:val="none"/>
        </w:rPr>
        <w:sectPr>
          <w:footerReference r:id="rId4" w:type="default"/>
          <w:pgSz w:w="16838" w:h="11906" w:orient="landscape"/>
          <w:pgMar w:top="113" w:right="720" w:bottom="113" w:left="72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spacing w:line="600" w:lineRule="exact"/>
        <w:rPr>
          <w:rFonts w:hint="eastAsia" w:ascii="黑体" w:hAnsi="黑体" w:eastAsia="黑体" w:cs="黑体"/>
          <w:color w:val="auto"/>
          <w:highlight w:val="none"/>
        </w:rPr>
      </w:pPr>
      <w:r>
        <w:rPr>
          <w:rFonts w:hint="eastAsia" w:ascii="黑体" w:hAnsi="黑体" w:eastAsia="黑体" w:cs="黑体"/>
          <w:bCs/>
          <w:color w:val="auto"/>
          <w:sz w:val="32"/>
          <w:szCs w:val="32"/>
          <w:highlight w:val="none"/>
        </w:rPr>
        <w:t>附件1</w:t>
      </w:r>
    </w:p>
    <w:p>
      <w:pPr>
        <w:pStyle w:val="57"/>
        <w:ind w:firstLine="562"/>
        <w:jc w:val="center"/>
        <w:rPr>
          <w:color w:val="auto"/>
          <w:sz w:val="28"/>
          <w:szCs w:val="40"/>
          <w:highlight w:val="none"/>
        </w:rPr>
      </w:pPr>
      <w:bookmarkStart w:id="8" w:name="_Toc30064_WPSOffice_Level1"/>
      <w:bookmarkStart w:id="9" w:name="_Toc26499_WPSOffice_Level2"/>
      <w:r>
        <w:rPr>
          <w:rFonts w:hint="eastAsia"/>
          <w:b/>
          <w:bCs/>
          <w:color w:val="auto"/>
          <w:sz w:val="28"/>
          <w:szCs w:val="40"/>
          <w:highlight w:val="none"/>
        </w:rPr>
        <w:t>自治区固体废弃物（危险废物）监督管理专项项目绩效评价指标体系及综合评分表</w:t>
      </w:r>
      <w:bookmarkEnd w:id="8"/>
      <w:bookmarkEnd w:id="9"/>
    </w:p>
    <w:p>
      <w:pPr>
        <w:pStyle w:val="21"/>
        <w:ind w:left="0" w:leftChars="0" w:firstLine="0" w:firstLineChars="0"/>
        <w:rPr>
          <w:rFonts w:ascii="Times New Roman" w:hAnsi="Times New Roman" w:eastAsia="方正小标宋简体"/>
          <w:b/>
          <w:color w:val="auto"/>
          <w:kern w:val="0"/>
          <w:sz w:val="32"/>
          <w:szCs w:val="32"/>
          <w:highlight w:val="none"/>
        </w:rPr>
      </w:pPr>
    </w:p>
    <w:tbl>
      <w:tblPr>
        <w:tblStyle w:val="2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8"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一级指标</w:t>
            </w:r>
          </w:p>
        </w:tc>
        <w:tc>
          <w:tcPr>
            <w:tcW w:w="301"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344"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927"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指标解释</w:t>
            </w:r>
          </w:p>
        </w:tc>
        <w:tc>
          <w:tcPr>
            <w:tcW w:w="2048"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指标说明</w:t>
            </w:r>
          </w:p>
        </w:tc>
        <w:tc>
          <w:tcPr>
            <w:tcW w:w="512"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537"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8" w:type="pct"/>
            <w:vMerge w:val="restart"/>
            <w:shd w:val="clear" w:color="auto" w:fill="FFFFFF"/>
            <w:vAlign w:val="center"/>
          </w:tcPr>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r>
              <w:rPr>
                <w:color w:val="auto"/>
                <w:kern w:val="0"/>
                <w:sz w:val="22"/>
                <w:szCs w:val="22"/>
                <w:highlight w:val="none"/>
              </w:rPr>
              <w:t>决策　</w:t>
            </w:r>
          </w:p>
        </w:tc>
        <w:tc>
          <w:tcPr>
            <w:tcW w:w="301" w:type="pct"/>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立项依据</w:t>
            </w:r>
          </w:p>
          <w:p>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927" w:type="pct"/>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2048" w:type="pct"/>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pPr>
              <w:spacing w:line="0" w:lineRule="atLeast"/>
              <w:jc w:val="center"/>
              <w:rPr>
                <w:color w:val="auto"/>
                <w:kern w:val="0"/>
                <w:sz w:val="22"/>
                <w:szCs w:val="22"/>
                <w:highlight w:val="none"/>
              </w:rPr>
            </w:pPr>
          </w:p>
        </w:tc>
        <w:tc>
          <w:tcPr>
            <w:tcW w:w="301" w:type="pct"/>
            <w:vMerge w:val="continue"/>
            <w:shd w:val="clear" w:color="auto" w:fill="FFFFFF"/>
            <w:vAlign w:val="center"/>
          </w:tcPr>
          <w:p>
            <w:pPr>
              <w:widowControl/>
              <w:spacing w:line="0" w:lineRule="atLeast"/>
              <w:jc w:val="center"/>
              <w:rPr>
                <w:color w:val="auto"/>
                <w:kern w:val="0"/>
                <w:sz w:val="22"/>
                <w:szCs w:val="22"/>
                <w:highlight w:val="none"/>
              </w:rPr>
            </w:pP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立项程序</w:t>
            </w:r>
          </w:p>
          <w:p>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927" w:type="pct"/>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2048" w:type="pct"/>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pPr>
              <w:spacing w:line="0" w:lineRule="atLeast"/>
              <w:jc w:val="center"/>
              <w:rPr>
                <w:color w:val="auto"/>
                <w:kern w:val="0"/>
                <w:sz w:val="22"/>
                <w:szCs w:val="22"/>
                <w:highlight w:val="none"/>
              </w:rPr>
            </w:pPr>
          </w:p>
        </w:tc>
        <w:tc>
          <w:tcPr>
            <w:tcW w:w="301" w:type="pct"/>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927"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2048" w:type="pct"/>
            <w:shd w:val="clear" w:color="000000"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pPr>
              <w:widowControl/>
              <w:spacing w:line="0" w:lineRule="atLeast"/>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512" w:type="pct"/>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537" w:type="pct"/>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8" w:type="pct"/>
            <w:vMerge w:val="continue"/>
            <w:shd w:val="clear" w:color="auto" w:fill="FFFFFF"/>
            <w:vAlign w:val="center"/>
          </w:tcPr>
          <w:p>
            <w:pPr>
              <w:widowControl/>
              <w:spacing w:line="0" w:lineRule="atLeast"/>
              <w:jc w:val="center"/>
              <w:rPr>
                <w:color w:val="auto"/>
                <w:kern w:val="0"/>
                <w:sz w:val="22"/>
                <w:szCs w:val="22"/>
                <w:highlight w:val="none"/>
              </w:rPr>
            </w:pPr>
          </w:p>
        </w:tc>
        <w:tc>
          <w:tcPr>
            <w:tcW w:w="301" w:type="pct"/>
            <w:vMerge w:val="continue"/>
            <w:shd w:val="clear" w:color="auto" w:fill="FFFFFF"/>
            <w:vAlign w:val="center"/>
          </w:tcPr>
          <w:p>
            <w:pPr>
              <w:widowControl/>
              <w:spacing w:line="0" w:lineRule="atLeast"/>
              <w:jc w:val="center"/>
              <w:rPr>
                <w:color w:val="auto"/>
                <w:kern w:val="0"/>
                <w:sz w:val="22"/>
                <w:szCs w:val="22"/>
                <w:highlight w:val="none"/>
              </w:rPr>
            </w:pP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绩效指标</w:t>
            </w:r>
          </w:p>
          <w:p>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927"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2048"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512" w:type="pct"/>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537" w:type="pct"/>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8" w:type="pct"/>
            <w:vMerge w:val="continue"/>
            <w:shd w:val="clear" w:color="auto" w:fill="FFFFFF"/>
            <w:vAlign w:val="center"/>
          </w:tcPr>
          <w:p>
            <w:pPr>
              <w:spacing w:line="0" w:lineRule="atLeast"/>
              <w:jc w:val="center"/>
              <w:rPr>
                <w:color w:val="auto"/>
                <w:kern w:val="0"/>
                <w:sz w:val="22"/>
                <w:szCs w:val="22"/>
                <w:highlight w:val="none"/>
              </w:rPr>
            </w:pPr>
          </w:p>
        </w:tc>
        <w:tc>
          <w:tcPr>
            <w:tcW w:w="301" w:type="pct"/>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资金投入</w:t>
            </w:r>
          </w:p>
          <w:p>
            <w:pPr>
              <w:spacing w:line="0" w:lineRule="atLeast"/>
              <w:jc w:val="center"/>
              <w:rPr>
                <w:color w:val="auto"/>
                <w:kern w:val="0"/>
                <w:sz w:val="22"/>
                <w:szCs w:val="22"/>
                <w:highlight w:val="none"/>
              </w:rPr>
            </w:pPr>
            <w:r>
              <w:rPr>
                <w:color w:val="auto"/>
                <w:kern w:val="0"/>
                <w:sz w:val="22"/>
                <w:szCs w:val="22"/>
                <w:highlight w:val="none"/>
              </w:rPr>
              <w:t>　</w:t>
            </w: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预算编制</w:t>
            </w:r>
          </w:p>
          <w:p>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927" w:type="pct"/>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8" w:type="pct"/>
            <w:vMerge w:val="continue"/>
            <w:shd w:val="clear" w:color="auto" w:fill="FFFFFF"/>
            <w:vAlign w:val="center"/>
          </w:tcPr>
          <w:p>
            <w:pPr>
              <w:widowControl/>
              <w:spacing w:line="0" w:lineRule="atLeast"/>
              <w:jc w:val="center"/>
              <w:rPr>
                <w:color w:val="auto"/>
                <w:kern w:val="0"/>
                <w:sz w:val="22"/>
                <w:szCs w:val="22"/>
                <w:highlight w:val="none"/>
              </w:rPr>
            </w:pPr>
          </w:p>
        </w:tc>
        <w:tc>
          <w:tcPr>
            <w:tcW w:w="301" w:type="pct"/>
            <w:vMerge w:val="continue"/>
            <w:shd w:val="clear" w:color="auto" w:fill="FFFFFF"/>
            <w:vAlign w:val="center"/>
          </w:tcPr>
          <w:p>
            <w:pPr>
              <w:widowControl/>
              <w:spacing w:line="0" w:lineRule="atLeast"/>
              <w:jc w:val="center"/>
              <w:rPr>
                <w:color w:val="auto"/>
                <w:kern w:val="0"/>
                <w:sz w:val="22"/>
                <w:szCs w:val="22"/>
                <w:highlight w:val="none"/>
              </w:rPr>
            </w:pP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资金分配</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927" w:type="pct"/>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8" w:type="pct"/>
            <w:vMerge w:val="restart"/>
            <w:shd w:val="clear" w:color="auto" w:fill="FFFFFF"/>
            <w:vAlign w:val="center"/>
          </w:tcPr>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r>
              <w:rPr>
                <w:color w:val="auto"/>
                <w:kern w:val="0"/>
                <w:sz w:val="22"/>
                <w:szCs w:val="22"/>
                <w:highlight w:val="none"/>
              </w:rPr>
              <w:t>过程</w:t>
            </w:r>
          </w:p>
          <w:p>
            <w:pPr>
              <w:widowControl/>
              <w:spacing w:line="0" w:lineRule="atLeast"/>
              <w:jc w:val="center"/>
              <w:rPr>
                <w:color w:val="auto"/>
                <w:kern w:val="0"/>
                <w:sz w:val="22"/>
                <w:szCs w:val="22"/>
                <w:highlight w:val="none"/>
              </w:rPr>
            </w:pPr>
            <w:r>
              <w:rPr>
                <w:color w:val="auto"/>
                <w:kern w:val="0"/>
                <w:sz w:val="22"/>
                <w:szCs w:val="22"/>
                <w:highlight w:val="none"/>
              </w:rPr>
              <w:t>　　</w:t>
            </w:r>
          </w:p>
        </w:tc>
        <w:tc>
          <w:tcPr>
            <w:tcW w:w="301" w:type="pct"/>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927"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2048"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资金到位率=（实际到位资金/预算资金）×100%。</w:t>
            </w:r>
          </w:p>
          <w:p>
            <w:pPr>
              <w:widowControl/>
              <w:spacing w:line="0" w:lineRule="atLeast"/>
              <w:rPr>
                <w:color w:val="auto"/>
                <w:kern w:val="0"/>
                <w:sz w:val="22"/>
                <w:szCs w:val="22"/>
                <w:highlight w:val="none"/>
              </w:rPr>
            </w:pPr>
            <w:r>
              <w:rPr>
                <w:color w:val="auto"/>
                <w:kern w:val="0"/>
                <w:sz w:val="22"/>
                <w:szCs w:val="22"/>
                <w:highlight w:val="none"/>
              </w:rPr>
              <w:t>实际到位资金：一定时期（本年度或项目期）内落实到具体项目的资金。</w:t>
            </w:r>
          </w:p>
          <w:p>
            <w:pPr>
              <w:widowControl/>
              <w:spacing w:line="0" w:lineRule="atLeast"/>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8" w:type="pct"/>
            <w:vMerge w:val="continue"/>
            <w:shd w:val="clear" w:color="auto" w:fill="FFFFFF"/>
            <w:vAlign w:val="center"/>
          </w:tcPr>
          <w:p>
            <w:pPr>
              <w:spacing w:line="0" w:lineRule="atLeast"/>
              <w:jc w:val="center"/>
              <w:rPr>
                <w:color w:val="auto"/>
                <w:kern w:val="0"/>
                <w:sz w:val="22"/>
                <w:szCs w:val="22"/>
                <w:highlight w:val="none"/>
              </w:rPr>
            </w:pPr>
          </w:p>
        </w:tc>
        <w:tc>
          <w:tcPr>
            <w:tcW w:w="301" w:type="pct"/>
            <w:vMerge w:val="continue"/>
            <w:shd w:val="clear" w:color="auto" w:fill="FFFFFF"/>
            <w:vAlign w:val="center"/>
          </w:tcPr>
          <w:p>
            <w:pPr>
              <w:spacing w:line="0" w:lineRule="atLeast"/>
              <w:jc w:val="center"/>
              <w:rPr>
                <w:color w:val="auto"/>
                <w:kern w:val="0"/>
                <w:sz w:val="22"/>
                <w:szCs w:val="22"/>
                <w:highlight w:val="none"/>
              </w:rPr>
            </w:pP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927" w:type="pct"/>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2048" w:type="pct"/>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auto"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3.97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pPr>
              <w:spacing w:line="0" w:lineRule="atLeast"/>
              <w:jc w:val="center"/>
              <w:rPr>
                <w:color w:val="auto"/>
                <w:kern w:val="0"/>
                <w:sz w:val="22"/>
                <w:szCs w:val="22"/>
                <w:highlight w:val="none"/>
              </w:rPr>
            </w:pPr>
          </w:p>
        </w:tc>
        <w:tc>
          <w:tcPr>
            <w:tcW w:w="301"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资金使用</w:t>
            </w:r>
          </w:p>
          <w:p>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927"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2048"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①是否符合国家财经法规和财务管理制度以及有关专项资金管理办法的规定；</w:t>
            </w:r>
            <w:r>
              <w:rPr>
                <w:color w:val="auto"/>
                <w:kern w:val="0"/>
                <w:sz w:val="22"/>
                <w:szCs w:val="22"/>
                <w:highlight w:val="none"/>
              </w:rPr>
              <w:br w:type="textWrapping"/>
            </w:r>
            <w:r>
              <w:rPr>
                <w:color w:val="auto"/>
                <w:kern w:val="0"/>
                <w:sz w:val="22"/>
                <w:szCs w:val="22"/>
                <w:highlight w:val="none"/>
              </w:rPr>
              <w:t>②资金的拨付是否有完整的审批程序和手续；</w:t>
            </w:r>
            <w:r>
              <w:rPr>
                <w:color w:val="auto"/>
                <w:kern w:val="0"/>
                <w:sz w:val="22"/>
                <w:szCs w:val="22"/>
                <w:highlight w:val="none"/>
              </w:rPr>
              <w:br w:type="textWrapping"/>
            </w:r>
            <w:r>
              <w:rPr>
                <w:color w:val="auto"/>
                <w:kern w:val="0"/>
                <w:sz w:val="22"/>
                <w:szCs w:val="22"/>
                <w:highlight w:val="none"/>
              </w:rPr>
              <w:t>③是否符合项目预算批复或合同规定的用途；</w:t>
            </w:r>
            <w:r>
              <w:rPr>
                <w:color w:val="auto"/>
                <w:kern w:val="0"/>
                <w:sz w:val="22"/>
                <w:szCs w:val="22"/>
                <w:highlight w:val="none"/>
              </w:rPr>
              <w:br w:type="textWrapping"/>
            </w:r>
            <w:r>
              <w:rPr>
                <w:color w:val="auto"/>
                <w:kern w:val="0"/>
                <w:sz w:val="22"/>
                <w:szCs w:val="22"/>
                <w:highlight w:val="none"/>
              </w:rPr>
              <w:t>④是否存在截留、挤占、挪用、虚列支出等情况。</w:t>
            </w:r>
          </w:p>
        </w:tc>
        <w:tc>
          <w:tcPr>
            <w:tcW w:w="512" w:type="pct"/>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8" w:type="pct"/>
            <w:vMerge w:val="continue"/>
            <w:shd w:val="clear" w:color="auto" w:fill="FFFFFF"/>
            <w:vAlign w:val="center"/>
          </w:tcPr>
          <w:p>
            <w:pPr>
              <w:spacing w:line="0" w:lineRule="atLeast"/>
              <w:jc w:val="center"/>
              <w:rPr>
                <w:color w:val="auto"/>
                <w:kern w:val="0"/>
                <w:sz w:val="22"/>
                <w:szCs w:val="22"/>
                <w:highlight w:val="none"/>
              </w:rPr>
            </w:pPr>
          </w:p>
        </w:tc>
        <w:tc>
          <w:tcPr>
            <w:tcW w:w="301" w:type="pct"/>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组织实施</w:t>
            </w:r>
          </w:p>
          <w:p>
            <w:pPr>
              <w:spacing w:line="0" w:lineRule="atLeast"/>
              <w:jc w:val="center"/>
              <w:rPr>
                <w:color w:val="auto"/>
                <w:kern w:val="0"/>
                <w:sz w:val="22"/>
                <w:szCs w:val="22"/>
                <w:highlight w:val="none"/>
              </w:rPr>
            </w:pPr>
            <w:r>
              <w:rPr>
                <w:color w:val="auto"/>
                <w:kern w:val="0"/>
                <w:sz w:val="22"/>
                <w:szCs w:val="22"/>
                <w:highlight w:val="none"/>
              </w:rPr>
              <w:t>　</w:t>
            </w: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管理制度</w:t>
            </w:r>
          </w:p>
          <w:p>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927"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2048"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①是否已制定或具有相应的财务和业务管理制度；</w:t>
            </w:r>
            <w:r>
              <w:rPr>
                <w:color w:val="auto"/>
                <w:kern w:val="0"/>
                <w:sz w:val="22"/>
                <w:szCs w:val="22"/>
                <w:highlight w:val="none"/>
              </w:rPr>
              <w:br w:type="textWrapping"/>
            </w:r>
            <w:r>
              <w:rPr>
                <w:color w:val="auto"/>
                <w:kern w:val="0"/>
                <w:sz w:val="22"/>
                <w:szCs w:val="22"/>
                <w:highlight w:val="none"/>
              </w:rPr>
              <w:t>②财务和业务管理制度是否合法、合规、完整。</w:t>
            </w:r>
          </w:p>
        </w:tc>
        <w:tc>
          <w:tcPr>
            <w:tcW w:w="512" w:type="pct"/>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8" w:type="pct"/>
            <w:vMerge w:val="continue"/>
            <w:shd w:val="clear" w:color="auto" w:fill="FFFFFF"/>
            <w:vAlign w:val="center"/>
          </w:tcPr>
          <w:p>
            <w:pPr>
              <w:widowControl/>
              <w:spacing w:line="0" w:lineRule="atLeast"/>
              <w:jc w:val="center"/>
              <w:rPr>
                <w:color w:val="auto"/>
                <w:kern w:val="0"/>
                <w:sz w:val="22"/>
                <w:szCs w:val="22"/>
                <w:highlight w:val="none"/>
              </w:rPr>
            </w:pPr>
          </w:p>
        </w:tc>
        <w:tc>
          <w:tcPr>
            <w:tcW w:w="301" w:type="pct"/>
            <w:vMerge w:val="continue"/>
            <w:shd w:val="clear" w:color="auto" w:fill="FFFFFF"/>
            <w:vAlign w:val="center"/>
          </w:tcPr>
          <w:p>
            <w:pPr>
              <w:widowControl/>
              <w:spacing w:line="0" w:lineRule="atLeast"/>
              <w:jc w:val="center"/>
              <w:rPr>
                <w:color w:val="auto"/>
                <w:kern w:val="0"/>
                <w:sz w:val="22"/>
                <w:szCs w:val="22"/>
                <w:highlight w:val="none"/>
              </w:rPr>
            </w:pP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制度执行</w:t>
            </w:r>
          </w:p>
          <w:p>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927"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2048"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①是否遵守相关法律法规和相关管理规定；</w:t>
            </w:r>
            <w:r>
              <w:rPr>
                <w:color w:val="auto"/>
                <w:kern w:val="0"/>
                <w:sz w:val="22"/>
                <w:szCs w:val="22"/>
                <w:highlight w:val="none"/>
              </w:rPr>
              <w:br w:type="textWrapping"/>
            </w:r>
            <w:r>
              <w:rPr>
                <w:color w:val="auto"/>
                <w:kern w:val="0"/>
                <w:sz w:val="22"/>
                <w:szCs w:val="22"/>
                <w:highlight w:val="none"/>
              </w:rPr>
              <w:t>②项目调整及支出调整手续是否完备；</w:t>
            </w:r>
            <w:r>
              <w:rPr>
                <w:color w:val="auto"/>
                <w:kern w:val="0"/>
                <w:sz w:val="22"/>
                <w:szCs w:val="22"/>
                <w:highlight w:val="none"/>
              </w:rPr>
              <w:br w:type="textWrapping"/>
            </w:r>
            <w:r>
              <w:rPr>
                <w:color w:val="auto"/>
                <w:kern w:val="0"/>
                <w:sz w:val="22"/>
                <w:szCs w:val="22"/>
                <w:highlight w:val="none"/>
              </w:rPr>
              <w:t>③项目合同书、验收报告、技术鉴定等资料是否齐全并及时归档；</w:t>
            </w:r>
            <w:r>
              <w:rPr>
                <w:color w:val="auto"/>
                <w:kern w:val="0"/>
                <w:sz w:val="22"/>
                <w:szCs w:val="22"/>
                <w:highlight w:val="none"/>
              </w:rPr>
              <w:br w:type="textWrapping"/>
            </w:r>
            <w:r>
              <w:rPr>
                <w:color w:val="auto"/>
                <w:kern w:val="0"/>
                <w:sz w:val="22"/>
                <w:szCs w:val="22"/>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8" w:type="pct"/>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301"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927"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2048"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实际完成率=（实际产出数/计划产出数）×100%。</w:t>
            </w:r>
            <w:r>
              <w:rPr>
                <w:color w:val="auto"/>
                <w:kern w:val="0"/>
                <w:sz w:val="22"/>
                <w:szCs w:val="22"/>
                <w:highlight w:val="none"/>
              </w:rPr>
              <w:br w:type="textWrapping"/>
            </w:r>
            <w:r>
              <w:rPr>
                <w:color w:val="auto"/>
                <w:kern w:val="0"/>
                <w:sz w:val="22"/>
                <w:szCs w:val="22"/>
                <w:highlight w:val="none"/>
              </w:rPr>
              <w:t>实际产出数：一定时期（本年度或项目期）内项目实际产出的产品或提供的服务数量。</w:t>
            </w:r>
            <w:r>
              <w:rPr>
                <w:color w:val="auto"/>
                <w:kern w:val="0"/>
                <w:sz w:val="22"/>
                <w:szCs w:val="22"/>
                <w:highlight w:val="none"/>
              </w:rPr>
              <w:br w:type="textWrapping"/>
            </w:r>
            <w:r>
              <w:rPr>
                <w:color w:val="auto"/>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8" w:type="pct"/>
            <w:vMerge w:val="continue"/>
            <w:shd w:val="clear" w:color="auto" w:fill="FFFFFF"/>
            <w:vAlign w:val="center"/>
          </w:tcPr>
          <w:p>
            <w:pPr>
              <w:widowControl/>
              <w:spacing w:line="0" w:lineRule="atLeast"/>
              <w:jc w:val="center"/>
              <w:rPr>
                <w:color w:val="auto"/>
                <w:kern w:val="0"/>
                <w:sz w:val="22"/>
                <w:szCs w:val="22"/>
                <w:highlight w:val="none"/>
              </w:rPr>
            </w:pPr>
          </w:p>
        </w:tc>
        <w:tc>
          <w:tcPr>
            <w:tcW w:w="301"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927"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2048"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质量达标率=（质量达标产出数/实际产出数）×100%。</w:t>
            </w:r>
          </w:p>
          <w:p>
            <w:pPr>
              <w:widowControl/>
              <w:spacing w:line="0" w:lineRule="atLeast"/>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8" w:type="pct"/>
            <w:vMerge w:val="continue"/>
            <w:shd w:val="clear" w:color="auto" w:fill="FFFFFF"/>
            <w:vAlign w:val="center"/>
          </w:tcPr>
          <w:p>
            <w:pPr>
              <w:spacing w:line="0" w:lineRule="atLeast"/>
              <w:jc w:val="center"/>
              <w:rPr>
                <w:color w:val="auto"/>
                <w:kern w:val="0"/>
                <w:sz w:val="22"/>
                <w:szCs w:val="22"/>
                <w:highlight w:val="none"/>
              </w:rPr>
            </w:pPr>
          </w:p>
        </w:tc>
        <w:tc>
          <w:tcPr>
            <w:tcW w:w="301" w:type="pct"/>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产出时效</w:t>
            </w: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927"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2048"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实际完成时间：项目实施单位完成该项目实际所耗用的时间。</w:t>
            </w:r>
            <w:r>
              <w:rPr>
                <w:color w:val="auto"/>
                <w:kern w:val="0"/>
                <w:sz w:val="22"/>
                <w:szCs w:val="22"/>
                <w:highlight w:val="none"/>
              </w:rPr>
              <w:br w:type="textWrapping"/>
            </w:r>
            <w:r>
              <w:rPr>
                <w:color w:val="auto"/>
                <w:kern w:val="0"/>
                <w:sz w:val="22"/>
                <w:szCs w:val="22"/>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pPr>
              <w:widowControl/>
              <w:spacing w:line="0" w:lineRule="atLeast"/>
              <w:jc w:val="center"/>
              <w:rPr>
                <w:color w:val="auto"/>
                <w:kern w:val="0"/>
                <w:sz w:val="22"/>
                <w:szCs w:val="22"/>
                <w:highlight w:val="none"/>
              </w:rPr>
            </w:pPr>
          </w:p>
        </w:tc>
        <w:tc>
          <w:tcPr>
            <w:tcW w:w="301"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927"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2048"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br w:type="textWrapping"/>
            </w:r>
            <w:r>
              <w:rPr>
                <w:color w:val="auto"/>
                <w:kern w:val="0"/>
                <w:sz w:val="22"/>
                <w:szCs w:val="22"/>
                <w:highlight w:val="none"/>
              </w:rPr>
              <w:t>成本节约率=[（计划成本-实际成本）/计划成本]×100%。</w:t>
            </w:r>
            <w:r>
              <w:rPr>
                <w:color w:val="auto"/>
                <w:kern w:val="0"/>
                <w:sz w:val="22"/>
                <w:szCs w:val="22"/>
                <w:highlight w:val="none"/>
              </w:rPr>
              <w:br w:type="textWrapping"/>
            </w:r>
            <w:r>
              <w:rPr>
                <w:color w:val="auto"/>
                <w:kern w:val="0"/>
                <w:sz w:val="22"/>
                <w:szCs w:val="22"/>
                <w:highlight w:val="none"/>
              </w:rPr>
              <w:t>实际成本：项目实施单位如期、保质、保量完成既定工作目标实际所耗费的支出。</w:t>
            </w:r>
            <w:r>
              <w:rPr>
                <w:color w:val="auto"/>
                <w:kern w:val="0"/>
                <w:sz w:val="22"/>
                <w:szCs w:val="22"/>
                <w:highlight w:val="none"/>
              </w:rPr>
              <w:br w:type="textWrapping"/>
            </w:r>
            <w:r>
              <w:rPr>
                <w:color w:val="auto"/>
                <w:kern w:val="0"/>
                <w:sz w:val="22"/>
                <w:szCs w:val="22"/>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8" w:type="pct"/>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效益　</w:t>
            </w:r>
          </w:p>
        </w:tc>
        <w:tc>
          <w:tcPr>
            <w:tcW w:w="301" w:type="pct"/>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实施效益</w:t>
            </w:r>
          </w:p>
        </w:tc>
        <w:tc>
          <w:tcPr>
            <w:tcW w:w="927" w:type="pct"/>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项目实施所产生的效益。</w:t>
            </w:r>
          </w:p>
        </w:tc>
        <w:tc>
          <w:tcPr>
            <w:tcW w:w="2048" w:type="pct"/>
            <w:shd w:val="clear" w:color="auto" w:fill="FFFFFF"/>
            <w:vAlign w:val="center"/>
          </w:tcPr>
          <w:p>
            <w:pPr>
              <w:widowControl/>
              <w:spacing w:line="0" w:lineRule="atLeast"/>
              <w:rPr>
                <w:rFonts w:hint="default" w:eastAsia="宋体"/>
                <w:color w:val="auto"/>
                <w:kern w:val="0"/>
                <w:sz w:val="22"/>
                <w:szCs w:val="22"/>
                <w:highlight w:val="none"/>
                <w:lang w:val="en-US" w:eastAsia="zh-CN"/>
              </w:rPr>
            </w:pPr>
            <w:r>
              <w:rPr>
                <w:color w:val="auto"/>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15</w:t>
            </w:r>
          </w:p>
        </w:tc>
        <w:tc>
          <w:tcPr>
            <w:tcW w:w="537" w:type="pct"/>
            <w:shd w:val="clear" w:color="auto"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8" w:type="pct"/>
            <w:vMerge w:val="continue"/>
            <w:shd w:val="clear" w:color="auto" w:fill="FFFFFF"/>
            <w:vAlign w:val="center"/>
          </w:tcPr>
          <w:p>
            <w:pPr>
              <w:widowControl/>
              <w:spacing w:line="0" w:lineRule="atLeast"/>
              <w:jc w:val="center"/>
              <w:rPr>
                <w:color w:val="auto"/>
                <w:kern w:val="0"/>
                <w:sz w:val="22"/>
                <w:szCs w:val="22"/>
                <w:highlight w:val="none"/>
              </w:rPr>
            </w:pPr>
          </w:p>
        </w:tc>
        <w:tc>
          <w:tcPr>
            <w:tcW w:w="301" w:type="pct"/>
            <w:vMerge w:val="continue"/>
            <w:shd w:val="clear" w:color="auto" w:fill="FFFFFF"/>
            <w:vAlign w:val="center"/>
          </w:tcPr>
          <w:p>
            <w:pPr>
              <w:widowControl/>
              <w:spacing w:line="0" w:lineRule="atLeast"/>
              <w:jc w:val="center"/>
              <w:rPr>
                <w:color w:val="auto"/>
                <w:kern w:val="0"/>
                <w:sz w:val="22"/>
                <w:szCs w:val="22"/>
                <w:highlight w:val="none"/>
              </w:rPr>
            </w:pPr>
          </w:p>
        </w:tc>
        <w:tc>
          <w:tcPr>
            <w:tcW w:w="344" w:type="pc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927" w:type="pct"/>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社会公众或服务对象对项目实施效果的满意程度。</w:t>
            </w:r>
          </w:p>
        </w:tc>
        <w:tc>
          <w:tcPr>
            <w:tcW w:w="2048" w:type="pct"/>
            <w:shd w:val="clear" w:color="000000" w:fill="FFFFFF"/>
            <w:vAlign w:val="center"/>
          </w:tcPr>
          <w:p>
            <w:pPr>
              <w:widowControl/>
              <w:spacing w:line="0" w:lineRule="atLeast"/>
              <w:rPr>
                <w:rFonts w:hint="eastAsia" w:eastAsia="宋体"/>
                <w:color w:val="auto"/>
                <w:kern w:val="0"/>
                <w:sz w:val="22"/>
                <w:szCs w:val="22"/>
                <w:highlight w:val="none"/>
                <w:lang w:val="en-US" w:eastAsia="zh-CN"/>
              </w:rPr>
            </w:pPr>
            <w:r>
              <w:rPr>
                <w:color w:val="auto"/>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5</w:t>
            </w:r>
          </w:p>
        </w:tc>
        <w:tc>
          <w:tcPr>
            <w:tcW w:w="537" w:type="pct"/>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5</w:t>
            </w:r>
          </w:p>
        </w:tc>
      </w:tr>
    </w:tbl>
    <w:p>
      <w:pPr>
        <w:rPr>
          <w:rStyle w:val="24"/>
          <w:rFonts w:eastAsia="仿宋"/>
          <w:b w:val="0"/>
          <w:spacing w:val="-4"/>
          <w:sz w:val="32"/>
          <w:szCs w:val="32"/>
        </w:rPr>
      </w:pPr>
    </w:p>
    <w:sectPr>
      <w:pgSz w:w="16838" w:h="11906" w:orient="landscape"/>
      <w:pgMar w:top="1800" w:right="1440" w:bottom="1558"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18</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18</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v:textbox>
            </v:shape>
          </w:pict>
        </mc:Fallback>
      </mc:AlternateContent>
    </w:r>
  </w:p>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4ZmZmOTI4ZDU0NGVmOTY2MDgyMDNlZDcxZTFiMzMifQ=="/>
  </w:docVars>
  <w:rsids>
    <w:rsidRoot w:val="00CA6457"/>
    <w:rsid w:val="00045B18"/>
    <w:rsid w:val="00056465"/>
    <w:rsid w:val="00060040"/>
    <w:rsid w:val="00073F44"/>
    <w:rsid w:val="000E50F0"/>
    <w:rsid w:val="000E586C"/>
    <w:rsid w:val="000F4517"/>
    <w:rsid w:val="00121AE4"/>
    <w:rsid w:val="00146AAD"/>
    <w:rsid w:val="001B3A40"/>
    <w:rsid w:val="001F67E9"/>
    <w:rsid w:val="00200850"/>
    <w:rsid w:val="002323C4"/>
    <w:rsid w:val="002340CD"/>
    <w:rsid w:val="002865A5"/>
    <w:rsid w:val="002B45EC"/>
    <w:rsid w:val="002C4D47"/>
    <w:rsid w:val="002F5B7E"/>
    <w:rsid w:val="00302EDE"/>
    <w:rsid w:val="00306FAD"/>
    <w:rsid w:val="00372BEC"/>
    <w:rsid w:val="003748BB"/>
    <w:rsid w:val="003C18BC"/>
    <w:rsid w:val="003C4D98"/>
    <w:rsid w:val="003C709F"/>
    <w:rsid w:val="003D45BA"/>
    <w:rsid w:val="00430B95"/>
    <w:rsid w:val="004366A8"/>
    <w:rsid w:val="004537B1"/>
    <w:rsid w:val="00464900"/>
    <w:rsid w:val="00476006"/>
    <w:rsid w:val="004859A5"/>
    <w:rsid w:val="0050203C"/>
    <w:rsid w:val="00502BA7"/>
    <w:rsid w:val="005162F1"/>
    <w:rsid w:val="00535153"/>
    <w:rsid w:val="00554F82"/>
    <w:rsid w:val="0056390D"/>
    <w:rsid w:val="005719B0"/>
    <w:rsid w:val="005838DD"/>
    <w:rsid w:val="00595BD1"/>
    <w:rsid w:val="005A12B7"/>
    <w:rsid w:val="005D10D6"/>
    <w:rsid w:val="005F15F2"/>
    <w:rsid w:val="00615446"/>
    <w:rsid w:val="00617B04"/>
    <w:rsid w:val="00631397"/>
    <w:rsid w:val="00641B1D"/>
    <w:rsid w:val="00677A61"/>
    <w:rsid w:val="00680DDF"/>
    <w:rsid w:val="00683C58"/>
    <w:rsid w:val="006A07BB"/>
    <w:rsid w:val="006C1241"/>
    <w:rsid w:val="006D1F95"/>
    <w:rsid w:val="006E6524"/>
    <w:rsid w:val="00774A94"/>
    <w:rsid w:val="007806A5"/>
    <w:rsid w:val="007D6865"/>
    <w:rsid w:val="00840498"/>
    <w:rsid w:val="00855E3A"/>
    <w:rsid w:val="00871A75"/>
    <w:rsid w:val="00871D6C"/>
    <w:rsid w:val="008951F5"/>
    <w:rsid w:val="0089646E"/>
    <w:rsid w:val="008A68BF"/>
    <w:rsid w:val="008B0CFB"/>
    <w:rsid w:val="008C7971"/>
    <w:rsid w:val="009136FB"/>
    <w:rsid w:val="00922CB9"/>
    <w:rsid w:val="00953232"/>
    <w:rsid w:val="00966D8C"/>
    <w:rsid w:val="009A5A39"/>
    <w:rsid w:val="009D3BC0"/>
    <w:rsid w:val="009E5CD9"/>
    <w:rsid w:val="00A26421"/>
    <w:rsid w:val="00A4293B"/>
    <w:rsid w:val="00A548A9"/>
    <w:rsid w:val="00A67D50"/>
    <w:rsid w:val="00A8691A"/>
    <w:rsid w:val="00AA19FD"/>
    <w:rsid w:val="00AB0DEE"/>
    <w:rsid w:val="00AC1946"/>
    <w:rsid w:val="00AC3A4A"/>
    <w:rsid w:val="00AD3E48"/>
    <w:rsid w:val="00AD7F71"/>
    <w:rsid w:val="00B13B14"/>
    <w:rsid w:val="00B40063"/>
    <w:rsid w:val="00B41F61"/>
    <w:rsid w:val="00B457E7"/>
    <w:rsid w:val="00B7302C"/>
    <w:rsid w:val="00B847BE"/>
    <w:rsid w:val="00B86D0B"/>
    <w:rsid w:val="00B90E85"/>
    <w:rsid w:val="00BA46E6"/>
    <w:rsid w:val="00C0019E"/>
    <w:rsid w:val="00C20F12"/>
    <w:rsid w:val="00C22DD9"/>
    <w:rsid w:val="00C56C72"/>
    <w:rsid w:val="00C67F9B"/>
    <w:rsid w:val="00C85851"/>
    <w:rsid w:val="00CA6457"/>
    <w:rsid w:val="00D12F10"/>
    <w:rsid w:val="00D17920"/>
    <w:rsid w:val="00D17F2E"/>
    <w:rsid w:val="00D271FE"/>
    <w:rsid w:val="00D30354"/>
    <w:rsid w:val="00D47898"/>
    <w:rsid w:val="00D53067"/>
    <w:rsid w:val="00D8301C"/>
    <w:rsid w:val="00DF2B8E"/>
    <w:rsid w:val="00DF42A0"/>
    <w:rsid w:val="00DF51EC"/>
    <w:rsid w:val="00DF5E45"/>
    <w:rsid w:val="00DF7C45"/>
    <w:rsid w:val="00E16E87"/>
    <w:rsid w:val="00E31565"/>
    <w:rsid w:val="00E34B65"/>
    <w:rsid w:val="00E46C51"/>
    <w:rsid w:val="00E659F7"/>
    <w:rsid w:val="00E769FE"/>
    <w:rsid w:val="00E958A7"/>
    <w:rsid w:val="00EA2CBE"/>
    <w:rsid w:val="00EC62EB"/>
    <w:rsid w:val="00ED1C5E"/>
    <w:rsid w:val="00EF64D6"/>
    <w:rsid w:val="00EF7009"/>
    <w:rsid w:val="00F20494"/>
    <w:rsid w:val="00F32FEE"/>
    <w:rsid w:val="00F42328"/>
    <w:rsid w:val="00F5186C"/>
    <w:rsid w:val="00F71278"/>
    <w:rsid w:val="00F9770D"/>
    <w:rsid w:val="00FA15E9"/>
    <w:rsid w:val="00FB10BB"/>
    <w:rsid w:val="02184C85"/>
    <w:rsid w:val="03B629A7"/>
    <w:rsid w:val="051A56F5"/>
    <w:rsid w:val="066D6EAA"/>
    <w:rsid w:val="06DC1681"/>
    <w:rsid w:val="079A2388"/>
    <w:rsid w:val="08C662D4"/>
    <w:rsid w:val="09433473"/>
    <w:rsid w:val="09BD4D95"/>
    <w:rsid w:val="0A590531"/>
    <w:rsid w:val="0B0F58D6"/>
    <w:rsid w:val="0DC108C7"/>
    <w:rsid w:val="0F8D41CB"/>
    <w:rsid w:val="0FEE2F21"/>
    <w:rsid w:val="112F5B47"/>
    <w:rsid w:val="11C75270"/>
    <w:rsid w:val="121A35FD"/>
    <w:rsid w:val="12637CC3"/>
    <w:rsid w:val="12A14823"/>
    <w:rsid w:val="12E657C5"/>
    <w:rsid w:val="133C6E2A"/>
    <w:rsid w:val="156B788C"/>
    <w:rsid w:val="167C7687"/>
    <w:rsid w:val="168B3546"/>
    <w:rsid w:val="199F68E3"/>
    <w:rsid w:val="1A2374E0"/>
    <w:rsid w:val="1C317CE2"/>
    <w:rsid w:val="1DD45808"/>
    <w:rsid w:val="1DED42AC"/>
    <w:rsid w:val="20005763"/>
    <w:rsid w:val="20FB313D"/>
    <w:rsid w:val="220B4804"/>
    <w:rsid w:val="278B653F"/>
    <w:rsid w:val="282475E3"/>
    <w:rsid w:val="28C311A3"/>
    <w:rsid w:val="29E421D9"/>
    <w:rsid w:val="2C6100C1"/>
    <w:rsid w:val="3235157C"/>
    <w:rsid w:val="32391BEC"/>
    <w:rsid w:val="3264220D"/>
    <w:rsid w:val="32A83563"/>
    <w:rsid w:val="38872456"/>
    <w:rsid w:val="38EC5F48"/>
    <w:rsid w:val="393618B9"/>
    <w:rsid w:val="3963178C"/>
    <w:rsid w:val="3BA5236D"/>
    <w:rsid w:val="3CED0699"/>
    <w:rsid w:val="3CEF440A"/>
    <w:rsid w:val="3E497999"/>
    <w:rsid w:val="3EB02FD6"/>
    <w:rsid w:val="3F8844F1"/>
    <w:rsid w:val="41CC2676"/>
    <w:rsid w:val="46A75A75"/>
    <w:rsid w:val="46B21672"/>
    <w:rsid w:val="46C329DE"/>
    <w:rsid w:val="49E476B2"/>
    <w:rsid w:val="4F552460"/>
    <w:rsid w:val="4FCC6863"/>
    <w:rsid w:val="500A214A"/>
    <w:rsid w:val="522D604D"/>
    <w:rsid w:val="5297585E"/>
    <w:rsid w:val="52AD7D6F"/>
    <w:rsid w:val="52F61A46"/>
    <w:rsid w:val="5549519D"/>
    <w:rsid w:val="5557596B"/>
    <w:rsid w:val="5B596DFC"/>
    <w:rsid w:val="5DAE6D00"/>
    <w:rsid w:val="5DF03945"/>
    <w:rsid w:val="5F03526B"/>
    <w:rsid w:val="61B25875"/>
    <w:rsid w:val="62E515AF"/>
    <w:rsid w:val="637C2815"/>
    <w:rsid w:val="666B4FDC"/>
    <w:rsid w:val="67FF13C8"/>
    <w:rsid w:val="682144B7"/>
    <w:rsid w:val="6B374AF0"/>
    <w:rsid w:val="6B503F77"/>
    <w:rsid w:val="6BD228AA"/>
    <w:rsid w:val="6E311968"/>
    <w:rsid w:val="71A462ED"/>
    <w:rsid w:val="75D10AB8"/>
    <w:rsid w:val="76506BDF"/>
    <w:rsid w:val="7A353D0B"/>
    <w:rsid w:val="7CB927D8"/>
    <w:rsid w:val="7D3A5E2F"/>
    <w:rsid w:val="7EFA3B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link w:val="55"/>
    <w:unhideWhenUsed/>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2"/>
    <w:semiHidden/>
    <w:unhideWhenUsed/>
    <w:qFormat/>
    <w:uiPriority w:val="99"/>
    <w:rPr>
      <w:sz w:val="18"/>
      <w:szCs w:val="18"/>
    </w:rPr>
  </w:style>
  <w:style w:type="paragraph" w:styleId="16">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19">
    <w:name w:val="annotation subject"/>
    <w:basedOn w:val="12"/>
    <w:next w:val="12"/>
    <w:link w:val="56"/>
    <w:qFormat/>
    <w:uiPriority w:val="0"/>
    <w:rPr>
      <w:b/>
      <w:bCs/>
    </w:rPr>
  </w:style>
  <w:style w:type="paragraph" w:styleId="20">
    <w:name w:val="Body Text First Indent"/>
    <w:basedOn w:val="13"/>
    <w:qFormat/>
    <w:uiPriority w:val="0"/>
    <w:pPr>
      <w:spacing w:after="0"/>
      <w:ind w:firstLine="200" w:firstLineChars="200"/>
    </w:pPr>
  </w:style>
  <w:style w:type="paragraph" w:styleId="21">
    <w:name w:val="Body Text First Indent 2"/>
    <w:basedOn w:val="14"/>
    <w:qFormat/>
    <w:uiPriority w:val="0"/>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styleId="26">
    <w:name w:val="annotation reference"/>
    <w:basedOn w:val="23"/>
    <w:semiHidden/>
    <w:unhideWhenUsed/>
    <w:qFormat/>
    <w:uiPriority w:val="99"/>
    <w:rPr>
      <w:sz w:val="21"/>
      <w:szCs w:val="21"/>
    </w:rPr>
  </w:style>
  <w:style w:type="character" w:customStyle="1" w:styleId="27">
    <w:name w:val="标题 1 Char"/>
    <w:basedOn w:val="23"/>
    <w:link w:val="3"/>
    <w:qFormat/>
    <w:uiPriority w:val="9"/>
    <w:rPr>
      <w:rFonts w:asciiTheme="majorHAnsi" w:hAnsiTheme="majorHAnsi" w:eastAsiaTheme="majorEastAsia"/>
      <w:b/>
      <w:bCs/>
      <w:kern w:val="32"/>
      <w:sz w:val="32"/>
      <w:szCs w:val="32"/>
    </w:rPr>
  </w:style>
  <w:style w:type="character" w:customStyle="1" w:styleId="28">
    <w:name w:val="标题 2 Char"/>
    <w:basedOn w:val="23"/>
    <w:link w:val="4"/>
    <w:semiHidden/>
    <w:qFormat/>
    <w:uiPriority w:val="9"/>
    <w:rPr>
      <w:rFonts w:asciiTheme="majorHAnsi" w:hAnsiTheme="majorHAnsi" w:eastAsiaTheme="majorEastAsia"/>
      <w:b/>
      <w:bCs/>
      <w:i/>
      <w:iCs/>
      <w:sz w:val="28"/>
      <w:szCs w:val="28"/>
    </w:rPr>
  </w:style>
  <w:style w:type="character" w:customStyle="1" w:styleId="29">
    <w:name w:val="标题 3 Char"/>
    <w:basedOn w:val="23"/>
    <w:link w:val="5"/>
    <w:semiHidden/>
    <w:qFormat/>
    <w:uiPriority w:val="9"/>
    <w:rPr>
      <w:rFonts w:asciiTheme="majorHAnsi" w:hAnsiTheme="majorHAnsi" w:eastAsiaTheme="majorEastAsia"/>
      <w:b/>
      <w:bCs/>
      <w:sz w:val="26"/>
      <w:szCs w:val="26"/>
    </w:rPr>
  </w:style>
  <w:style w:type="character" w:customStyle="1" w:styleId="30">
    <w:name w:val="标题 4 Char"/>
    <w:basedOn w:val="23"/>
    <w:link w:val="6"/>
    <w:semiHidden/>
    <w:qFormat/>
    <w:uiPriority w:val="9"/>
    <w:rPr>
      <w:b/>
      <w:bCs/>
      <w:sz w:val="28"/>
      <w:szCs w:val="28"/>
    </w:rPr>
  </w:style>
  <w:style w:type="character" w:customStyle="1" w:styleId="31">
    <w:name w:val="标题 5 Char"/>
    <w:basedOn w:val="23"/>
    <w:link w:val="7"/>
    <w:semiHidden/>
    <w:qFormat/>
    <w:uiPriority w:val="9"/>
    <w:rPr>
      <w:b/>
      <w:bCs/>
      <w:i/>
      <w:iCs/>
      <w:sz w:val="26"/>
      <w:szCs w:val="26"/>
    </w:rPr>
  </w:style>
  <w:style w:type="character" w:customStyle="1" w:styleId="32">
    <w:name w:val="标题 6 Char"/>
    <w:basedOn w:val="23"/>
    <w:link w:val="8"/>
    <w:semiHidden/>
    <w:qFormat/>
    <w:uiPriority w:val="9"/>
    <w:rPr>
      <w:b/>
      <w:bCs/>
    </w:rPr>
  </w:style>
  <w:style w:type="character" w:customStyle="1" w:styleId="33">
    <w:name w:val="标题 7 Char"/>
    <w:basedOn w:val="23"/>
    <w:link w:val="9"/>
    <w:semiHidden/>
    <w:qFormat/>
    <w:uiPriority w:val="9"/>
    <w:rPr>
      <w:sz w:val="24"/>
      <w:szCs w:val="24"/>
    </w:rPr>
  </w:style>
  <w:style w:type="character" w:customStyle="1" w:styleId="34">
    <w:name w:val="标题 8 Char"/>
    <w:basedOn w:val="23"/>
    <w:link w:val="10"/>
    <w:semiHidden/>
    <w:qFormat/>
    <w:uiPriority w:val="9"/>
    <w:rPr>
      <w:i/>
      <w:iCs/>
      <w:sz w:val="24"/>
      <w:szCs w:val="24"/>
    </w:rPr>
  </w:style>
  <w:style w:type="character" w:customStyle="1" w:styleId="35">
    <w:name w:val="标题 9 Char"/>
    <w:basedOn w:val="23"/>
    <w:link w:val="11"/>
    <w:semiHidden/>
    <w:qFormat/>
    <w:uiPriority w:val="9"/>
    <w:rPr>
      <w:rFonts w:asciiTheme="majorHAnsi" w:hAnsiTheme="majorHAnsi" w:eastAsiaTheme="majorEastAsia"/>
    </w:rPr>
  </w:style>
  <w:style w:type="character" w:customStyle="1" w:styleId="36">
    <w:name w:val="标题 Char"/>
    <w:basedOn w:val="23"/>
    <w:link w:val="2"/>
    <w:qFormat/>
    <w:uiPriority w:val="10"/>
    <w:rPr>
      <w:rFonts w:asciiTheme="majorHAnsi" w:hAnsiTheme="majorHAnsi" w:eastAsiaTheme="majorEastAsia"/>
      <w:b/>
      <w:bCs/>
      <w:kern w:val="28"/>
      <w:sz w:val="32"/>
      <w:szCs w:val="32"/>
    </w:rPr>
  </w:style>
  <w:style w:type="character" w:customStyle="1" w:styleId="37">
    <w:name w:val="副标题 Char"/>
    <w:basedOn w:val="23"/>
    <w:link w:val="18"/>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Char"/>
    <w:basedOn w:val="23"/>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Char"/>
    <w:basedOn w:val="23"/>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3"/>
    <w:qFormat/>
    <w:uiPriority w:val="21"/>
    <w:rPr>
      <w:b/>
      <w:i/>
      <w:sz w:val="24"/>
      <w:szCs w:val="24"/>
      <w:u w:val="single"/>
    </w:rPr>
  </w:style>
  <w:style w:type="character" w:customStyle="1" w:styleId="46">
    <w:name w:val="不明显参考1"/>
    <w:basedOn w:val="23"/>
    <w:qFormat/>
    <w:uiPriority w:val="31"/>
    <w:rPr>
      <w:sz w:val="24"/>
      <w:szCs w:val="24"/>
      <w:u w:val="single"/>
    </w:rPr>
  </w:style>
  <w:style w:type="character" w:customStyle="1" w:styleId="47">
    <w:name w:val="明显参考1"/>
    <w:basedOn w:val="23"/>
    <w:qFormat/>
    <w:uiPriority w:val="32"/>
    <w:rPr>
      <w:b/>
      <w:sz w:val="24"/>
      <w:u w:val="single"/>
    </w:rPr>
  </w:style>
  <w:style w:type="character" w:customStyle="1" w:styleId="48">
    <w:name w:val="书籍标题1"/>
    <w:basedOn w:val="23"/>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Char"/>
    <w:basedOn w:val="23"/>
    <w:link w:val="17"/>
    <w:qFormat/>
    <w:uiPriority w:val="99"/>
    <w:rPr>
      <w:rFonts w:ascii="Calibri" w:hAnsi="Calibri" w:eastAsia="宋体"/>
      <w:kern w:val="2"/>
      <w:sz w:val="18"/>
      <w:szCs w:val="18"/>
    </w:rPr>
  </w:style>
  <w:style w:type="character" w:customStyle="1" w:styleId="51">
    <w:name w:val="页脚 Char"/>
    <w:basedOn w:val="23"/>
    <w:link w:val="16"/>
    <w:qFormat/>
    <w:uiPriority w:val="99"/>
    <w:rPr>
      <w:rFonts w:ascii="Calibri" w:hAnsi="Calibri" w:eastAsia="宋体"/>
      <w:kern w:val="2"/>
      <w:sz w:val="18"/>
      <w:szCs w:val="18"/>
    </w:rPr>
  </w:style>
  <w:style w:type="character" w:customStyle="1" w:styleId="52">
    <w:name w:val="批注框文本 Char"/>
    <w:basedOn w:val="23"/>
    <w:link w:val="15"/>
    <w:semiHidden/>
    <w:qFormat/>
    <w:uiPriority w:val="99"/>
    <w:rPr>
      <w:rFonts w:ascii="Times New Roman" w:hAnsi="Times New Roman" w:eastAsia="宋体"/>
      <w:kern w:val="2"/>
      <w:sz w:val="18"/>
      <w:szCs w:val="18"/>
    </w:rPr>
  </w:style>
  <w:style w:type="paragraph" w:customStyle="1" w:styleId="5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0"/>
    <w:rPr>
      <w:rFonts w:ascii="仿宋_GB2312" w:hAnsi="仿宋_GB2312" w:eastAsia="仿宋_GB2312" w:cs="仿宋_GB2312"/>
      <w:color w:val="000000"/>
      <w:sz w:val="32"/>
      <w:szCs w:val="32"/>
    </w:rPr>
  </w:style>
  <w:style w:type="character" w:customStyle="1" w:styleId="55">
    <w:name w:val="批注文字 Char"/>
    <w:basedOn w:val="23"/>
    <w:link w:val="12"/>
    <w:qFormat/>
    <w:uiPriority w:val="0"/>
    <w:rPr>
      <w:kern w:val="2"/>
      <w:sz w:val="21"/>
      <w:szCs w:val="24"/>
    </w:rPr>
  </w:style>
  <w:style w:type="character" w:customStyle="1" w:styleId="56">
    <w:name w:val="批注主题 Char"/>
    <w:basedOn w:val="55"/>
    <w:link w:val="19"/>
    <w:qFormat/>
    <w:uiPriority w:val="0"/>
    <w:rPr>
      <w:b/>
      <w:bCs/>
    </w:rPr>
  </w:style>
  <w:style w:type="paragraph" w:customStyle="1" w:styleId="57">
    <w:name w:val="闻政-正文段落文字"/>
    <w:basedOn w:val="1"/>
    <w:qFormat/>
    <w:uiPriority w:val="3"/>
    <w:pPr>
      <w:spacing w:line="500" w:lineRule="exact"/>
      <w:ind w:firstLine="200"/>
    </w:pPr>
    <w:rPr>
      <w:kern w:val="0"/>
      <w:szCs w:val="28"/>
    </w:rPr>
  </w:style>
  <w:style w:type="character" w:customStyle="1" w:styleId="58">
    <w:name w:val="font101"/>
    <w:basedOn w:val="23"/>
    <w:qFormat/>
    <w:uiPriority w:val="0"/>
    <w:rPr>
      <w:rFonts w:hint="eastAsia" w:ascii="宋体" w:hAnsi="宋体" w:eastAsia="宋体" w:cs="宋体"/>
      <w:b/>
      <w:bCs/>
      <w:color w:val="000000"/>
      <w:sz w:val="32"/>
      <w:szCs w:val="32"/>
      <w:u w:val="none"/>
    </w:rPr>
  </w:style>
  <w:style w:type="character" w:customStyle="1" w:styleId="59">
    <w:name w:val="font91"/>
    <w:basedOn w:val="23"/>
    <w:qFormat/>
    <w:uiPriority w:val="0"/>
    <w:rPr>
      <w:rFonts w:hint="eastAsia" w:ascii="宋体" w:hAnsi="宋体" w:eastAsia="宋体" w:cs="宋体"/>
      <w:color w:val="000000"/>
      <w:sz w:val="22"/>
      <w:szCs w:val="22"/>
      <w:u w:val="none"/>
    </w:rPr>
  </w:style>
  <w:style w:type="character" w:customStyle="1" w:styleId="60">
    <w:name w:val="font51"/>
    <w:basedOn w:val="23"/>
    <w:qFormat/>
    <w:uiPriority w:val="0"/>
    <w:rPr>
      <w:rFonts w:hint="eastAsia" w:ascii="宋体" w:hAnsi="宋体" w:eastAsia="宋体" w:cs="宋体"/>
      <w:color w:val="000000"/>
      <w:sz w:val="18"/>
      <w:szCs w:val="18"/>
      <w:u w:val="none"/>
    </w:rPr>
  </w:style>
  <w:style w:type="character" w:customStyle="1" w:styleId="61">
    <w:name w:val="font61"/>
    <w:basedOn w:val="23"/>
    <w:qFormat/>
    <w:uiPriority w:val="0"/>
    <w:rPr>
      <w:rFonts w:hint="eastAsia" w:ascii="宋体" w:hAnsi="宋体" w:eastAsia="宋体" w:cs="宋体"/>
      <w:color w:val="000000"/>
      <w:sz w:val="18"/>
      <w:szCs w:val="18"/>
      <w:u w:val="none"/>
    </w:rPr>
  </w:style>
  <w:style w:type="character" w:customStyle="1" w:styleId="62">
    <w:name w:val="font81"/>
    <w:basedOn w:val="23"/>
    <w:qFormat/>
    <w:uiPriority w:val="0"/>
    <w:rPr>
      <w:rFonts w:hint="default" w:ascii="Times New Roman" w:hAnsi="Times New Roman" w:cs="Times New Roman"/>
      <w:color w:val="000000"/>
      <w:sz w:val="18"/>
      <w:szCs w:val="18"/>
      <w:u w:val="none"/>
    </w:rPr>
  </w:style>
  <w:style w:type="character" w:customStyle="1" w:styleId="63">
    <w:name w:val="font122"/>
    <w:basedOn w:val="23"/>
    <w:qFormat/>
    <w:uiPriority w:val="0"/>
    <w:rPr>
      <w:rFonts w:ascii="仿宋_GB2312" w:eastAsia="仿宋_GB2312" w:cs="仿宋_GB2312"/>
      <w:color w:val="000000"/>
      <w:sz w:val="18"/>
      <w:szCs w:val="18"/>
      <w:u w:val="none"/>
    </w:rPr>
  </w:style>
  <w:style w:type="character" w:customStyle="1" w:styleId="64">
    <w:name w:val="font71"/>
    <w:basedOn w:val="23"/>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19</Pages>
  <Words>7401</Words>
  <Characters>848</Characters>
  <Lines>7</Lines>
  <Paragraphs>16</Paragraphs>
  <TotalTime>2</TotalTime>
  <ScaleCrop>false</ScaleCrop>
  <LinksUpToDate>false</LinksUpToDate>
  <CharactersWithSpaces>8233</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2020-07-05T00:35:00Z</dcterms:created>
  <dc:creator>赵 恺（预算处）</dc:creator>
  <cp:lastModifiedBy>user</cp:lastModifiedBy>
  <cp:lastPrinted>2024-04-09T12:48:00Z</cp:lastPrinted>
  <dcterms:modified xsi:type="dcterms:W3CDTF">2024-08-26T12:41:10Z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2F7259DE38B945D2BDAE73A668074D06_13</vt:lpwstr>
  </property>
  <property fmtid="{D5CDD505-2E9C-101B-9397-08002B2CF9AE}" pid="4" name="KSOSaveFontToCloudKey">
    <vt:lpwstr>0_btnclosed</vt:lpwstr>
  </property>
</Properties>
</file>