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华文中宋"/>
          <w:b/>
          <w:kern w:val="0"/>
          <w:sz w:val="72"/>
          <w:szCs w:val="72"/>
        </w:rPr>
      </w:pPr>
      <w:bookmarkStart w:id="2" w:name="_GoBack"/>
      <w:bookmarkEnd w:id="2"/>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ascii="Times New Roman" w:hAnsi="Times New Roman" w:eastAsia="方正小标宋_GBK" w:cs="Times New Roman"/>
          <w:kern w:val="0"/>
          <w:sz w:val="48"/>
          <w:szCs w:val="48"/>
        </w:rPr>
        <w:t>自治区农村生态环保专项</w:t>
      </w: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 </w:t>
      </w:r>
      <w:r>
        <w:rPr>
          <w:rFonts w:hint="eastAsia" w:eastAsia="仿宋_GB2312"/>
          <w:kern w:val="0"/>
          <w:sz w:val="36"/>
          <w:szCs w:val="36"/>
          <w:lang w:eastAsia="zh-CN"/>
        </w:rPr>
        <w:t>2023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ind w:firstLine="1500" w:firstLineChars="500"/>
        <w:rPr>
          <w:rFonts w:hint="eastAsia" w:ascii="Times New Roman" w:hAnsi="Times New Roman" w:eastAsia="仿宋_GB2312" w:cs="Times New Roman"/>
          <w:kern w:val="0"/>
          <w:sz w:val="30"/>
          <w:szCs w:val="30"/>
          <w:lang w:val="en-US" w:eastAsia="zh-CN"/>
        </w:rPr>
      </w:pPr>
      <w:r>
        <w:rPr>
          <w:rFonts w:hint="eastAsia" w:ascii="Times New Roman" w:hAnsi="Times New Roman" w:eastAsia="仿宋_GB2312" w:cs="Times New Roman"/>
          <w:kern w:val="0"/>
          <w:sz w:val="30"/>
          <w:szCs w:val="30"/>
          <w:lang w:val="en-US" w:eastAsia="zh-CN"/>
        </w:rPr>
        <w:t>项 目 名 称：自治区农村生态环保专项</w:t>
      </w:r>
    </w:p>
    <w:p>
      <w:pPr>
        <w:spacing w:line="700" w:lineRule="exact"/>
        <w:ind w:left="4286" w:leftChars="684" w:hanging="2850" w:hangingChars="950"/>
        <w:jc w:val="left"/>
        <w:rPr>
          <w:rFonts w:ascii="Times New Roman" w:hAnsi="宋体" w:eastAsia="仿宋_GB2312" w:cs="Times New Roman"/>
          <w:kern w:val="0"/>
          <w:sz w:val="36"/>
          <w:szCs w:val="36"/>
        </w:rPr>
      </w:pPr>
      <w:r>
        <w:rPr>
          <w:rFonts w:hint="eastAsia" w:ascii="Times New Roman" w:hAnsi="Times New Roman" w:eastAsia="仿宋_GB2312" w:cs="Times New Roman"/>
          <w:kern w:val="0"/>
          <w:sz w:val="30"/>
          <w:szCs w:val="30"/>
          <w:lang w:val="en-US" w:eastAsia="zh-CN"/>
        </w:rPr>
        <w:t>实施单位（公章）：新疆维吾尔自治区生态环境政策与规划研究中心</w:t>
      </w:r>
      <w:r>
        <w:rPr>
          <w:rFonts w:hint="eastAsia" w:ascii="Times New Roman" w:hAnsi="宋体" w:eastAsia="仿宋_GB2312" w:cs="Times New Roman"/>
          <w:kern w:val="0"/>
          <w:sz w:val="36"/>
          <w:szCs w:val="36"/>
        </w:rPr>
        <w:t xml:space="preserve"> </w:t>
      </w:r>
    </w:p>
    <w:p>
      <w:pPr>
        <w:spacing w:line="700" w:lineRule="exact"/>
        <w:ind w:left="4436" w:leftChars="684" w:hanging="3000" w:hangingChars="1000"/>
        <w:jc w:val="left"/>
        <w:rPr>
          <w:rFonts w:hint="eastAsia" w:ascii="Times New Roman" w:hAnsi="Times New Roman" w:eastAsia="仿宋_GB2312" w:cs="Times New Roman"/>
          <w:kern w:val="0"/>
          <w:sz w:val="30"/>
          <w:szCs w:val="30"/>
          <w:lang w:val="en-US" w:eastAsia="zh-CN"/>
        </w:rPr>
      </w:pPr>
      <w:r>
        <w:rPr>
          <w:rFonts w:hint="eastAsia" w:ascii="Times New Roman" w:hAnsi="Times New Roman" w:eastAsia="仿宋_GB2312" w:cs="Times New Roman"/>
          <w:kern w:val="0"/>
          <w:sz w:val="30"/>
          <w:szCs w:val="30"/>
          <w:lang w:val="en-US" w:eastAsia="zh-CN"/>
        </w:rPr>
        <w:t>主管部门（公章）：新疆维吾尔自治区生态环境厅</w:t>
      </w:r>
    </w:p>
    <w:p>
      <w:pPr>
        <w:spacing w:line="700" w:lineRule="exact"/>
        <w:ind w:left="1436" w:leftChars="684" w:firstLine="0" w:firstLineChars="0"/>
        <w:jc w:val="left"/>
        <w:rPr>
          <w:rFonts w:hint="eastAsia" w:ascii="Times New Roman" w:hAnsi="Times New Roman" w:eastAsia="仿宋_GB2312" w:cs="Times New Roman"/>
          <w:kern w:val="0"/>
          <w:sz w:val="30"/>
          <w:szCs w:val="30"/>
          <w:lang w:val="en-US" w:eastAsia="zh-CN"/>
        </w:rPr>
      </w:pPr>
      <w:r>
        <w:rPr>
          <w:rFonts w:hint="eastAsia" w:ascii="Times New Roman" w:hAnsi="Times New Roman" w:eastAsia="仿宋_GB2312" w:cs="Times New Roman"/>
          <w:kern w:val="0"/>
          <w:sz w:val="30"/>
          <w:szCs w:val="30"/>
          <w:lang w:val="en-US" w:eastAsia="zh-CN"/>
        </w:rPr>
        <w:t>项目负责人（签章）：赵明军</w:t>
      </w:r>
    </w:p>
    <w:p>
      <w:pPr>
        <w:spacing w:line="700" w:lineRule="exact"/>
        <w:ind w:left="1436" w:leftChars="684" w:firstLine="0" w:firstLineChars="0"/>
        <w:jc w:val="left"/>
        <w:rPr>
          <w:rFonts w:hint="eastAsia" w:ascii="Times New Roman" w:hAnsi="Times New Roman" w:eastAsia="仿宋_GB2312" w:cs="Times New Roman"/>
          <w:kern w:val="0"/>
          <w:sz w:val="30"/>
          <w:szCs w:val="30"/>
          <w:lang w:val="en-US" w:eastAsia="zh-CN"/>
        </w:rPr>
      </w:pPr>
      <w:r>
        <w:rPr>
          <w:rFonts w:hint="eastAsia" w:ascii="Times New Roman" w:hAnsi="Times New Roman" w:eastAsia="仿宋_GB2312" w:cs="Times New Roman"/>
          <w:kern w:val="0"/>
          <w:sz w:val="30"/>
          <w:szCs w:val="30"/>
          <w:lang w:val="en-US" w:eastAsia="zh-CN"/>
        </w:rPr>
        <w:t>填报时间：2024年2月27日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540" w:lineRule="exact"/>
        <w:rPr>
          <w:rStyle w:val="23"/>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spacing w:line="64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关于自治区生态环境厅所属事业单位机构编制调整的通知》（新党编委〔2019〕28号），原自治区生态与农村环境保护中心更名为自治区生态环境政策与规划研究中心，其他事宜维持现状。根据生态环境厅重点工作，中心</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z w:val="32"/>
          <w:szCs w:val="32"/>
          <w:lang w:eastAsia="zh-CN"/>
        </w:rPr>
        <w:t>主要承担六项任务：一是承担生态环境厅作为自治区农村工作领导小组成员单位开展的职能工作，主要是《新疆维吾尔自治区乡村振兴战略规划（2018-2022年）》《自治区农村人居环境整治三年行动实施方案》涉及生态环境厅的职责任务，以及自治区党委、人民政府安排生态环境厅的其他涉及农村环保方面的工作；二是履行自治区生态环境厅全面深化改革工作领导小组办公室职责，负责厅全面深化改革日常工作，同时承担自治区生态文明体制改革专项小组联络员单位职责；三是承担自治区生态文明建设和农村环境保护相关技术管理支撑工作；四是开展自治区生态环境政策规划、法律法规等调查研究与技术支持工作；五是开展自治区生态环境重大决策部署、重大问题以及热点难点问题研究工作；六是参与自治区生态环境领域重大调研督导督察活动等。</w:t>
      </w:r>
    </w:p>
    <w:p>
      <w:pPr>
        <w:pStyle w:val="19"/>
        <w:numPr>
          <w:ilvl w:val="0"/>
          <w:numId w:val="1"/>
        </w:numPr>
        <w:spacing w:before="0" w:after="0" w:line="600" w:lineRule="exact"/>
        <w:ind w:firstLine="642"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（一）认真履行专项小组办公室和联络员单位职责，落实生态文明体制改革各项任务</w:t>
      </w:r>
    </w:p>
    <w:p>
      <w:pPr>
        <w:spacing w:line="6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自治区党委全面深化改革委员会专项小组工作细则》，认真履行专项小组办公室和联络员单位职责。进一步规范自治区生态文明体制改革工作，落实定期调度、定期会议推进、定期报告工作、检查督办、考核等5个工作机制，促进改革工作的落实。做好调度工作，落实自治区党委全面深化改革工作每月调度一次工作进展的要求，及时掌握并向自治区党委改革办上报各项改革任务进展情况。落实会议推进机制，专项小组办公室每季度召开一次工作推进会议，通报责任单位工作进展情况。对自治区有关部门进展缓慢、进度滞后或存在逾期风险的改革任务，及时进行督察督办。按照“自治区党委全面深化改革工作年度（绩效）考核评价指标”对各责任单位改革推进情况进行核查赋分，及时将赋分情况报自治区党委改革办。</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（二）紧贴生态环境保护重点难点问题研究，做好政策规划研究工作</w:t>
      </w:r>
    </w:p>
    <w:p>
      <w:pPr>
        <w:spacing w:line="6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关于自治区生态环境厅所属事业单位机构编制调整的通知》（新党编委〔2019〕28号）要求，及时转变职责，积极开展自治区生态环境政策与规划研究工作。结合实际开展好自治区生态环境政策规划、法律法规等调查研究与技术支持工作；开展自治区生态环境重大决策部署、重大问题以及热点难点问题研究工作；参与自治区生态环境领域重大调研督导督察活动；积极参与生态环境厅重要文件和材料、年度工作报告和工作要点、重要讲话文稿的起草及全面深化改革等工作。</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（三）以生态振兴巩固脱贫攻坚成果，进一步推进乡村振兴相关工作</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eastAsia="zh-CN"/>
        </w:rPr>
        <w:t>根据《新疆维吾尔自治区乡村振兴战略规划（2018-2022年）》《关于以生态振兴巩固脱贫攻坚成果 进一步推进乡村振兴的指导意见（2020-2022年）》（环办科财〔2020〕13号）要求，积极配合厅相关业务处室做好乡村生态振兴与巩固脱贫攻坚成果的有效衔接，根据工作需要开展农村污水治理等方面的研究和实地调研等工作。根据《新疆维吾尔自治区乡村生态振兴实施方案》（新政办发〔2021〕52号）要求，积极配合厅相关业务处室开展乡村生态振兴课题研究和各类现场检查指导工作。</w:t>
      </w:r>
    </w:p>
    <w:p>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highlight w:val="none"/>
        </w:rPr>
      </w:pPr>
      <w:r>
        <w:rPr>
          <w:rFonts w:eastAsia="仿宋_GB2312"/>
          <w:sz w:val="32"/>
          <w:szCs w:val="32"/>
        </w:rPr>
        <w:t>本项目总投资</w:t>
      </w:r>
      <w:r>
        <w:rPr>
          <w:rFonts w:hint="eastAsia" w:eastAsia="仿宋_GB2312"/>
          <w:sz w:val="32"/>
          <w:szCs w:val="32"/>
          <w:highlight w:val="none"/>
          <w:lang w:val="en-US" w:eastAsia="zh-CN"/>
        </w:rPr>
        <w:t>25</w:t>
      </w:r>
      <w:r>
        <w:rPr>
          <w:rFonts w:eastAsia="仿宋_GB2312"/>
          <w:sz w:val="32"/>
          <w:szCs w:val="32"/>
          <w:highlight w:val="none"/>
        </w:rPr>
        <w:t>万元，其中：财政本级资金</w:t>
      </w:r>
      <w:r>
        <w:rPr>
          <w:rFonts w:hint="eastAsia" w:eastAsia="仿宋_GB2312"/>
          <w:sz w:val="32"/>
          <w:szCs w:val="32"/>
          <w:highlight w:val="none"/>
          <w:lang w:val="en-US" w:eastAsia="zh-CN"/>
        </w:rPr>
        <w:t>25</w:t>
      </w:r>
      <w:r>
        <w:rPr>
          <w:rFonts w:eastAsia="仿宋_GB2312"/>
          <w:sz w:val="32"/>
          <w:szCs w:val="32"/>
          <w:highlight w:val="none"/>
        </w:rPr>
        <w:t>万元。项目实际支出</w:t>
      </w:r>
      <w:r>
        <w:rPr>
          <w:rFonts w:hint="eastAsia" w:eastAsia="仿宋_GB2312"/>
          <w:sz w:val="32"/>
          <w:szCs w:val="32"/>
          <w:highlight w:val="none"/>
          <w:lang w:val="en-US" w:eastAsia="zh-CN"/>
        </w:rPr>
        <w:t>25</w:t>
      </w:r>
      <w:r>
        <w:rPr>
          <w:rFonts w:eastAsia="仿宋_GB2312"/>
          <w:sz w:val="32"/>
          <w:szCs w:val="32"/>
          <w:highlight w:val="none"/>
        </w:rPr>
        <w:t>万元，支出率为100%。</w:t>
      </w:r>
    </w:p>
    <w:p>
      <w:pPr>
        <w:spacing w:line="600" w:lineRule="exact"/>
        <w:ind w:firstLine="642"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highlight w:val="none"/>
          <w:lang w:val="en-US" w:eastAsia="zh-CN"/>
        </w:rPr>
        <w:t>25</w:t>
      </w:r>
      <w:r>
        <w:rPr>
          <w:rFonts w:eastAsia="仿宋_GB2312"/>
          <w:sz w:val="32"/>
          <w:szCs w:val="32"/>
        </w:rPr>
        <w:t>万元，按照单位财务制度等相关规定，资金支出符合</w:t>
      </w:r>
      <w:r>
        <w:rPr>
          <w:rFonts w:hint="eastAsia" w:eastAsia="仿宋_GB2312"/>
          <w:sz w:val="32"/>
          <w:szCs w:val="32"/>
          <w:highlight w:val="none"/>
          <w:lang w:eastAsia="zh-CN"/>
        </w:rPr>
        <w:t>自治区农村生态环保</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highlight w:val="none"/>
          <w:lang w:eastAsia="zh-CN"/>
        </w:rPr>
        <w:t>自治区农村生态环保</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19"/>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highlight w:val="none"/>
          <w:lang w:val="en-US" w:eastAsia="zh-CN"/>
        </w:rPr>
        <w:t>财政全额拨款</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highlight w:val="none"/>
          <w:lang w:val="en-US" w:eastAsia="zh-CN"/>
        </w:rPr>
        <w:t>25</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25</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2"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以自治区农村生态环保专项业务持续推进农村生态环境保护、生态文明体制改革、生态环境保护治理研究等各项工作。扎实做好农村生态环境保护工作推进我区农村人居环境整治提升和农业面源污染防治，以生态文明体制改革工作为抓手助力我区经济社会发展全面绿色低碳转型，推进生态环境保护治理研究工作为持续深入打好蓝天、碧水、净土保卫战提供支持。通过实地督导调研、抽查和评估各项工作开展情况，形成专题调研报告为生态环境厅管理决策提供依据，同时认真完成生态环境厅部署的2023年度目标任务，为建设天更蓝、山更绿、水更清的大美新疆做出贡献。</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2" w:firstLineChars="200"/>
        <w:rPr>
          <w:rFonts w:eastAsia="楷体_GB2312"/>
          <w:b/>
          <w:bCs/>
          <w:sz w:val="32"/>
          <w:szCs w:val="32"/>
        </w:rPr>
      </w:pPr>
      <w:r>
        <w:rPr>
          <w:rFonts w:eastAsia="楷体_GB2312"/>
          <w:b/>
          <w:bCs/>
          <w:sz w:val="32"/>
          <w:szCs w:val="32"/>
        </w:rPr>
        <w:t>（一）绩效评价目的、对象和范围</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ascii="仿宋_GB2312" w:hAnsi="仿宋_GB2312" w:eastAsia="仿宋_GB2312" w:cs="仿宋_GB2312"/>
          <w:sz w:val="32"/>
          <w:szCs w:val="32"/>
          <w:highlight w:val="yellow"/>
        </w:rPr>
      </w:pPr>
      <w:r>
        <w:rPr>
          <w:rFonts w:hint="eastAsia" w:eastAsia="仿宋_GB2312"/>
          <w:sz w:val="32"/>
          <w:szCs w:val="32"/>
          <w:highlight w:val="none"/>
          <w:lang w:eastAsia="zh-CN"/>
        </w:rPr>
        <w:t>自治区农村生态环保</w:t>
      </w:r>
      <w:r>
        <w:rPr>
          <w:rFonts w:eastAsia="仿宋_GB2312"/>
          <w:sz w:val="32"/>
          <w:szCs w:val="32"/>
        </w:rPr>
        <w:t>专项</w:t>
      </w:r>
      <w:r>
        <w:rPr>
          <w:rFonts w:hint="eastAsia" w:ascii="仿宋_GB2312" w:hAnsi="仿宋_GB2312" w:eastAsia="仿宋_GB2312" w:cs="仿宋_GB2312"/>
          <w:sz w:val="32"/>
          <w:szCs w:val="32"/>
          <w:highlight w:val="none"/>
        </w:rPr>
        <w:t>所包含的全部项目内容。</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76" w:lineRule="exact"/>
        <w:ind w:firstLine="640" w:firstLineChars="200"/>
        <w:rPr>
          <w:rFonts w:ascii="仿宋_GB2312" w:hAnsi="仿宋_GB2312" w:eastAsia="仿宋_GB2312" w:cs="仿宋_GB2312"/>
          <w:sz w:val="32"/>
          <w:szCs w:val="32"/>
          <w:highlight w:val="yellow"/>
        </w:rPr>
      </w:pPr>
      <w:r>
        <w:rPr>
          <w:rFonts w:hint="eastAsia" w:eastAsia="仿宋_GB2312"/>
          <w:sz w:val="32"/>
          <w:szCs w:val="32"/>
          <w:highlight w:val="none"/>
          <w:lang w:eastAsia="zh-CN"/>
        </w:rPr>
        <w:t>自治区农村生态环保</w:t>
      </w:r>
      <w:r>
        <w:rPr>
          <w:rFonts w:eastAsia="仿宋_GB2312"/>
          <w:sz w:val="32"/>
          <w:szCs w:val="32"/>
        </w:rPr>
        <w:t>专项</w:t>
      </w:r>
      <w:r>
        <w:rPr>
          <w:rFonts w:hint="eastAsia" w:ascii="仿宋_GB2312" w:hAnsi="仿宋_GB2312" w:eastAsia="仿宋_GB2312" w:cs="仿宋_GB2312"/>
          <w:sz w:val="32"/>
          <w:szCs w:val="32"/>
          <w:highlight w:val="none"/>
        </w:rPr>
        <w:t>项目的决策、过程、产出、效益等。为了全面了解项目资金的使用情况、项目实施情况以及取得的综合绩效，以便总结项目实施经验，发现项目管理中存在的问题，进一步加强和规范项目资金管理，完善项目和资金管理办法，指导预算编制和申报绩效目标、优化财政支出结构提供决策参考和依据，以保证项目资金使用管理的规范性、安全性和有效性，对项目进行绩效评价是必不可少的。</w:t>
      </w:r>
    </w:p>
    <w:p>
      <w:pPr>
        <w:spacing w:line="600" w:lineRule="exact"/>
        <w:ind w:firstLine="642" w:firstLineChars="200"/>
      </w:pPr>
      <w:r>
        <w:rPr>
          <w:rFonts w:eastAsia="楷体_GB2312"/>
          <w:b/>
          <w:bCs/>
          <w:sz w:val="32"/>
          <w:szCs w:val="32"/>
        </w:rPr>
        <w:t>（二）绩效评价原则、评价指标体系（详情见表1）、评价方法、评价标准。</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9"/>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9"/>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9"/>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9"/>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9"/>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9"/>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19"/>
        <w:numPr>
          <w:ilvl w:val="0"/>
          <w:numId w:val="3"/>
        </w:numPr>
        <w:spacing w:before="0" w:after="0" w:line="60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9"/>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highlight w:val="none"/>
          <w:lang w:eastAsia="zh-CN"/>
        </w:rPr>
        <w:t>自治区农村生态环保专项</w:t>
      </w:r>
      <w:r>
        <w:rPr>
          <w:rFonts w:ascii="Times New Roman" w:hAnsi="Times New Roman" w:eastAsia="仿宋_GB2312"/>
          <w:b w:val="0"/>
          <w:bCs w:val="0"/>
        </w:rPr>
        <w:t>项目进行客观评价，最终评分结果：总得分为</w:t>
      </w:r>
      <w:r>
        <w:rPr>
          <w:rFonts w:hint="eastAsia" w:ascii="Times New Roman" w:hAnsi="Times New Roman" w:eastAsia="仿宋_GB2312"/>
          <w:b w:val="0"/>
          <w:bCs w:val="0"/>
          <w:lang w:val="en-US" w:eastAsia="zh-CN"/>
        </w:rPr>
        <w:t>100</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分，得分</w:t>
      </w:r>
      <w:r>
        <w:rPr>
          <w:rFonts w:ascii="Times New Roman" w:hAnsi="Times New Roman" w:eastAsia="仿宋_GB2312"/>
          <w:b w:val="0"/>
          <w:bCs w:val="0"/>
          <w:highlight w:val="none"/>
        </w:rPr>
        <w:t xml:space="preserve">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ascii="Times New Roman" w:hAnsi="Times New Roman" w:eastAsia="仿宋_GB2312"/>
          <w:b w:val="0"/>
          <w:bCs w:val="0"/>
        </w:rPr>
        <w:t>。</w:t>
      </w:r>
    </w:p>
    <w:p>
      <w:pPr>
        <w:pStyle w:val="19"/>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highlight w:val="none"/>
                <w:lang w:val="en-US" w:eastAsia="zh-CN"/>
              </w:rPr>
              <w:t>90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19"/>
        <w:ind w:firstLine="321" w:firstLineChars="100"/>
        <w:jc w:val="both"/>
        <w:rPr>
          <w:rFonts w:ascii="Times New Roman" w:hAnsi="Times New Roman" w:eastAsia="楷体_GB2312"/>
        </w:rPr>
      </w:pPr>
      <w:r>
        <w:rPr>
          <w:rFonts w:ascii="Times New Roman" w:hAnsi="Times New Roman" w:eastAsia="楷体_GB2312"/>
        </w:rPr>
        <w:t>（一）项目决策情况</w:t>
      </w:r>
    </w:p>
    <w:p>
      <w:pPr>
        <w:pStyle w:val="19"/>
        <w:spacing w:before="0" w:after="0" w:line="560" w:lineRule="exact"/>
        <w:ind w:firstLine="642"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9"/>
        <w:numPr>
          <w:ilvl w:val="0"/>
          <w:numId w:val="6"/>
        </w:numPr>
        <w:spacing w:before="0" w:after="0" w:line="560" w:lineRule="exact"/>
        <w:ind w:firstLine="642"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总投资25万元，财政资金及时足额到位，到位率100%，</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预算资金支出25万元，预算执行率为100%</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9"/>
        <w:numPr>
          <w:ilvl w:val="0"/>
          <w:numId w:val="6"/>
        </w:numPr>
        <w:ind w:left="0" w:leftChars="0" w:firstLine="642" w:firstLineChars="200"/>
        <w:jc w:val="both"/>
        <w:rPr>
          <w:rFonts w:ascii="Times New Roman" w:hAnsi="Times New Roman" w:eastAsia="楷体_GB2312"/>
        </w:rPr>
      </w:pPr>
      <w:r>
        <w:rPr>
          <w:rFonts w:ascii="Times New Roman" w:hAnsi="Times New Roman" w:eastAsia="楷体_GB2312"/>
        </w:rPr>
        <w:t>项目产出</w:t>
      </w:r>
    </w:p>
    <w:p>
      <w:pPr>
        <w:shd w:val="clear"/>
        <w:spacing w:line="600" w:lineRule="exact"/>
        <w:ind w:firstLine="640" w:firstLineChars="200"/>
        <w:outlineLvl w:val="0"/>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，由10个三级指标构成，权重分为40分，实际得分40分，得分率为100%。具体</w:t>
      </w:r>
      <w:r>
        <w:rPr>
          <w:rFonts w:hint="eastAsia" w:ascii="仿宋_GB2312" w:hAnsi="仿宋_GB2312" w:eastAsia="仿宋_GB2312" w:cs="仿宋_GB2312"/>
          <w:sz w:val="32"/>
          <w:szCs w:val="32"/>
          <w:lang w:val="en-US" w:eastAsia="zh-CN"/>
        </w:rPr>
        <w:t>产出指标完成情况如下：</w:t>
      </w:r>
    </w:p>
    <w:p>
      <w:pPr>
        <w:spacing w:line="600" w:lineRule="exact"/>
        <w:ind w:firstLine="624" w:firstLineChars="200"/>
        <w:rPr>
          <w:rStyle w:val="23"/>
          <w:rFonts w:eastAsia="仿宋"/>
          <w:b w:val="0"/>
          <w:spacing w:val="-4"/>
          <w:sz w:val="32"/>
          <w:szCs w:val="32"/>
        </w:rPr>
      </w:pPr>
      <w:r>
        <w:rPr>
          <w:rStyle w:val="23"/>
          <w:rFonts w:eastAsia="仿宋"/>
          <w:b w:val="0"/>
          <w:spacing w:val="-4"/>
          <w:sz w:val="32"/>
          <w:szCs w:val="32"/>
        </w:rPr>
        <w:t>数量指标方面：</w:t>
      </w:r>
    </w:p>
    <w:p>
      <w:pPr>
        <w:pStyle w:val="19"/>
        <w:numPr>
          <w:ilvl w:val="-1"/>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lang w:val="en-US" w:eastAsia="zh-CN" w:bidi="ar-SA"/>
        </w:rPr>
        <w:t>1.开展全区生态环境保护政策研究调研</w:t>
      </w:r>
      <w:r>
        <w:rPr>
          <w:rFonts w:hint="eastAsia" w:ascii="仿宋_GB2312" w:hAnsi="仿宋_GB2312" w:eastAsia="仿宋_GB2312" w:cs="仿宋_GB2312"/>
          <w:b w:val="0"/>
          <w:bCs w:val="0"/>
          <w:kern w:val="2"/>
          <w:sz w:val="32"/>
          <w:szCs w:val="32"/>
          <w:highlight w:val="none"/>
          <w:lang w:val="en-US" w:eastAsia="zh-CN" w:bidi="ar-SA"/>
        </w:rPr>
        <w:t>次数指标，指标值为≥4次，实际完成4次，完成率100%，偏差率0%。</w:t>
      </w:r>
    </w:p>
    <w:p>
      <w:pPr>
        <w:pStyle w:val="19"/>
        <w:numPr>
          <w:ilvl w:val="-1"/>
          <w:numId w:val="0"/>
        </w:numPr>
        <w:ind w:firstLine="640" w:firstLineChars="200"/>
        <w:jc w:val="left"/>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2.完成生态环境保护政策研究调研报告数指标，指标值为≥2篇，实际完成2篇，完成率100%，偏差率0%。</w:t>
      </w:r>
    </w:p>
    <w:p>
      <w:pPr>
        <w:pStyle w:val="19"/>
        <w:numPr>
          <w:ilvl w:val="-1"/>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3.形成生态文明体制改革工作进展情况报告指标，指标值为≥2篇，实际完成2篇，完成率100%，偏差率0%。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质量指标方面：</w:t>
      </w:r>
    </w:p>
    <w:p>
      <w:pPr>
        <w:pStyle w:val="19"/>
        <w:keepNext w:val="0"/>
        <w:keepLines w:val="0"/>
        <w:pageBreakBefore w:val="0"/>
        <w:widowControl/>
        <w:numPr>
          <w:ilvl w:val="-1"/>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1.生态环境保护政策研究调研报告采纳率指标，指标值为≥2篇，实际完成2篇，完成率100%，偏差率0%。</w:t>
      </w:r>
    </w:p>
    <w:p>
      <w:pPr>
        <w:pStyle w:val="19"/>
        <w:keepNext w:val="0"/>
        <w:keepLines w:val="0"/>
        <w:pageBreakBefore w:val="0"/>
        <w:widowControl/>
        <w:numPr>
          <w:ilvl w:val="-1"/>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2.生态文明体制改革任务进展情况报告通过率指标，指标值为≥90%，实际完成90%，完成率100%，偏差率0%。</w:t>
      </w:r>
    </w:p>
    <w:p>
      <w:pPr>
        <w:pStyle w:val="19"/>
        <w:spacing w:before="0" w:after="0" w:line="600" w:lineRule="exact"/>
        <w:ind w:firstLine="640" w:firstLineChars="200"/>
        <w:jc w:val="both"/>
        <w:rPr>
          <w:rStyle w:val="52"/>
          <w:rFonts w:ascii="Times New Roman" w:hAnsi="Times New Roman" w:cs="Times New Roman"/>
          <w:b w:val="0"/>
          <w:bCs w:val="0"/>
          <w:color w:val="auto"/>
        </w:rPr>
      </w:pPr>
      <w:r>
        <w:rPr>
          <w:rStyle w:val="52"/>
          <w:rFonts w:ascii="Times New Roman" w:hAnsi="Times New Roman" w:cs="Times New Roman"/>
          <w:b w:val="0"/>
          <w:bCs w:val="0"/>
          <w:color w:val="auto"/>
        </w:rPr>
        <w:t>成本指标方面：</w:t>
      </w:r>
    </w:p>
    <w:p>
      <w:pPr>
        <w:numPr>
          <w:ilvl w:val="0"/>
          <w:numId w:val="0"/>
        </w:numPr>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1.现场调研费用指标，指标值为15.98万元，实际完成</w:t>
      </w:r>
    </w:p>
    <w:p>
      <w:pPr>
        <w:pStyle w:val="19"/>
        <w:numPr>
          <w:ilvl w:val="-1"/>
          <w:numId w:val="0"/>
        </w:numPr>
        <w:ind w:left="0" w:leftChars="0" w:firstLine="640" w:firstLineChars="200"/>
        <w:jc w:val="left"/>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sz w:val="32"/>
          <w:szCs w:val="32"/>
          <w:highlight w:val="none"/>
          <w:lang w:val="en-US" w:eastAsia="zh-CN" w:bidi="ar-SA"/>
        </w:rPr>
        <w:t>15.98万元，完成率100%，偏差率0%。</w:t>
      </w:r>
    </w:p>
    <w:p>
      <w:pPr>
        <w:pStyle w:val="19"/>
        <w:keepNext w:val="0"/>
        <w:keepLines w:val="0"/>
        <w:pageBreakBefore w:val="0"/>
        <w:widowControl/>
        <w:numPr>
          <w:ilvl w:val="-1"/>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sz w:val="32"/>
          <w:szCs w:val="32"/>
          <w:highlight w:val="none"/>
          <w:lang w:val="en-US" w:eastAsia="zh-CN" w:bidi="ar-SA"/>
        </w:rPr>
        <w:t>2.专家评估指导费用支出指标，指标值为7.4万元，实际完成7.4万元，完成率100%，偏差率0%。</w:t>
      </w:r>
    </w:p>
    <w:p>
      <w:pPr>
        <w:pStyle w:val="19"/>
        <w:numPr>
          <w:ilvl w:val="-1"/>
          <w:numId w:val="0"/>
        </w:numPr>
        <w:ind w:firstLine="640" w:firstLineChars="200"/>
        <w:jc w:val="left"/>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sz w:val="32"/>
          <w:szCs w:val="32"/>
          <w:highlight w:val="none"/>
          <w:lang w:val="en-US" w:eastAsia="zh-CN" w:bidi="ar-SA"/>
        </w:rPr>
        <w:t>3.场地租赁费支出指标，指标值为1.62万元，实际完成1.62万元，完成率100%，偏差率0%。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时效指标方面：</w:t>
      </w:r>
    </w:p>
    <w:p>
      <w:pPr>
        <w:pStyle w:val="19"/>
        <w:numPr>
          <w:ilvl w:val="-1"/>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1.政策研究课题调研报告按时完成率指标，指标值为≥90%，实际完成90%，完成率100%，偏差率0%。</w:t>
      </w:r>
    </w:p>
    <w:p>
      <w:pPr>
        <w:pStyle w:val="19"/>
        <w:numPr>
          <w:ilvl w:val="-1"/>
          <w:numId w:val="0"/>
        </w:numPr>
        <w:ind w:firstLine="640" w:firstLineChars="20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2.生态文明体制改革工作进展情况报告按时完成率指标，指标值为≥95%，实际完成95%，完成率100%，偏差率0%。</w:t>
      </w:r>
    </w:p>
    <w:p>
      <w:pPr>
        <w:pStyle w:val="19"/>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ind w:firstLine="640" w:firstLineChars="200"/>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3个三级指标构成，权重分为20分，实际得分20分，得分率为100%。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社会效益指标方面：</w:t>
      </w:r>
    </w:p>
    <w:p>
      <w:pPr>
        <w:pStyle w:val="19"/>
        <w:numPr>
          <w:ilvl w:val="0"/>
          <w:numId w:val="0"/>
        </w:numPr>
        <w:ind w:firstLine="640" w:firstLineChars="20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为环境管理提供政策支持指标， 指标值为提高 ，实际完成有所提高，完成率100%。</w:t>
      </w:r>
    </w:p>
    <w:p>
      <w:pPr>
        <w:spacing w:line="600" w:lineRule="exact"/>
        <w:ind w:firstLine="640" w:firstLineChars="200"/>
        <w:rPr>
          <w:rStyle w:val="52"/>
          <w:rFonts w:hint="eastAsia" w:ascii="Times New Roman" w:hAnsi="Times New Roman" w:cs="Times New Roman"/>
          <w:color w:val="auto"/>
          <w:lang w:val="en-US" w:eastAsia="zh-CN"/>
        </w:rPr>
      </w:pPr>
      <w:r>
        <w:rPr>
          <w:rStyle w:val="52"/>
          <w:rFonts w:hint="eastAsia" w:ascii="Times New Roman" w:hAnsi="Times New Roman" w:cs="Times New Roman"/>
          <w:color w:val="auto"/>
          <w:lang w:val="en-US" w:eastAsia="zh-CN"/>
        </w:rPr>
        <w:t>生态效益指标方面：</w:t>
      </w:r>
    </w:p>
    <w:p>
      <w:pPr>
        <w:pStyle w:val="19"/>
        <w:numPr>
          <w:ilvl w:val="0"/>
          <w:numId w:val="0"/>
        </w:numPr>
        <w:ind w:firstLine="640" w:firstLineChars="20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持续改善全区生态环境质量，提升服务质量指标， 指标值为提高 ，实际完成有所提高，完成率100%。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满意度指标方面：</w:t>
      </w:r>
    </w:p>
    <w:p>
      <w:pPr>
        <w:pStyle w:val="19"/>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服务对象满意度指标，指标值为≥90%，实际90%，完成率100%。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pacing w:line="56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自治区农村生态环保专项年初预算25万元，全年预算25万元，</w:t>
      </w:r>
      <w:r>
        <w:rPr>
          <w:rFonts w:hint="eastAsia" w:eastAsia="仿宋_GB2312"/>
          <w:sz w:val="32"/>
          <w:szCs w:val="32"/>
          <w:lang w:val="en-US" w:eastAsia="zh-Hans"/>
        </w:rPr>
        <w:t>实际</w:t>
      </w:r>
      <w:r>
        <w:rPr>
          <w:rFonts w:hint="eastAsia" w:eastAsia="仿宋_GB2312"/>
          <w:sz w:val="32"/>
          <w:szCs w:val="32"/>
          <w:lang w:val="en-US" w:eastAsia="zh-CN"/>
        </w:rPr>
        <w:t>支出25万元，预算执行率为100%，项目绩效指标总体完成率为100%，</w:t>
      </w:r>
      <w:r>
        <w:rPr>
          <w:rFonts w:hint="eastAsia" w:eastAsia="仿宋_GB2312"/>
          <w:sz w:val="32"/>
          <w:szCs w:val="32"/>
          <w:lang w:val="en-US" w:eastAsia="zh-Hans"/>
        </w:rPr>
        <w:t>总体</w:t>
      </w:r>
      <w:r>
        <w:rPr>
          <w:rFonts w:hint="eastAsia" w:eastAsia="仿宋_GB2312"/>
          <w:sz w:val="32"/>
          <w:szCs w:val="32"/>
          <w:lang w:val="en-US" w:eastAsia="zh-CN"/>
        </w:rPr>
        <w:t>偏差率为0%。</w:t>
      </w:r>
    </w:p>
    <w:p>
      <w:pPr>
        <w:spacing w:line="600" w:lineRule="exact"/>
        <w:ind w:firstLine="640" w:firstLineChars="200"/>
        <w:rPr>
          <w:rStyle w:val="52"/>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pPr>
        <w:spacing w:line="600" w:lineRule="exact"/>
        <w:ind w:firstLine="626"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highlight w:val="none"/>
        </w:rPr>
      </w:pPr>
      <w:r>
        <w:rPr>
          <w:rFonts w:eastAsia="仿宋_GB2312"/>
          <w:sz w:val="32"/>
          <w:szCs w:val="32"/>
          <w:highlight w:val="none"/>
        </w:rPr>
        <w:t>为确保</w:t>
      </w:r>
      <w:r>
        <w:rPr>
          <w:rFonts w:hint="eastAsia" w:eastAsia="仿宋_GB2312"/>
          <w:sz w:val="32"/>
          <w:szCs w:val="32"/>
          <w:highlight w:val="none"/>
          <w:lang w:val="en-US" w:eastAsia="zh-CN"/>
        </w:rPr>
        <w:t>自治区农村生态环保专项</w:t>
      </w:r>
      <w:r>
        <w:rPr>
          <w:rFonts w:hint="eastAsia" w:eastAsia="仿宋_GB2312"/>
          <w:sz w:val="32"/>
          <w:szCs w:val="32"/>
          <w:highlight w:val="none"/>
          <w:lang w:eastAsia="zh-CN"/>
        </w:rPr>
        <w:t>顺利实施</w:t>
      </w:r>
      <w:r>
        <w:rPr>
          <w:rFonts w:eastAsia="仿宋_GB2312"/>
          <w:sz w:val="32"/>
          <w:szCs w:val="32"/>
          <w:highlight w:val="none"/>
        </w:rPr>
        <w:t>，</w:t>
      </w:r>
      <w:r>
        <w:rPr>
          <w:rFonts w:hint="eastAsia" w:eastAsia="仿宋_GB2312"/>
          <w:sz w:val="32"/>
          <w:szCs w:val="32"/>
          <w:highlight w:val="none"/>
          <w:lang w:eastAsia="zh-CN"/>
        </w:rPr>
        <w:t>业务科</w:t>
      </w:r>
      <w:r>
        <w:rPr>
          <w:rFonts w:eastAsia="仿宋_GB2312"/>
          <w:sz w:val="32"/>
          <w:szCs w:val="32"/>
          <w:highlight w:val="none"/>
        </w:rPr>
        <w:t>提前做好项目</w:t>
      </w:r>
      <w:r>
        <w:rPr>
          <w:rFonts w:hint="eastAsia" w:eastAsia="仿宋_GB2312"/>
          <w:sz w:val="32"/>
          <w:szCs w:val="32"/>
          <w:highlight w:val="none"/>
          <w:lang w:eastAsia="zh-CN"/>
        </w:rPr>
        <w:t>计</w:t>
      </w:r>
      <w:r>
        <w:rPr>
          <w:rFonts w:eastAsia="仿宋_GB2312"/>
          <w:sz w:val="32"/>
          <w:szCs w:val="32"/>
          <w:highlight w:val="none"/>
        </w:rPr>
        <w:t>划，</w:t>
      </w:r>
      <w:r>
        <w:rPr>
          <w:rFonts w:hint="eastAsia" w:eastAsia="仿宋_GB2312"/>
          <w:sz w:val="32"/>
          <w:szCs w:val="32"/>
          <w:highlight w:val="none"/>
          <w:lang w:eastAsia="zh-CN"/>
        </w:rPr>
        <w:t>职工大会对项目</w:t>
      </w:r>
      <w:r>
        <w:rPr>
          <w:rFonts w:eastAsia="仿宋_GB2312"/>
          <w:sz w:val="32"/>
          <w:szCs w:val="32"/>
          <w:highlight w:val="none"/>
        </w:rPr>
        <w:t>计划</w:t>
      </w:r>
      <w:r>
        <w:rPr>
          <w:rFonts w:hint="eastAsia" w:eastAsia="仿宋_GB2312"/>
          <w:sz w:val="32"/>
          <w:szCs w:val="32"/>
          <w:highlight w:val="none"/>
          <w:lang w:eastAsia="zh-CN"/>
        </w:rPr>
        <w:t>开展</w:t>
      </w:r>
      <w:r>
        <w:rPr>
          <w:rFonts w:eastAsia="仿宋_GB2312"/>
          <w:sz w:val="32"/>
          <w:szCs w:val="32"/>
          <w:highlight w:val="none"/>
        </w:rPr>
        <w:t>审核。在项目实施过程中做好定期监督检查，严格按照项目管理规范进行，在项目资金使用过程中，严格落实把关，按照项目资金使用范围做好审核工作，让项目资金落</w:t>
      </w:r>
      <w:r>
        <w:rPr>
          <w:rFonts w:hint="eastAsia" w:eastAsia="仿宋_GB2312"/>
          <w:sz w:val="32"/>
          <w:szCs w:val="32"/>
          <w:highlight w:val="none"/>
          <w:lang w:eastAsia="zh-CN"/>
        </w:rPr>
        <w:t>到</w:t>
      </w:r>
      <w:r>
        <w:rPr>
          <w:rFonts w:eastAsia="仿宋_GB2312"/>
          <w:sz w:val="32"/>
          <w:szCs w:val="32"/>
          <w:highlight w:val="none"/>
        </w:rPr>
        <w:t>实处。</w:t>
      </w:r>
    </w:p>
    <w:p>
      <w:pPr>
        <w:pStyle w:val="19"/>
        <w:spacing w:before="0" w:after="0" w:line="60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严格按照急需、必需</w:t>
      </w:r>
      <w:r>
        <w:rPr>
          <w:rFonts w:hint="default" w:ascii="Times New Roman" w:hAnsi="Times New Roman" w:eastAsia="仿宋_GB2312"/>
          <w:b w:val="0"/>
          <w:bCs w:val="0"/>
          <w:kern w:val="2"/>
          <w:highlight w:val="none"/>
          <w:lang w:eastAsia="zh-CN"/>
        </w:rPr>
        <w:t>的原则,加快</w:t>
      </w:r>
      <w:r>
        <w:rPr>
          <w:rFonts w:hint="eastAsia" w:ascii="Times New Roman" w:hAnsi="Times New Roman" w:eastAsia="仿宋_GB2312"/>
          <w:b w:val="0"/>
          <w:bCs w:val="0"/>
          <w:kern w:val="2"/>
          <w:highlight w:val="none"/>
          <w:lang w:eastAsia="zh-CN"/>
        </w:rPr>
        <w:t>项目</w:t>
      </w:r>
      <w:r>
        <w:rPr>
          <w:rFonts w:hint="default" w:ascii="Times New Roman" w:hAnsi="Times New Roman" w:eastAsia="仿宋_GB2312"/>
          <w:b w:val="0"/>
          <w:bCs w:val="0"/>
          <w:kern w:val="2"/>
          <w:highlight w:val="none"/>
          <w:lang w:eastAsia="zh-CN"/>
        </w:rPr>
        <w:t>资金拨付进度</w:t>
      </w:r>
      <w:r>
        <w:rPr>
          <w:rFonts w:hint="eastAsia" w:ascii="Times New Roman" w:hAnsi="Times New Roman" w:eastAsia="仿宋_GB2312"/>
          <w:b w:val="0"/>
          <w:bCs w:val="0"/>
          <w:kern w:val="2"/>
          <w:highlight w:val="none"/>
          <w:lang w:eastAsia="zh-CN"/>
        </w:rPr>
        <w:t>，</w:t>
      </w:r>
      <w:r>
        <w:rPr>
          <w:rFonts w:hint="default" w:ascii="Times New Roman" w:hAnsi="Times New Roman" w:eastAsia="仿宋_GB2312"/>
          <w:b w:val="0"/>
          <w:bCs w:val="0"/>
          <w:kern w:val="2"/>
          <w:highlight w:val="none"/>
          <w:lang w:eastAsia="zh-CN"/>
        </w:rPr>
        <w:t>保障监管经费足额拨付</w:t>
      </w:r>
      <w:r>
        <w:rPr>
          <w:rFonts w:hint="eastAsia" w:ascii="Times New Roman" w:hAnsi="Times New Roman" w:eastAsia="仿宋_GB2312"/>
          <w:b w:val="0"/>
          <w:bCs w:val="0"/>
          <w:kern w:val="2"/>
          <w:highlight w:val="none"/>
          <w:lang w:eastAsia="zh-CN"/>
        </w:rPr>
        <w:t>，</w:t>
      </w:r>
      <w:r>
        <w:rPr>
          <w:rFonts w:hint="default" w:ascii="Times New Roman" w:hAnsi="Times New Roman" w:eastAsia="仿宋_GB2312"/>
          <w:b w:val="0"/>
          <w:bCs w:val="0"/>
          <w:kern w:val="2"/>
          <w:highlight w:val="none"/>
          <w:lang w:eastAsia="zh-CN"/>
        </w:rPr>
        <w:t>避免资金沉淀</w:t>
      </w:r>
      <w:r>
        <w:rPr>
          <w:rFonts w:hint="eastAsia" w:ascii="Times New Roman" w:hAnsi="Times New Roman" w:eastAsia="仿宋_GB2312"/>
          <w:b w:val="0"/>
          <w:bCs w:val="0"/>
          <w:kern w:val="2"/>
          <w:highlight w:val="none"/>
          <w:lang w:eastAsia="zh-CN"/>
        </w:rPr>
        <w:t>，防止</w:t>
      </w:r>
      <w:r>
        <w:rPr>
          <w:rFonts w:hint="default" w:ascii="Times New Roman" w:hAnsi="Times New Roman" w:eastAsia="仿宋_GB2312"/>
          <w:b w:val="0"/>
          <w:bCs w:val="0"/>
          <w:kern w:val="2"/>
          <w:highlight w:val="none"/>
          <w:lang w:eastAsia="zh-CN"/>
        </w:rPr>
        <w:t>资金被挤占、挪用和截留现象发生</w:t>
      </w:r>
      <w:r>
        <w:rPr>
          <w:rFonts w:hint="eastAsia" w:ascii="Times New Roman" w:hAnsi="Times New Roman" w:eastAsia="仿宋_GB2312"/>
          <w:b w:val="0"/>
          <w:bCs w:val="0"/>
          <w:kern w:val="2"/>
          <w:highlight w:val="none"/>
          <w:lang w:eastAsia="zh-CN"/>
        </w:rPr>
        <w:t>，跟踪检查到位。单位负责人、办公室、业务科、财务</w:t>
      </w:r>
      <w:r>
        <w:rPr>
          <w:rFonts w:ascii="Times New Roman" w:hAnsi="Times New Roman" w:eastAsia="仿宋_GB2312"/>
          <w:b w:val="0"/>
          <w:bCs w:val="0"/>
          <w:kern w:val="2"/>
          <w:highlight w:val="none"/>
        </w:rPr>
        <w:t>等</w:t>
      </w:r>
      <w:r>
        <w:rPr>
          <w:rFonts w:hint="eastAsia" w:ascii="Times New Roman" w:hAnsi="Times New Roman" w:eastAsia="仿宋_GB2312"/>
          <w:b w:val="0"/>
          <w:bCs w:val="0"/>
          <w:kern w:val="2"/>
          <w:highlight w:val="none"/>
          <w:lang w:eastAsia="zh-CN"/>
        </w:rPr>
        <w:t>人员</w:t>
      </w:r>
      <w:r>
        <w:rPr>
          <w:rFonts w:ascii="Times New Roman" w:hAnsi="Times New Roman" w:eastAsia="仿宋_GB2312"/>
          <w:b w:val="0"/>
          <w:bCs w:val="0"/>
          <w:kern w:val="2"/>
          <w:highlight w:val="none"/>
        </w:rPr>
        <w:t>全面参与专项资金事前、事中和事后全过程的监管。在监督环节上，实行关口前移，从事后监督管理转向事前审核，事中监督和事后检查相结合的监督制度上来，形成多环节全过程的监督管理，尽量早发现问题，早解决问题。</w:t>
      </w:r>
    </w:p>
    <w:p>
      <w:pPr>
        <w:keepNext/>
        <w:keepLines/>
        <w:numPr>
          <w:ilvl w:val="0"/>
          <w:numId w:val="7"/>
        </w:numPr>
        <w:spacing w:line="600" w:lineRule="exact"/>
        <w:ind w:firstLine="642" w:firstLineChars="200"/>
        <w:rPr>
          <w:rFonts w:eastAsia="楷体_GB2312"/>
          <w:b/>
          <w:bCs/>
          <w:sz w:val="32"/>
          <w:szCs w:val="32"/>
        </w:rPr>
      </w:pPr>
      <w:r>
        <w:rPr>
          <w:rFonts w:eastAsia="楷体_GB2312"/>
          <w:b/>
          <w:bCs/>
          <w:sz w:val="32"/>
          <w:szCs w:val="32"/>
        </w:rPr>
        <w:t>存在的问题及原因分析</w:t>
      </w:r>
    </w:p>
    <w:p>
      <w:pPr>
        <w:pStyle w:val="19"/>
        <w:spacing w:before="0" w:after="0" w:line="600" w:lineRule="exact"/>
        <w:ind w:firstLine="640" w:firstLineChars="200"/>
        <w:jc w:val="both"/>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：一是预算编制不够明确和细化，预算编制的合理性需要提高；</w:t>
      </w:r>
      <w:r>
        <w:rPr>
          <w:rFonts w:hint="eastAsia" w:ascii="Times New Roman" w:hAnsi="Times New Roman" w:eastAsia="仿宋_GB2312"/>
          <w:b w:val="0"/>
          <w:bCs w:val="0"/>
          <w:kern w:val="2"/>
          <w:lang w:eastAsia="zh-CN"/>
        </w:rPr>
        <w:t>二</w:t>
      </w:r>
      <w:r>
        <w:rPr>
          <w:rFonts w:hint="eastAsia" w:ascii="Times New Roman" w:hAnsi="Times New Roman" w:eastAsia="仿宋_GB2312"/>
          <w:b w:val="0"/>
          <w:bCs w:val="0"/>
          <w:kern w:val="2"/>
        </w:rPr>
        <w:t>是绩效指标体系还有待完善，绩效管理工作机制还有待进一步健全。</w:t>
      </w:r>
    </w:p>
    <w:p>
      <w:pPr>
        <w:numPr>
          <w:ilvl w:val="0"/>
          <w:numId w:val="0"/>
        </w:numPr>
        <w:spacing w:line="600" w:lineRule="exact"/>
        <w:ind w:firstLine="640" w:firstLineChars="200"/>
        <w:rPr>
          <w:rFonts w:eastAsia="黑体"/>
          <w:sz w:val="32"/>
          <w:szCs w:val="32"/>
        </w:rPr>
      </w:pPr>
      <w:r>
        <w:rPr>
          <w:rFonts w:hint="eastAsia" w:eastAsia="黑体" w:cs="Times New Roman"/>
          <w:kern w:val="2"/>
          <w:sz w:val="32"/>
          <w:szCs w:val="32"/>
          <w:lang w:val="en-US" w:eastAsia="zh-CN" w:bidi="ar-SA"/>
        </w:rPr>
        <w:t>七</w:t>
      </w:r>
      <w:r>
        <w:rPr>
          <w:rFonts w:hint="eastAsia" w:ascii="Times New Roman" w:hAnsi="Times New Roman" w:eastAsia="黑体" w:cs="Times New Roman"/>
          <w:kern w:val="2"/>
          <w:sz w:val="32"/>
          <w:szCs w:val="32"/>
          <w:lang w:val="en-US" w:eastAsia="zh-CN" w:bidi="ar-SA"/>
        </w:rPr>
        <w:t>、</w:t>
      </w: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lang w:eastAsia="zh-CN"/>
        </w:rPr>
        <w:t>一是</w:t>
      </w:r>
      <w:r>
        <w:rPr>
          <w:rFonts w:hint="eastAsia" w:ascii="仿宋_GB2312" w:hAnsi="仿宋_GB2312" w:eastAsia="仿宋_GB2312" w:cs="仿宋_GB2312"/>
          <w:sz w:val="32"/>
          <w:szCs w:val="28"/>
        </w:rPr>
        <w:t>加强</w:t>
      </w:r>
      <w:r>
        <w:rPr>
          <w:rFonts w:hint="eastAsia" w:ascii="仿宋_GB2312" w:hAnsi="仿宋_GB2312" w:eastAsia="仿宋_GB2312" w:cs="仿宋_GB2312"/>
          <w:sz w:val="32"/>
          <w:szCs w:val="28"/>
          <w:lang w:eastAsia="zh-CN"/>
        </w:rPr>
        <w:t>组织保障。</w:t>
      </w:r>
      <w:r>
        <w:rPr>
          <w:rFonts w:hint="eastAsia" w:ascii="仿宋_GB2312" w:hAnsi="仿宋_GB2312" w:eastAsia="仿宋_GB2312" w:cs="仿宋_GB2312"/>
          <w:sz w:val="32"/>
          <w:szCs w:val="28"/>
        </w:rPr>
        <w:t>对绩效管理工作的组织领导，提高对预算绩效管理工作重要性的认识，总结经验查找问题</w:t>
      </w:r>
      <w:r>
        <w:rPr>
          <w:rFonts w:hint="eastAsia" w:ascii="仿宋_GB2312" w:hAnsi="仿宋_GB2312" w:eastAsia="仿宋_GB2312" w:cs="仿宋_GB2312"/>
          <w:sz w:val="32"/>
          <w:szCs w:val="28"/>
          <w:lang w:eastAsia="zh-CN"/>
        </w:rPr>
        <w:t>；二是加强培训学习。</w:t>
      </w:r>
      <w:r>
        <w:rPr>
          <w:rFonts w:hint="eastAsia" w:ascii="仿宋_GB2312" w:hAnsi="仿宋_GB2312" w:eastAsia="仿宋_GB2312" w:cs="仿宋_GB2312"/>
          <w:sz w:val="32"/>
          <w:szCs w:val="28"/>
        </w:rPr>
        <w:t>加大全局对全面实施预算绩效管理和绩效管理工作的学习力度</w:t>
      </w:r>
      <w:r>
        <w:rPr>
          <w:rFonts w:hint="eastAsia" w:ascii="仿宋_GB2312" w:hAnsi="仿宋_GB2312" w:eastAsia="仿宋_GB2312" w:cs="仿宋_GB2312"/>
          <w:sz w:val="32"/>
          <w:szCs w:val="28"/>
          <w:lang w:eastAsia="zh-CN"/>
        </w:rPr>
        <w:t>，提升绩效管理认识和能力水平。</w:t>
      </w:r>
    </w:p>
    <w:p>
      <w:pPr>
        <w:numPr>
          <w:ilvl w:val="0"/>
          <w:numId w:val="0"/>
        </w:numPr>
        <w:spacing w:line="600" w:lineRule="exact"/>
        <w:ind w:firstLine="640" w:firstLineChars="200"/>
        <w:rPr>
          <w:rFonts w:eastAsia="黑体"/>
          <w:sz w:val="32"/>
          <w:szCs w:val="32"/>
        </w:rPr>
      </w:pPr>
      <w:r>
        <w:rPr>
          <w:rFonts w:hint="eastAsia" w:eastAsia="黑体" w:cs="Times New Roman"/>
          <w:kern w:val="2"/>
          <w:sz w:val="32"/>
          <w:szCs w:val="32"/>
          <w:lang w:val="en-US" w:eastAsia="zh-CN" w:bidi="ar-SA"/>
        </w:rPr>
        <w:t>八</w:t>
      </w:r>
      <w:r>
        <w:rPr>
          <w:rFonts w:hint="eastAsia" w:ascii="Times New Roman" w:hAnsi="Times New Roman" w:eastAsia="黑体" w:cs="Times New Roman"/>
          <w:kern w:val="2"/>
          <w:sz w:val="32"/>
          <w:szCs w:val="32"/>
          <w:lang w:val="en-US" w:eastAsia="zh-CN" w:bidi="ar-SA"/>
        </w:rPr>
        <w:t>、</w:t>
      </w:r>
      <w:r>
        <w:rPr>
          <w:rFonts w:eastAsia="黑体"/>
          <w:sz w:val="32"/>
          <w:szCs w:val="32"/>
        </w:rPr>
        <w:t>其他需要说</w:t>
      </w:r>
      <w:bookmarkStart w:id="1" w:name="page8"/>
      <w:bookmarkEnd w:id="1"/>
      <w:r>
        <w:rPr>
          <w:rFonts w:eastAsia="黑体"/>
          <w:sz w:val="32"/>
          <w:szCs w:val="32"/>
        </w:rPr>
        <w:t>明的问题</w:t>
      </w:r>
    </w:p>
    <w:p>
      <w:pPr>
        <w:pStyle w:val="20"/>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1"/>
        <w:tblW w:w="9080" w:type="dxa"/>
        <w:jc w:val="center"/>
        <w:tblLayout w:type="fixed"/>
        <w:tblCellMar>
          <w:top w:w="0" w:type="dxa"/>
          <w:left w:w="108" w:type="dxa"/>
          <w:bottom w:w="0" w:type="dxa"/>
          <w:right w:w="108" w:type="dxa"/>
        </w:tblCellMar>
      </w:tblPr>
      <w:tblGrid>
        <w:gridCol w:w="467"/>
        <w:gridCol w:w="468"/>
        <w:gridCol w:w="467"/>
        <w:gridCol w:w="1048"/>
        <w:gridCol w:w="597"/>
        <w:gridCol w:w="825"/>
        <w:gridCol w:w="735"/>
        <w:gridCol w:w="675"/>
        <w:gridCol w:w="630"/>
        <w:gridCol w:w="675"/>
        <w:gridCol w:w="630"/>
        <w:gridCol w:w="735"/>
        <w:gridCol w:w="600"/>
        <w:gridCol w:w="52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keepNext w:val="0"/>
              <w:keepLines w:val="0"/>
              <w:widowControl/>
              <w:suppressLineNumbers w:val="0"/>
              <w:jc w:val="center"/>
              <w:textAlignment w:val="center"/>
              <w:rPr>
                <w:rFonts w:ascii="宋体" w:hAnsi="宋体" w:eastAsia="宋体" w:cs="宋体"/>
                <w:b/>
                <w:bCs/>
                <w:kern w:val="0"/>
                <w:sz w:val="32"/>
                <w:szCs w:val="32"/>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(2023年度)</w:t>
            </w:r>
          </w:p>
        </w:tc>
      </w:tr>
      <w:tr>
        <w:tblPrEx>
          <w:tblCellMar>
            <w:top w:w="0" w:type="dxa"/>
            <w:left w:w="108" w:type="dxa"/>
            <w:bottom w:w="0" w:type="dxa"/>
            <w:right w:w="108" w:type="dxa"/>
          </w:tblCellMar>
        </w:tblPrEx>
        <w:trPr>
          <w:trHeight w:val="300" w:hRule="exact"/>
          <w:jc w:val="center"/>
        </w:trPr>
        <w:tc>
          <w:tcPr>
            <w:tcW w:w="9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项目名称</w:t>
            </w:r>
          </w:p>
        </w:tc>
        <w:tc>
          <w:tcPr>
            <w:tcW w:w="8145" w:type="dxa"/>
            <w:gridSpan w:val="1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自治区农村生态环保专项</w:t>
            </w:r>
          </w:p>
        </w:tc>
      </w:tr>
      <w:tr>
        <w:tblPrEx>
          <w:tblCellMar>
            <w:top w:w="0" w:type="dxa"/>
            <w:left w:w="108" w:type="dxa"/>
            <w:bottom w:w="0" w:type="dxa"/>
            <w:right w:w="108" w:type="dxa"/>
          </w:tblCellMar>
        </w:tblPrEx>
        <w:trPr>
          <w:trHeight w:val="495" w:hRule="exact"/>
          <w:jc w:val="center"/>
        </w:trPr>
        <w:tc>
          <w:tcPr>
            <w:tcW w:w="9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主管部门</w:t>
            </w:r>
          </w:p>
        </w:tc>
        <w:tc>
          <w:tcPr>
            <w:tcW w:w="367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新疆维吾尔自治区生态环境厅</w:t>
            </w:r>
          </w:p>
        </w:tc>
        <w:tc>
          <w:tcPr>
            <w:tcW w:w="130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eastAsia="zh-CN"/>
              </w:rPr>
            </w:pPr>
            <w:r>
              <w:rPr>
                <w:rFonts w:hint="eastAsia" w:ascii="宋体" w:hAnsi="宋体" w:eastAsia="宋体" w:cs="宋体"/>
                <w:b/>
                <w:bCs/>
                <w:i w:val="0"/>
                <w:iCs w:val="0"/>
                <w:color w:val="000000"/>
                <w:kern w:val="0"/>
                <w:sz w:val="22"/>
                <w:szCs w:val="22"/>
                <w:u w:val="none"/>
                <w:lang w:val="en-US" w:eastAsia="zh-CN" w:bidi="ar"/>
              </w:rPr>
              <w:t>实施单位</w:t>
            </w:r>
          </w:p>
        </w:tc>
        <w:tc>
          <w:tcPr>
            <w:tcW w:w="3168" w:type="dxa"/>
            <w:gridSpan w:val="5"/>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新疆维吾尔自治区生态环境政策与规划研究中心</w:t>
            </w:r>
          </w:p>
        </w:tc>
      </w:tr>
      <w:tr>
        <w:tblPrEx>
          <w:tblCellMar>
            <w:top w:w="0" w:type="dxa"/>
            <w:left w:w="108" w:type="dxa"/>
            <w:bottom w:w="0" w:type="dxa"/>
            <w:right w:w="108" w:type="dxa"/>
          </w:tblCellMar>
        </w:tblPrEx>
        <w:trPr>
          <w:trHeight w:val="300" w:hRule="exact"/>
          <w:jc w:val="center"/>
        </w:trPr>
        <w:tc>
          <w:tcPr>
            <w:tcW w:w="935"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项目资金</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年初预算数</w:t>
            </w:r>
          </w:p>
        </w:tc>
        <w:tc>
          <w:tcPr>
            <w:tcW w:w="156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全年预算数</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全年执行数</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分值</w:t>
            </w:r>
          </w:p>
        </w:tc>
        <w:tc>
          <w:tcPr>
            <w:tcW w:w="133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执行率</w:t>
            </w:r>
          </w:p>
        </w:tc>
        <w:tc>
          <w:tcPr>
            <w:tcW w:w="52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得分</w:t>
            </w:r>
          </w:p>
        </w:tc>
      </w:tr>
      <w:tr>
        <w:tblPrEx>
          <w:tblCellMar>
            <w:top w:w="0" w:type="dxa"/>
            <w:left w:w="108" w:type="dxa"/>
            <w:bottom w:w="0" w:type="dxa"/>
            <w:right w:w="108" w:type="dxa"/>
          </w:tblCellMar>
        </w:tblPrEx>
        <w:trPr>
          <w:trHeight w:val="300" w:hRule="exact"/>
          <w:jc w:val="center"/>
        </w:trPr>
        <w:tc>
          <w:tcPr>
            <w:tcW w:w="935"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51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年度资金总额</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25</w:t>
            </w:r>
          </w:p>
        </w:tc>
        <w:tc>
          <w:tcPr>
            <w:tcW w:w="156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25</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25</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33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100.0%</w:t>
            </w:r>
          </w:p>
        </w:tc>
        <w:tc>
          <w:tcPr>
            <w:tcW w:w="52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10</w:t>
            </w:r>
          </w:p>
        </w:tc>
      </w:tr>
      <w:tr>
        <w:tblPrEx>
          <w:tblCellMar>
            <w:top w:w="0" w:type="dxa"/>
            <w:left w:w="108" w:type="dxa"/>
            <w:bottom w:w="0" w:type="dxa"/>
            <w:right w:w="108" w:type="dxa"/>
          </w:tblCellMar>
        </w:tblPrEx>
        <w:trPr>
          <w:trHeight w:val="300" w:hRule="exact"/>
          <w:jc w:val="center"/>
        </w:trPr>
        <w:tc>
          <w:tcPr>
            <w:tcW w:w="935"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51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其中：当年财政拨款</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 xml:space="preserve">25.00 </w:t>
            </w:r>
          </w:p>
        </w:tc>
        <w:tc>
          <w:tcPr>
            <w:tcW w:w="156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 xml:space="preserve">25.00 </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 xml:space="preserve">25.00 </w:t>
            </w:r>
          </w:p>
        </w:tc>
        <w:tc>
          <w:tcPr>
            <w:tcW w:w="13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33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w:t>
            </w:r>
          </w:p>
        </w:tc>
        <w:tc>
          <w:tcPr>
            <w:tcW w:w="52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w:t>
            </w:r>
          </w:p>
        </w:tc>
      </w:tr>
      <w:tr>
        <w:tblPrEx>
          <w:tblCellMar>
            <w:top w:w="0" w:type="dxa"/>
            <w:left w:w="108" w:type="dxa"/>
            <w:bottom w:w="0" w:type="dxa"/>
            <w:right w:w="108" w:type="dxa"/>
          </w:tblCellMar>
        </w:tblPrEx>
        <w:trPr>
          <w:trHeight w:val="300" w:hRule="exact"/>
          <w:jc w:val="center"/>
        </w:trPr>
        <w:tc>
          <w:tcPr>
            <w:tcW w:w="935"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51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 xml:space="preserve">  其他资金</w:t>
            </w:r>
          </w:p>
        </w:tc>
        <w:tc>
          <w:tcPr>
            <w:tcW w:w="597"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560"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05"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05"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35"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52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w:t>
            </w:r>
          </w:p>
        </w:tc>
      </w:tr>
      <w:tr>
        <w:tblPrEx>
          <w:tblCellMar>
            <w:top w:w="0" w:type="dxa"/>
            <w:left w:w="108" w:type="dxa"/>
            <w:bottom w:w="0" w:type="dxa"/>
            <w:right w:w="108" w:type="dxa"/>
          </w:tblCellMar>
        </w:tblPrEx>
        <w:trPr>
          <w:trHeight w:val="300" w:hRule="exact"/>
          <w:jc w:val="center"/>
        </w:trPr>
        <w:tc>
          <w:tcPr>
            <w:tcW w:w="4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年度总体目标</w:t>
            </w:r>
          </w:p>
        </w:tc>
        <w:tc>
          <w:tcPr>
            <w:tcW w:w="41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预期目标</w:t>
            </w:r>
          </w:p>
        </w:tc>
        <w:tc>
          <w:tcPr>
            <w:tcW w:w="4473" w:type="dxa"/>
            <w:gridSpan w:val="7"/>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实际完成情况</w:t>
            </w:r>
          </w:p>
        </w:tc>
      </w:tr>
      <w:tr>
        <w:tblPrEx>
          <w:tblCellMar>
            <w:top w:w="0" w:type="dxa"/>
            <w:left w:w="108" w:type="dxa"/>
            <w:bottom w:w="0" w:type="dxa"/>
            <w:right w:w="108" w:type="dxa"/>
          </w:tblCellMar>
        </w:tblPrEx>
        <w:trPr>
          <w:trHeight w:val="7465" w:hRule="exact"/>
          <w:jc w:val="center"/>
        </w:trPr>
        <w:tc>
          <w:tcPr>
            <w:tcW w:w="46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4140" w:type="dxa"/>
            <w:gridSpan w:val="6"/>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在习近平生态文明思想科学指引下，坚持绿水青山就是金山银山的理念，坚持山水林田湖草沙一体化保护和系统治理，按照深入打好污染防治攻坚战总要求，推进生态优先、绿色发展，坚持精准治污、科学治污、依法治污。以自治区农村生态环保专项业务持续推进农村生态环境保护、生态文明体制改革、生态环境保护治理研究等各项工作。扎实做好农村生态环境保护工作推进我区农村人居环境整治提升和农业面源污染防治，以生态文明体制改革工作为抓手助力我区经济社会发展全面绿色低碳转型，推进生态环境保护治理研究工作为持续深入打好蓝天、碧水、净土保卫战提供支持。通过实地督导调研、抽查和评估各项工作开展情况，形成专题调研报告为生态环境厅管理决策提供依据，同时认真完成生态环境厅部署的2023年度目标任务，为建设天更蓝、山更绿、水更清的大美新疆做出贡献。</w:t>
            </w:r>
          </w:p>
        </w:tc>
        <w:tc>
          <w:tcPr>
            <w:tcW w:w="4473" w:type="dxa"/>
            <w:gridSpan w:val="7"/>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一是根据自治区党委改革办等工作要求，各专项小组需对自治区有关单位承接的中央深改委会议通过改革方案落实情况每月开展调度，并形成进展情况报告报自治区党委改革办。截止目前，我中心完成自治区生态文明体制改革工作调度12次，进展情况报告12份，通过厅领导审核，并报送自治区党委改革办。二是对塔城地区开展2022年农村环境整治成效评估现场核查工作，形成核查报告提交自治区生态环境厅；三是承担自治区社科联与自治区生态环境厅共同开展的“以生态文明建设促进新疆经济社会全面绿色转型专项调研”中的“自治区环保机构改革成效调查研究”这一子课题，调研报告已提交课题组。四是完成《着力提升基层党组织建设水平 赋能美丽新疆》调研报告，提交厅机关党委。</w:t>
            </w:r>
          </w:p>
        </w:tc>
      </w:tr>
      <w:tr>
        <w:tblPrEx>
          <w:tblCellMar>
            <w:top w:w="0" w:type="dxa"/>
            <w:left w:w="108" w:type="dxa"/>
            <w:bottom w:w="0" w:type="dxa"/>
            <w:right w:w="108" w:type="dxa"/>
          </w:tblCellMar>
        </w:tblPrEx>
        <w:trPr>
          <w:trHeight w:val="1197" w:hRule="exact"/>
          <w:jc w:val="center"/>
        </w:trPr>
        <w:tc>
          <w:tcPr>
            <w:tcW w:w="467" w:type="dxa"/>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一级指标</w:t>
            </w:r>
          </w:p>
        </w:tc>
        <w:tc>
          <w:tcPr>
            <w:tcW w:w="4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二级指标</w:t>
            </w:r>
          </w:p>
        </w:tc>
        <w:tc>
          <w:tcPr>
            <w:tcW w:w="104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三级指标</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权重</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目标值</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业绩值</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完成率</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指标得分</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指标值设定依据</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上年完成情况</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赋分规则</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佐证资料</w:t>
            </w:r>
          </w:p>
        </w:tc>
        <w:tc>
          <w:tcPr>
            <w:tcW w:w="52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tblPrEx>
          <w:tblCellMar>
            <w:top w:w="0" w:type="dxa"/>
            <w:left w:w="108" w:type="dxa"/>
            <w:bottom w:w="0" w:type="dxa"/>
            <w:right w:w="108" w:type="dxa"/>
          </w:tblCellMar>
        </w:tblPrEx>
        <w:trPr>
          <w:trHeight w:val="1860" w:hRule="exact"/>
          <w:jc w:val="center"/>
        </w:trPr>
        <w:tc>
          <w:tcPr>
            <w:tcW w:w="467" w:type="dxa"/>
            <w:vMerge w:val="restart"/>
            <w:tcBorders>
              <w:top w:val="nil"/>
              <w:left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年度绩效指标完成情况</w:t>
            </w:r>
          </w:p>
        </w:tc>
        <w:tc>
          <w:tcPr>
            <w:tcW w:w="468" w:type="dxa"/>
            <w:vMerge w:val="restart"/>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产出指标</w:t>
            </w:r>
          </w:p>
        </w:tc>
        <w:tc>
          <w:tcPr>
            <w:tcW w:w="4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数量指标</w:t>
            </w:r>
          </w:p>
        </w:tc>
        <w:tc>
          <w:tcPr>
            <w:tcW w:w="104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开展全区生态环境保护政策研究调研</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4次</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4次</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4次</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89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数量指标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生态环境保护政策研究调研报告</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4篇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89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数量指标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形成生态文明体制改革工作进展情况报告</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计划标准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4篇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89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质量指标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生态环境保护政策研究调研报告采纳率</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2篇</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4篇</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875"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质量指标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生态文明体制改革任务进展情况报告通过率</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计划标准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755"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时效指标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政策研究课题调研报告按时完成率</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7</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31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时效指标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生态文明体制改革工作进展情况报告按时完成率</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8</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计划标准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13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成本指标</w:t>
            </w: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经济成本指标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现场调研费用</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7</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15.98万元</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15.98万元</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预算支出标准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无</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原始凭证</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83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经济成本指标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专家评估指导费用</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7</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7.4万元</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7.4万元</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预算支出标准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无</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原始凭证</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115"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经济成本指标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场地租赁费</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6</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1.62万元</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1.62万元</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6</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预算支出标准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无</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按照正常比例赋分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原始凭证</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055"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效益指标</w:t>
            </w: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社会效益指标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为环境管理提供政策支持</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提高</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有所提高</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有所提高</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直接赋分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085"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8"/>
                <w:szCs w:val="18"/>
              </w:rPr>
            </w:pP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生态效益指标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持续改善全区生态环境质量，提升服务质量</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提高</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有所提高</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有所提高</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直接赋分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工作资料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1620" w:hRule="exact"/>
          <w:jc w:val="center"/>
        </w:trPr>
        <w:tc>
          <w:tcPr>
            <w:tcW w:w="467" w:type="dxa"/>
            <w:vMerge w:val="continue"/>
            <w:tcBorders>
              <w:left w:val="single" w:color="auto" w:sz="4" w:space="0"/>
              <w:right w:val="single" w:color="auto" w:sz="4" w:space="0"/>
            </w:tcBorders>
            <w:vAlign w:val="center"/>
          </w:tcPr>
          <w:p>
            <w:pPr>
              <w:jc w:val="center"/>
              <w:rPr>
                <w:rFonts w:ascii="宋体" w:hAnsi="宋体" w:eastAsia="宋体" w:cs="宋体"/>
                <w:kern w:val="0"/>
                <w:sz w:val="18"/>
                <w:szCs w:val="18"/>
              </w:rPr>
            </w:pPr>
          </w:p>
        </w:tc>
        <w:tc>
          <w:tcPr>
            <w:tcW w:w="4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满意度指标</w:t>
            </w:r>
          </w:p>
        </w:tc>
        <w:tc>
          <w:tcPr>
            <w:tcW w:w="4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满意度指标</w:t>
            </w:r>
          </w:p>
        </w:tc>
        <w:tc>
          <w:tcPr>
            <w:tcW w:w="10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服务对象满意度</w:t>
            </w:r>
          </w:p>
        </w:tc>
        <w:tc>
          <w:tcPr>
            <w:tcW w:w="59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w:t>
            </w:r>
          </w:p>
        </w:tc>
        <w:tc>
          <w:tcPr>
            <w:tcW w:w="82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6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w:t>
            </w:r>
          </w:p>
        </w:tc>
        <w:tc>
          <w:tcPr>
            <w:tcW w:w="675"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历史标准</w:t>
            </w:r>
          </w:p>
        </w:tc>
        <w:tc>
          <w:tcPr>
            <w:tcW w:w="63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90%</w:t>
            </w:r>
          </w:p>
        </w:tc>
        <w:tc>
          <w:tcPr>
            <w:tcW w:w="7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满意度赋分</w:t>
            </w:r>
          </w:p>
        </w:tc>
        <w:tc>
          <w:tcPr>
            <w:tcW w:w="60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说明材料</w:t>
            </w:r>
          </w:p>
        </w:tc>
        <w:tc>
          <w:tcPr>
            <w:tcW w:w="528"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985" w:hRule="exact"/>
          <w:jc w:val="center"/>
        </w:trPr>
        <w:tc>
          <w:tcPr>
            <w:tcW w:w="2450" w:type="dxa"/>
            <w:gridSpan w:val="4"/>
            <w:tcBorders>
              <w:left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b/>
                <w:bCs/>
                <w:i w:val="0"/>
                <w:iCs w:val="0"/>
                <w:color w:val="000000"/>
                <w:kern w:val="0"/>
                <w:sz w:val="22"/>
                <w:szCs w:val="22"/>
                <w:u w:val="none"/>
                <w:lang w:val="en-US" w:eastAsia="zh-CN" w:bidi="ar"/>
              </w:rPr>
              <w:t>总分</w:t>
            </w:r>
          </w:p>
        </w:tc>
        <w:tc>
          <w:tcPr>
            <w:tcW w:w="5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22"/>
                <w:szCs w:val="22"/>
                <w:u w:val="none"/>
                <w:lang w:val="en-US" w:eastAsia="zh-CN" w:bidi="ar"/>
              </w:rPr>
              <w:t>100</w:t>
            </w:r>
          </w:p>
        </w:tc>
        <w:tc>
          <w:tcPr>
            <w:tcW w:w="825"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p>
        </w:tc>
        <w:tc>
          <w:tcPr>
            <w:tcW w:w="735" w:type="dxa"/>
            <w:tcBorders>
              <w:top w:val="single" w:color="auto" w:sz="4" w:space="0"/>
              <w:left w:val="nil"/>
              <w:bottom w:val="single" w:color="auto" w:sz="4" w:space="0"/>
              <w:right w:val="single" w:color="auto" w:sz="4" w:space="0"/>
            </w:tcBorders>
            <w:vAlign w:val="center"/>
          </w:tcPr>
          <w:p>
            <w:pPr>
              <w:jc w:val="center"/>
            </w:pPr>
          </w:p>
        </w:tc>
        <w:tc>
          <w:tcPr>
            <w:tcW w:w="675" w:type="dxa"/>
            <w:tcBorders>
              <w:top w:val="single" w:color="auto" w:sz="4" w:space="0"/>
              <w:left w:val="nil"/>
              <w:bottom w:val="single" w:color="auto" w:sz="4" w:space="0"/>
              <w:right w:val="single" w:color="auto" w:sz="4" w:space="0"/>
            </w:tcBorders>
            <w:vAlign w:val="center"/>
          </w:tcPr>
          <w:p>
            <w:pPr>
              <w:jc w:val="center"/>
            </w:pP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iCs w:val="0"/>
                <w:color w:val="000000"/>
                <w:kern w:val="0"/>
                <w:sz w:val="22"/>
                <w:szCs w:val="22"/>
                <w:u w:val="none"/>
                <w:lang w:val="en-US" w:eastAsia="zh-CN" w:bidi="ar"/>
              </w:rPr>
              <w:t>100</w:t>
            </w:r>
          </w:p>
        </w:tc>
        <w:tc>
          <w:tcPr>
            <w:tcW w:w="675" w:type="dxa"/>
            <w:tcBorders>
              <w:top w:val="nil"/>
              <w:left w:val="nil"/>
              <w:bottom w:val="single" w:color="auto" w:sz="4" w:space="0"/>
              <w:right w:val="single" w:color="auto" w:sz="4" w:space="0"/>
            </w:tcBorders>
            <w:vAlign w:val="center"/>
          </w:tcPr>
          <w:p>
            <w:pPr>
              <w:rPr>
                <w:rFonts w:hint="eastAsia" w:ascii="宋体" w:hAnsi="宋体" w:eastAsia="宋体" w:cs="宋体"/>
                <w:kern w:val="0"/>
                <w:sz w:val="18"/>
                <w:szCs w:val="18"/>
              </w:rPr>
            </w:pPr>
          </w:p>
        </w:tc>
        <w:tc>
          <w:tcPr>
            <w:tcW w:w="630"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p>
        </w:tc>
        <w:tc>
          <w:tcPr>
            <w:tcW w:w="735" w:type="dxa"/>
            <w:tcBorders>
              <w:top w:val="single" w:color="auto" w:sz="4" w:space="0"/>
              <w:left w:val="nil"/>
              <w:bottom w:val="single" w:color="auto" w:sz="4" w:space="0"/>
              <w:right w:val="single" w:color="auto" w:sz="4" w:space="0"/>
            </w:tcBorders>
            <w:vAlign w:val="center"/>
          </w:tcPr>
          <w:p/>
        </w:tc>
        <w:tc>
          <w:tcPr>
            <w:tcW w:w="600" w:type="dxa"/>
            <w:tcBorders>
              <w:top w:val="single" w:color="auto" w:sz="4" w:space="0"/>
              <w:left w:val="nil"/>
              <w:bottom w:val="single" w:color="auto" w:sz="4" w:space="0"/>
              <w:right w:val="single" w:color="auto" w:sz="4" w:space="0"/>
            </w:tcBorders>
            <w:vAlign w:val="center"/>
          </w:tcPr>
          <w:p/>
        </w:tc>
        <w:tc>
          <w:tcPr>
            <w:tcW w:w="528" w:type="dxa"/>
            <w:tcBorders>
              <w:top w:val="single" w:color="auto" w:sz="4" w:space="0"/>
              <w:left w:val="nil"/>
              <w:bottom w:val="single" w:color="auto" w:sz="4" w:space="0"/>
              <w:right w:val="single" w:color="auto" w:sz="4" w:space="0"/>
            </w:tcBorders>
            <w:vAlign w:val="center"/>
          </w:tcPr>
          <w:p/>
        </w:tc>
      </w:tr>
    </w:tbl>
    <w:p>
      <w:pPr>
        <w:pStyle w:val="19"/>
        <w:jc w:val="both"/>
        <w:rPr>
          <w:rFonts w:ascii="Times New Roman" w:hAnsi="Times New Roman" w:eastAsia="黑体"/>
          <w:b w:val="0"/>
          <w:bCs w:val="0"/>
        </w:rPr>
      </w:pPr>
    </w:p>
    <w:p>
      <w:pPr>
        <w:pStyle w:val="19"/>
        <w:rPr>
          <w:rFonts w:ascii="Times New Roman" w:hAnsi="Times New Roman" w:eastAsia="黑体"/>
          <w:b w:val="0"/>
          <w:bCs w:val="0"/>
        </w:rPr>
      </w:pPr>
    </w:p>
    <w:p>
      <w:pPr>
        <w:pStyle w:val="19"/>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19"/>
        <w:rPr>
          <w:rFonts w:ascii="Times New Roman" w:hAnsi="Times New Roman"/>
        </w:rPr>
      </w:pPr>
    </w:p>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简标宋">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lODI0ZjI3OTFhMzcyYzM0NjJkYmZkZGMzOTY1OD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3323B24"/>
    <w:rsid w:val="04E01BC8"/>
    <w:rsid w:val="051A56F5"/>
    <w:rsid w:val="066D6EAA"/>
    <w:rsid w:val="06DC1681"/>
    <w:rsid w:val="07C05BA3"/>
    <w:rsid w:val="08C662D4"/>
    <w:rsid w:val="09BD4D95"/>
    <w:rsid w:val="0B0F58D6"/>
    <w:rsid w:val="0CEC2F96"/>
    <w:rsid w:val="0E197DBB"/>
    <w:rsid w:val="0ED26F2C"/>
    <w:rsid w:val="0F8D41CB"/>
    <w:rsid w:val="0FEE2F21"/>
    <w:rsid w:val="11C75270"/>
    <w:rsid w:val="12637CC3"/>
    <w:rsid w:val="12E657C5"/>
    <w:rsid w:val="133C6E2A"/>
    <w:rsid w:val="167C7687"/>
    <w:rsid w:val="168B3546"/>
    <w:rsid w:val="18441ED8"/>
    <w:rsid w:val="1A2374E0"/>
    <w:rsid w:val="1A8B50D5"/>
    <w:rsid w:val="1C317CE2"/>
    <w:rsid w:val="1C3D736A"/>
    <w:rsid w:val="1DD45808"/>
    <w:rsid w:val="1DED42AC"/>
    <w:rsid w:val="20005763"/>
    <w:rsid w:val="20FB313D"/>
    <w:rsid w:val="211B39F2"/>
    <w:rsid w:val="220B4804"/>
    <w:rsid w:val="250308AF"/>
    <w:rsid w:val="278B653F"/>
    <w:rsid w:val="282475E3"/>
    <w:rsid w:val="283B4218"/>
    <w:rsid w:val="29E421D9"/>
    <w:rsid w:val="2B54022C"/>
    <w:rsid w:val="2C6100C1"/>
    <w:rsid w:val="319F5F79"/>
    <w:rsid w:val="3235157C"/>
    <w:rsid w:val="3264220D"/>
    <w:rsid w:val="32A83563"/>
    <w:rsid w:val="344A041F"/>
    <w:rsid w:val="355944AB"/>
    <w:rsid w:val="35EBFB10"/>
    <w:rsid w:val="38872456"/>
    <w:rsid w:val="3963178C"/>
    <w:rsid w:val="3BA5236D"/>
    <w:rsid w:val="3CED0699"/>
    <w:rsid w:val="3CEF440A"/>
    <w:rsid w:val="3EB02FD6"/>
    <w:rsid w:val="400D3523"/>
    <w:rsid w:val="41CC2676"/>
    <w:rsid w:val="46B21672"/>
    <w:rsid w:val="470F1B0B"/>
    <w:rsid w:val="4BB45D11"/>
    <w:rsid w:val="4E093ED5"/>
    <w:rsid w:val="4F552460"/>
    <w:rsid w:val="4FCC6863"/>
    <w:rsid w:val="500A214A"/>
    <w:rsid w:val="522D604D"/>
    <w:rsid w:val="5297585E"/>
    <w:rsid w:val="52AD7D6F"/>
    <w:rsid w:val="55287EB0"/>
    <w:rsid w:val="5549519D"/>
    <w:rsid w:val="5557596B"/>
    <w:rsid w:val="5B596DFC"/>
    <w:rsid w:val="5BF5B90C"/>
    <w:rsid w:val="5DAE6D00"/>
    <w:rsid w:val="5DF03945"/>
    <w:rsid w:val="5DFE79A5"/>
    <w:rsid w:val="5E987E55"/>
    <w:rsid w:val="5ED4FB21"/>
    <w:rsid w:val="5F03526B"/>
    <w:rsid w:val="5FD5BABD"/>
    <w:rsid w:val="5FF752FA"/>
    <w:rsid w:val="5FFA8811"/>
    <w:rsid w:val="60AE34EA"/>
    <w:rsid w:val="61DF8804"/>
    <w:rsid w:val="62E515AF"/>
    <w:rsid w:val="637C2815"/>
    <w:rsid w:val="64FA606F"/>
    <w:rsid w:val="65C57872"/>
    <w:rsid w:val="666B4FDC"/>
    <w:rsid w:val="67FF13C8"/>
    <w:rsid w:val="682144B7"/>
    <w:rsid w:val="6B503F77"/>
    <w:rsid w:val="6C8F371A"/>
    <w:rsid w:val="6D8C31AF"/>
    <w:rsid w:val="6E311968"/>
    <w:rsid w:val="6ED722D3"/>
    <w:rsid w:val="6F4E45D0"/>
    <w:rsid w:val="751B4EE4"/>
    <w:rsid w:val="7539CA0D"/>
    <w:rsid w:val="75F747F1"/>
    <w:rsid w:val="76795EB5"/>
    <w:rsid w:val="79FBD546"/>
    <w:rsid w:val="7A353D0B"/>
    <w:rsid w:val="7CB927D8"/>
    <w:rsid w:val="7CF1659A"/>
    <w:rsid w:val="7D3A5E2F"/>
    <w:rsid w:val="7D585220"/>
    <w:rsid w:val="7DFA17EC"/>
    <w:rsid w:val="7E0C5521"/>
    <w:rsid w:val="7F5BE9BB"/>
    <w:rsid w:val="7FEB618D"/>
    <w:rsid w:val="EC5B8D0E"/>
    <w:rsid w:val="ECF02E0D"/>
    <w:rsid w:val="F7BFC9AC"/>
    <w:rsid w:val="F7ED9F5F"/>
    <w:rsid w:val="FBFF0933"/>
    <w:rsid w:val="FD754ED0"/>
    <w:rsid w:val="FFDF9593"/>
    <w:rsid w:val="FFF7C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12">
    <w:name w:val="Body Text"/>
    <w:basedOn w:val="1"/>
    <w:next w:val="13"/>
    <w:qFormat/>
    <w:uiPriority w:val="0"/>
    <w:pPr>
      <w:spacing w:after="120"/>
    </w:pPr>
  </w:style>
  <w:style w:type="paragraph" w:styleId="13">
    <w:name w:val="Body Text First Indent"/>
    <w:basedOn w:val="12"/>
    <w:next w:val="1"/>
    <w:qFormat/>
    <w:uiPriority w:val="0"/>
    <w:pPr>
      <w:spacing w:after="0"/>
      <w:ind w:firstLine="200" w:firstLineChars="20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9">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19"/>
    <w:qFormat/>
    <w:uiPriority w:val="10"/>
    <w:rPr>
      <w:rFonts w:asciiTheme="majorHAnsi" w:hAnsiTheme="majorHAnsi" w:eastAsiaTheme="majorEastAsia"/>
      <w:b/>
      <w:bCs/>
      <w:kern w:val="28"/>
      <w:sz w:val="32"/>
      <w:szCs w:val="32"/>
    </w:rPr>
  </w:style>
  <w:style w:type="character" w:customStyle="1" w:styleId="35">
    <w:name w:val="副标题 字符"/>
    <w:basedOn w:val="22"/>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7"/>
    <w:qFormat/>
    <w:uiPriority w:val="99"/>
    <w:rPr>
      <w:rFonts w:ascii="Calibri" w:hAnsi="Calibri" w:eastAsia="宋体"/>
      <w:kern w:val="2"/>
      <w:sz w:val="18"/>
      <w:szCs w:val="18"/>
    </w:rPr>
  </w:style>
  <w:style w:type="character" w:customStyle="1" w:styleId="49">
    <w:name w:val="页脚 字符"/>
    <w:basedOn w:val="22"/>
    <w:link w:val="16"/>
    <w:qFormat/>
    <w:uiPriority w:val="99"/>
    <w:rPr>
      <w:rFonts w:ascii="Calibri" w:hAnsi="Calibri" w:eastAsia="宋体"/>
      <w:kern w:val="2"/>
      <w:sz w:val="18"/>
      <w:szCs w:val="18"/>
    </w:rPr>
  </w:style>
  <w:style w:type="character" w:customStyle="1" w:styleId="50">
    <w:name w:val="批注框文本 字符"/>
    <w:basedOn w:val="22"/>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character" w:customStyle="1" w:styleId="53">
    <w:name w:val="NormalCharacter"/>
    <w:qFormat/>
    <w:uiPriority w:val="0"/>
    <w:rPr>
      <w:rFonts w:ascii="Calibri" w:hAnsi="Calibri" w:eastAsia="宋体" w:cs="Times New Roman"/>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6346</Words>
  <Characters>6621</Characters>
  <Lines>50</Lines>
  <Paragraphs>14</Paragraphs>
  <TotalTime>35</TotalTime>
  <ScaleCrop>false</ScaleCrop>
  <LinksUpToDate>false</LinksUpToDate>
  <CharactersWithSpaces>6652</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2020-07-05T16:35:00Z</dcterms:created>
  <dc:creator>赵 恺（预算处）</dc:creator>
  <cp:lastModifiedBy>user</cp:lastModifiedBy>
  <cp:lastPrinted>2024-04-09T12:39:00Z</cp:lastPrinted>
  <dcterms:modified xsi:type="dcterms:W3CDTF">2024-08-26T12:42:17Z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AE1B4EF9846A4B6B9147B3234EA70C4F_13</vt:lpwstr>
  </property>
  <property fmtid="{D5CDD505-2E9C-101B-9397-08002B2CF9AE}" pid="4" name="KSOSaveFontToCloudKey">
    <vt:lpwstr>0_btnclosed</vt:lpwstr>
  </property>
</Properties>
</file>