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eastAsia="华文中宋"/>
          <w:b/>
          <w:kern w:val="0"/>
          <w:sz w:val="72"/>
          <w:szCs w:val="72"/>
        </w:rPr>
      </w:pPr>
      <w:bookmarkStart w:id="6" w:name="_GoBack"/>
      <w:bookmarkEnd w:id="6"/>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ascii="Times New Roman" w:hAnsi="Times New Roman" w:eastAsia="方正小标宋_GBK" w:cs="Times New Roman"/>
          <w:kern w:val="0"/>
          <w:sz w:val="48"/>
          <w:szCs w:val="48"/>
          <w:lang w:val="en-US" w:eastAsia="zh-CN"/>
        </w:rPr>
        <w:t>自治区农村环境整治专项</w:t>
      </w: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 </w:t>
      </w:r>
      <w:r>
        <w:rPr>
          <w:rFonts w:hint="eastAsia" w:eastAsia="仿宋_GB2312"/>
          <w:kern w:val="0"/>
          <w:sz w:val="36"/>
          <w:szCs w:val="36"/>
          <w:lang w:eastAsia="zh-CN"/>
        </w:rPr>
        <w:t>2023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both"/>
        <w:rPr>
          <w:rFonts w:eastAsia="仿宋_GB2312"/>
          <w:kern w:val="0"/>
          <w:sz w:val="30"/>
          <w:szCs w:val="30"/>
        </w:rPr>
      </w:pPr>
    </w:p>
    <w:p>
      <w:pPr>
        <w:spacing w:line="540" w:lineRule="exact"/>
        <w:rPr>
          <w:rFonts w:eastAsia="仿宋_GB2312"/>
          <w:kern w:val="0"/>
          <w:sz w:val="30"/>
          <w:szCs w:val="30"/>
        </w:rPr>
      </w:pPr>
    </w:p>
    <w:p>
      <w:pPr>
        <w:spacing w:line="700" w:lineRule="exact"/>
        <w:ind w:firstLine="360" w:firstLineChars="100"/>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2023年度自治区农村环境整治专项资金</w:t>
      </w:r>
    </w:p>
    <w:p>
      <w:pPr>
        <w:spacing w:line="700" w:lineRule="exact"/>
        <w:ind w:firstLine="360" w:firstLineChars="100"/>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lang w:val="en-US" w:eastAsia="zh-CN"/>
        </w:rPr>
        <w:t>塔城地区生态环境局托里县分局</w:t>
      </w:r>
    </w:p>
    <w:p>
      <w:pPr>
        <w:spacing w:line="700" w:lineRule="exact"/>
        <w:ind w:firstLine="360" w:firstLineChars="100"/>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主管部门（公章）：</w:t>
      </w:r>
      <w:r>
        <w:rPr>
          <w:rFonts w:hint="eastAsia" w:ascii="Times New Roman" w:hAnsi="Times New Roman" w:eastAsia="仿宋_GB2312" w:cs="Times New Roman"/>
          <w:kern w:val="0"/>
          <w:sz w:val="36"/>
          <w:szCs w:val="36"/>
          <w:lang w:val="en-US" w:eastAsia="zh-CN"/>
        </w:rPr>
        <w:t>自治区生态环境厅</w:t>
      </w:r>
    </w:p>
    <w:p>
      <w:pPr>
        <w:spacing w:line="700" w:lineRule="exact"/>
        <w:ind w:firstLine="360" w:firstLineChars="100"/>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项目负责人（签章）：</w:t>
      </w:r>
    </w:p>
    <w:p>
      <w:pPr>
        <w:spacing w:line="700" w:lineRule="exact"/>
        <w:ind w:firstLine="360" w:firstLineChars="100"/>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填报时间：</w:t>
      </w:r>
      <w:r>
        <w:rPr>
          <w:rFonts w:hint="eastAsia" w:ascii="Times New Roman" w:hAnsi="Times New Roman" w:eastAsia="仿宋_GB2312" w:cs="Times New Roman"/>
          <w:kern w:val="0"/>
          <w:sz w:val="36"/>
          <w:szCs w:val="36"/>
          <w:lang w:val="en-US" w:eastAsia="zh-CN"/>
        </w:rPr>
        <w:t>2024</w:t>
      </w:r>
      <w:r>
        <w:rPr>
          <w:rFonts w:ascii="Times New Roman" w:hAnsi="Times New Roman" w:eastAsia="仿宋_GB2312" w:cs="Times New Roman"/>
          <w:kern w:val="0"/>
          <w:sz w:val="36"/>
          <w:szCs w:val="36"/>
        </w:rPr>
        <w:t>年</w:t>
      </w:r>
      <w:r>
        <w:rPr>
          <w:rFonts w:hint="eastAsia" w:ascii="Times New Roman" w:hAnsi="Times New Roman" w:eastAsia="仿宋_GB2312" w:cs="Times New Roman"/>
          <w:kern w:val="0"/>
          <w:sz w:val="36"/>
          <w:szCs w:val="36"/>
          <w:lang w:val="en-US" w:eastAsia="zh-CN"/>
        </w:rPr>
        <w:t>2</w:t>
      </w:r>
      <w:r>
        <w:rPr>
          <w:rFonts w:ascii="Times New Roman" w:hAnsi="Times New Roman" w:eastAsia="仿宋_GB2312" w:cs="Times New Roman"/>
          <w:kern w:val="0"/>
          <w:sz w:val="36"/>
          <w:szCs w:val="36"/>
        </w:rPr>
        <w:t>月</w:t>
      </w:r>
      <w:r>
        <w:rPr>
          <w:rFonts w:hint="eastAsia" w:ascii="Times New Roman" w:hAnsi="Times New Roman" w:eastAsia="仿宋_GB2312" w:cs="Times New Roman"/>
          <w:kern w:val="0"/>
          <w:sz w:val="36"/>
          <w:szCs w:val="36"/>
          <w:lang w:val="en-US" w:eastAsia="zh-CN"/>
        </w:rPr>
        <w:t>18</w:t>
      </w:r>
      <w:r>
        <w:rPr>
          <w:rFonts w:ascii="Times New Roman" w:hAnsi="Times New Roman" w:eastAsia="仿宋_GB2312" w:cs="Times New Roman"/>
          <w:kern w:val="0"/>
          <w:sz w:val="36"/>
          <w:szCs w:val="36"/>
        </w:rPr>
        <w:t>日</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微软雅黑"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深入贯彻落实乡村振兴战略，巩固提升农村人居环境综合整治成果，打造布局美、环境美、生活美、产业美、风尚美的美丽宜居乡村，改善农村人居环境为突破口，以提升群众生活品质为落脚点，创新思路、全力打造一批留得住乡愁的美丽乡村，锚定美丽中国建设目标，坚持精准治污、科学治污、依法治污，根据经济社会高质量发展的新需求、人民群众对生态环境改善的新期待，加大对突出生态环境问题集中解决力度，加快推动生态环境质量改善从量变到质变。依据《中共中央国务院关于全面推进美丽中国建设的意见》，“十四五”深入攻坚，实现生态环境持续改善；“十五五”巩固拓展，实现生态环境全面改善；“十六五”整体提升，实现生态环境根本好转，要坚持做到一体开展美丽乡村建设工作。</w:t>
      </w:r>
    </w:p>
    <w:p>
      <w:pPr>
        <w:pStyle w:val="2"/>
        <w:numPr>
          <w:ilvl w:val="0"/>
          <w:numId w:val="1"/>
        </w:numPr>
        <w:spacing w:before="0" w:after="0" w:line="600" w:lineRule="exact"/>
        <w:ind w:firstLine="642" w:firstLineChars="200"/>
        <w:jc w:val="both"/>
        <w:rPr>
          <w:rFonts w:ascii="Times New Roman" w:hAnsi="Times New Roman" w:eastAsia="仿宋_GB2312"/>
          <w:kern w:val="2"/>
        </w:rPr>
      </w:pPr>
      <w:r>
        <w:rPr>
          <w:rFonts w:ascii="Times New Roman" w:hAnsi="Times New Roman" w:eastAsia="仿宋_GB2312"/>
          <w:kern w:val="2"/>
        </w:rPr>
        <w:t>项目主要内容：</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项目主要内容：塔城地区托里县多拉特乡基础设施改善农村污水治理项目；</w:t>
      </w:r>
    </w:p>
    <w:p>
      <w:pPr>
        <w:spacing w:line="600" w:lineRule="exact"/>
        <w:ind w:firstLine="640" w:firstLineChars="200"/>
        <w:rPr>
          <w:rFonts w:hint="default"/>
          <w:lang w:val="en-US"/>
        </w:rPr>
      </w:pPr>
      <w:r>
        <w:rPr>
          <w:rFonts w:eastAsia="仿宋_GB2312"/>
          <w:sz w:val="32"/>
          <w:szCs w:val="32"/>
        </w:rPr>
        <w:t>项目实施情况：</w:t>
      </w:r>
      <w:r>
        <w:rPr>
          <w:rFonts w:hint="eastAsia" w:ascii="仿宋_GB2312" w:hAnsi="仿宋_GB2312" w:eastAsia="仿宋_GB2312" w:cs="仿宋_GB2312"/>
          <w:sz w:val="32"/>
          <w:szCs w:val="32"/>
          <w:lang w:val="en-US" w:eastAsia="zh-CN"/>
        </w:rPr>
        <w:t>安装净化槽(一体化设备)10套，安装单户式生态滤池处理设施1682套，</w:t>
      </w:r>
      <w:r>
        <w:rPr>
          <w:rFonts w:hint="eastAsia" w:ascii="仿宋_GB2312" w:hAnsi="仿宋_GB2312" w:eastAsia="仿宋_GB2312" w:cs="仿宋_GB2312"/>
          <w:b w:val="0"/>
          <w:bCs w:val="0"/>
          <w:sz w:val="32"/>
          <w:szCs w:val="32"/>
          <w:highlight w:val="none"/>
          <w:lang w:val="en-US" w:eastAsia="zh-CN"/>
        </w:rPr>
        <w:t>覆盖村庄数13个，</w:t>
      </w:r>
      <w:r>
        <w:rPr>
          <w:rFonts w:hint="eastAsia" w:ascii="仿宋_GB2312" w:hAnsi="仿宋_GB2312" w:eastAsia="仿宋_GB2312" w:cs="仿宋_GB2312"/>
          <w:sz w:val="32"/>
          <w:szCs w:val="32"/>
          <w:lang w:val="en-US" w:eastAsia="zh-CN"/>
        </w:rPr>
        <w:t>受益人口6071人，覆盖户数1682户，完成2022年度自治区农村环境整治成效现场核查及跟踪评估项目</w:t>
      </w:r>
      <w:r>
        <w:rPr>
          <w:rFonts w:eastAsia="仿宋_GB2312"/>
          <w:sz w:val="32"/>
          <w:szCs w:val="32"/>
        </w:rPr>
        <w:t>，</w:t>
      </w:r>
      <w:r>
        <w:rPr>
          <w:rFonts w:hint="eastAsia" w:ascii="仿宋_GB2312" w:hAnsi="仿宋_GB2312" w:eastAsia="仿宋_GB2312" w:cs="仿宋_GB2312"/>
          <w:sz w:val="32"/>
          <w:szCs w:val="32"/>
          <w:lang w:val="en-US" w:eastAsia="zh-CN"/>
        </w:rPr>
        <w:t>支持地方发展建设农村生活污水设施,对农村环境整治工作经验与问题予以及时总结和处理，逐步提升地方农村环境质量。</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本项目总投资2970万元，其中：财政本级资金1970万元，统筹整合1000万元，项目实际支出2659.95万元，支出率为89.56%。</w:t>
      </w:r>
    </w:p>
    <w:p>
      <w:pPr>
        <w:spacing w:line="600" w:lineRule="exact"/>
        <w:ind w:firstLine="642"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w:t>
      </w:r>
      <w:r>
        <w:rPr>
          <w:rFonts w:hint="eastAsia" w:ascii="仿宋_GB2312" w:hAnsi="仿宋_GB2312" w:eastAsia="仿宋_GB2312" w:cs="仿宋_GB2312"/>
          <w:sz w:val="32"/>
          <w:szCs w:val="32"/>
          <w:highlight w:val="none"/>
          <w:lang w:val="en-US" w:eastAsia="zh-CN"/>
        </w:rPr>
        <w:t>投入情况</w:t>
      </w:r>
    </w:p>
    <w:p>
      <w:pPr>
        <w:spacing w:line="600" w:lineRule="exact"/>
        <w:ind w:firstLine="640" w:firstLineChars="200"/>
        <w:rPr>
          <w:rFonts w:eastAsia="仿宋_GB2312"/>
          <w:sz w:val="32"/>
          <w:szCs w:val="32"/>
        </w:rPr>
      </w:pPr>
      <w:r>
        <w:rPr>
          <w:rFonts w:hint="eastAsia" w:ascii="仿宋_GB2312" w:hAnsi="仿宋_GB2312" w:eastAsia="仿宋_GB2312" w:cs="仿宋_GB2312"/>
          <w:sz w:val="32"/>
          <w:szCs w:val="32"/>
          <w:highlight w:val="none"/>
          <w:lang w:val="en-US" w:eastAsia="zh-CN"/>
        </w:rPr>
        <w:t>该项目年初预算数2970万元，全年预算数2970万元，实际总投入2970万元，该项目资金已全部落实到位，资金来源为</w:t>
      </w:r>
      <w:r>
        <w:rPr>
          <w:rFonts w:hint="eastAsia" w:ascii="仿宋_GB2312" w:hAnsi="仿宋_GB2312" w:eastAsia="仿宋_GB2312" w:cs="仿宋_GB2312"/>
          <w:sz w:val="32"/>
          <w:szCs w:val="32"/>
          <w:lang w:val="en-US" w:eastAsia="zh-CN"/>
        </w:rPr>
        <w:t>财政本级资金、统筹整合资金。</w:t>
      </w:r>
    </w:p>
    <w:p>
      <w:pPr>
        <w:spacing w:line="600" w:lineRule="exact"/>
        <w:ind w:firstLine="640" w:firstLineChars="200"/>
        <w:rPr>
          <w:rFonts w:hint="default" w:eastAsia="仿宋_GB2312"/>
          <w:sz w:val="32"/>
          <w:szCs w:val="32"/>
          <w:lang w:val="en-US" w:eastAsia="zh-CN"/>
        </w:rPr>
      </w:pPr>
      <w:r>
        <w:rPr>
          <w:rFonts w:eastAsia="仿宋_GB2312"/>
          <w:sz w:val="32"/>
          <w:szCs w:val="32"/>
        </w:rPr>
        <w:t>（2）</w:t>
      </w:r>
      <w:bookmarkStart w:id="0" w:name="page10"/>
      <w:bookmarkEnd w:id="0"/>
      <w:r>
        <w:rPr>
          <w:rFonts w:hint="eastAsia" w:eastAsia="仿宋_GB2312"/>
          <w:sz w:val="32"/>
          <w:szCs w:val="32"/>
          <w:lang w:val="en-US" w:eastAsia="zh-CN"/>
        </w:rPr>
        <w:t>资金使用情况</w:t>
      </w:r>
    </w:p>
    <w:p>
      <w:pPr>
        <w:pStyle w:val="2"/>
        <w:spacing w:before="0" w:after="0" w:line="600" w:lineRule="exact"/>
        <w:ind w:firstLine="640" w:firstLineChars="200"/>
        <w:jc w:val="both"/>
        <w:rPr>
          <w:rFonts w:ascii="Times New Roman" w:hAnsi="Times New Roman" w:eastAsia="仿宋_GB2312" w:cs="Times New Roman"/>
          <w:b w:val="0"/>
          <w:bCs w:val="0"/>
          <w:kern w:val="2"/>
          <w:sz w:val="32"/>
          <w:szCs w:val="32"/>
          <w:lang w:val="en-US" w:eastAsia="zh-CN" w:bidi="ar-SA"/>
        </w:rPr>
      </w:pPr>
      <w:r>
        <w:rPr>
          <w:rFonts w:hint="eastAsia" w:ascii="仿宋_GB2312" w:hAnsi="仿宋_GB2312" w:eastAsia="仿宋_GB2312" w:cs="仿宋_GB2312"/>
          <w:b w:val="0"/>
          <w:bCs w:val="0"/>
          <w:sz w:val="32"/>
          <w:szCs w:val="32"/>
          <w:highlight w:val="none"/>
          <w:lang w:val="en-US" w:eastAsia="zh-CN"/>
        </w:rPr>
        <w:t>该项目年初预算数2970万元，全年预算数2970万元，</w:t>
      </w:r>
      <w:r>
        <w:rPr>
          <w:rFonts w:hint="eastAsia" w:ascii="Times New Roman" w:hAnsi="Times New Roman" w:eastAsia="仿宋_GB2312" w:cs="Times New Roman"/>
          <w:b w:val="0"/>
          <w:bCs w:val="0"/>
          <w:kern w:val="2"/>
          <w:sz w:val="32"/>
          <w:szCs w:val="32"/>
          <w:lang w:val="en-US" w:eastAsia="zh-CN" w:bidi="ar-SA"/>
        </w:rPr>
        <w:t>全年执行数2659.95万元，预算执行率为89.56%</w:t>
      </w:r>
      <w:r>
        <w:rPr>
          <w:rFonts w:ascii="Times New Roman" w:hAnsi="Times New Roman"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主要</w:t>
      </w:r>
      <w:r>
        <w:rPr>
          <w:rFonts w:ascii="Times New Roman" w:hAnsi="Times New Roman" w:eastAsia="仿宋_GB2312" w:cs="Times New Roman"/>
          <w:b w:val="0"/>
          <w:bCs w:val="0"/>
          <w:kern w:val="2"/>
          <w:sz w:val="32"/>
          <w:szCs w:val="32"/>
          <w:lang w:val="en-US" w:eastAsia="zh-CN" w:bidi="ar-SA"/>
        </w:rPr>
        <w:t>用于支付项目实施进程中的各项费用。</w:t>
      </w:r>
    </w:p>
    <w:p>
      <w:pPr>
        <w:spacing w:line="600" w:lineRule="exact"/>
        <w:ind w:firstLine="642"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依据农村人居环境整治提升五年行动方案（2021－2025年）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highlight w:val="none"/>
          <w:lang w:val="en-US" w:eastAsia="zh-CN"/>
        </w:rPr>
        <w:t>农村人居环境显著改善，生态宜居美丽乡村建设取得新进步。农村卫生厕所普及率稳步提高，厕所粪污基本得到有效处理；农村生活污水治理率不断提升，乱倒乱排得到管控；农村生活垃圾无害化处理水平明显提升，有条件的村庄实现生活垃圾分类、源头减量；农村人居环境治理水平显著提升，长效管护机制基本建立。</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2"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56"/>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76"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lang w:val="en-US" w:eastAsia="zh-CN"/>
        </w:rPr>
        <w:t>塔城地区托里县多拉特乡基础设施改善农村污水治理项目</w:t>
      </w:r>
      <w:r>
        <w:rPr>
          <w:rFonts w:hint="eastAsia" w:ascii="仿宋_GB2312" w:hAnsi="仿宋_GB2312" w:eastAsia="仿宋_GB2312" w:cs="仿宋_GB2312"/>
          <w:sz w:val="32"/>
          <w:szCs w:val="32"/>
          <w:highlight w:val="none"/>
          <w:lang w:val="en-US" w:eastAsia="zh-CN"/>
        </w:rPr>
        <w:t>及统筹整合</w:t>
      </w:r>
      <w:r>
        <w:rPr>
          <w:rFonts w:hint="eastAsia" w:ascii="仿宋_GB2312" w:hAnsi="仿宋_GB2312" w:eastAsia="仿宋_GB2312" w:cs="仿宋_GB2312"/>
          <w:sz w:val="32"/>
          <w:szCs w:val="32"/>
          <w:highlight w:val="none"/>
        </w:rPr>
        <w:t>所包含的全部项目建设内容。</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lang w:val="en-US" w:eastAsia="zh-CN"/>
        </w:rPr>
        <w:t>塔城地区托里县多拉特乡基础设施改善农村污水治理项目</w:t>
      </w:r>
      <w:r>
        <w:rPr>
          <w:rFonts w:hint="eastAsia" w:ascii="仿宋_GB2312" w:hAnsi="仿宋_GB2312" w:eastAsia="仿宋_GB2312" w:cs="仿宋_GB2312"/>
          <w:sz w:val="32"/>
          <w:szCs w:val="32"/>
        </w:rPr>
        <w:t>进行评价，评价核心为专项资金的支出完成情况和效果。</w:t>
      </w:r>
    </w:p>
    <w:p>
      <w:pPr>
        <w:spacing w:line="600" w:lineRule="exact"/>
        <w:ind w:firstLine="642" w:firstLineChars="200"/>
      </w:pPr>
      <w:r>
        <w:rPr>
          <w:rFonts w:eastAsia="楷体_GB2312"/>
          <w:b/>
          <w:bCs/>
          <w:sz w:val="32"/>
          <w:szCs w:val="32"/>
        </w:rPr>
        <w:t>（二）绩效评价原则、评价指标体系（详情见表1）、评价方法、评价标准。</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spacing w:line="600" w:lineRule="exact"/>
        <w:ind w:firstLine="708" w:firstLineChars="200"/>
        <w:rPr>
          <w:rFonts w:eastAsia="仿宋_GB2312"/>
          <w:color w:val="000000"/>
          <w:spacing w:val="17"/>
          <w:sz w:val="32"/>
          <w:szCs w:val="32"/>
        </w:rPr>
      </w:pPr>
      <w:bookmarkStart w:id="1" w:name="_Toc17882"/>
      <w:bookmarkStart w:id="2" w:name="_Toc31464"/>
      <w:r>
        <w:rPr>
          <w:rFonts w:hint="eastAsia" w:eastAsia="仿宋_GB2312"/>
          <w:color w:val="000000"/>
          <w:spacing w:val="17"/>
          <w:sz w:val="32"/>
          <w:szCs w:val="32"/>
        </w:rPr>
        <w:t>计划标准：指以预先制定的目标、计划、预算、定额等作为评价标准。</w:t>
      </w:r>
      <w:bookmarkEnd w:id="1"/>
      <w:bookmarkEnd w:id="2"/>
    </w:p>
    <w:p>
      <w:pPr>
        <w:spacing w:line="600" w:lineRule="exact"/>
        <w:ind w:firstLine="708" w:firstLineChars="200"/>
        <w:rPr>
          <w:rFonts w:eastAsia="仿宋_GB2312"/>
          <w:color w:val="000000"/>
          <w:spacing w:val="17"/>
          <w:sz w:val="32"/>
          <w:szCs w:val="32"/>
        </w:rPr>
      </w:pPr>
      <w:bookmarkStart w:id="3" w:name="_Toc5633"/>
      <w:bookmarkStart w:id="4" w:name="_Toc2318"/>
      <w:r>
        <w:rPr>
          <w:rFonts w:hint="eastAsia" w:eastAsia="仿宋_GB2312"/>
          <w:color w:val="000000"/>
          <w:spacing w:val="17"/>
          <w:sz w:val="32"/>
          <w:szCs w:val="32"/>
        </w:rPr>
        <w:t>行业标准：指参照国家公布的行业指标数据制定的评价标准。</w:t>
      </w:r>
      <w:bookmarkEnd w:id="3"/>
      <w:bookmarkEnd w:id="4"/>
    </w:p>
    <w:p>
      <w:pPr>
        <w:pStyle w:val="2"/>
        <w:numPr>
          <w:ilvl w:val="0"/>
          <w:numId w:val="3"/>
        </w:numPr>
        <w:spacing w:before="0" w:after="0" w:line="600" w:lineRule="exact"/>
        <w:ind w:firstLine="710"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2"/>
        <w:widowControl w:val="0"/>
        <w:spacing w:before="0" w:after="0" w:line="600" w:lineRule="exact"/>
        <w:ind w:firstLine="640" w:firstLineChars="200"/>
        <w:jc w:val="both"/>
        <w:outlineLvl w:val="9"/>
        <w:rPr>
          <w:rFonts w:ascii="Times New Roman" w:hAnsi="Times New Roman" w:eastAsia="仿宋_GB2312"/>
          <w:sz w:val="30"/>
          <w:szCs w:val="3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w:t>
      </w:r>
      <w:r>
        <w:rPr>
          <w:rFonts w:hint="eastAsia" w:ascii="Times New Roman" w:hAnsi="Times New Roman" w:eastAsia="仿宋_GB2312" w:cs="Times New Roman"/>
          <w:b w:val="0"/>
          <w:bCs w:val="0"/>
          <w:lang w:val="en-US" w:eastAsia="zh-CN"/>
        </w:rPr>
        <w:t>农村环境整治专项资金</w:t>
      </w:r>
      <w:r>
        <w:rPr>
          <w:rFonts w:ascii="Times New Roman" w:hAnsi="Times New Roman" w:eastAsia="仿宋_GB2312"/>
          <w:b w:val="0"/>
          <w:bCs w:val="0"/>
        </w:rPr>
        <w:t>项目</w:t>
      </w:r>
      <w:r>
        <w:rPr>
          <w:rFonts w:hint="eastAsia" w:ascii="Times New Roman" w:hAnsi="Times New Roman" w:eastAsia="仿宋_GB2312"/>
          <w:b w:val="0"/>
          <w:bCs w:val="0"/>
        </w:rPr>
        <w:t>进行客观评价，最终评分结果：</w:t>
      </w:r>
      <w:r>
        <w:rPr>
          <w:rFonts w:ascii="Times New Roman" w:hAnsi="Times New Roman" w:eastAsia="仿宋_GB2312"/>
          <w:b w:val="0"/>
          <w:bCs w:val="0"/>
        </w:rPr>
        <w:t>总得分为</w:t>
      </w:r>
      <w:r>
        <w:rPr>
          <w:rFonts w:hint="eastAsia" w:ascii="Times New Roman" w:hAnsi="Times New Roman" w:eastAsia="仿宋_GB2312"/>
          <w:b w:val="0"/>
          <w:bCs w:val="0"/>
          <w:lang w:val="en-US" w:eastAsia="zh-CN"/>
        </w:rPr>
        <w:t>99.58</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lang w:val="en-US" w:eastAsia="zh-CN"/>
        </w:rPr>
        <w:t>20</w:t>
      </w:r>
      <w:r>
        <w:rPr>
          <w:rFonts w:ascii="Times New Roman" w:hAnsi="Times New Roman" w:eastAsia="仿宋_GB2312"/>
          <w:b w:val="0"/>
          <w:bCs w:val="0"/>
        </w:rPr>
        <w:t>分，得分</w:t>
      </w:r>
      <w:r>
        <w:rPr>
          <w:rFonts w:hint="eastAsia" w:ascii="Times New Roman" w:hAnsi="Times New Roman" w:eastAsia="仿宋_GB2312" w:cs="Times New Roman"/>
          <w:b w:val="0"/>
          <w:bCs w:val="0"/>
        </w:rPr>
        <w:t>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19.58</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97.9</w:t>
      </w:r>
      <w:r>
        <w:rPr>
          <w:rFonts w:hint="eastAsia"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w:t>
      </w:r>
    </w:p>
    <w:p>
      <w:pPr>
        <w:pStyle w:val="2"/>
        <w:rPr>
          <w:rFonts w:ascii="Times New Roman" w:hAnsi="Times New Roman" w:eastAsia="仿宋_GB2312"/>
          <w:sz w:val="30"/>
          <w:szCs w:val="30"/>
        </w:rPr>
      </w:pPr>
    </w:p>
    <w:p>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highlight w:val="yellow"/>
              </w:rPr>
            </w:pPr>
            <w:r>
              <w:rPr>
                <w:rFonts w:hint="eastAsia" w:cs="Times New Roman"/>
                <w:color w:val="000000"/>
                <w:kern w:val="0"/>
                <w:sz w:val="22"/>
                <w:szCs w:val="22"/>
                <w:highlight w:val="none"/>
                <w:lang w:val="en-US" w:eastAsia="zh-CN"/>
              </w:rPr>
              <w:t>89.56</w:t>
            </w:r>
            <w:r>
              <w:rPr>
                <w:rFonts w:hint="eastAsia" w:ascii="Times New Roman" w:hAnsi="Times New Roman" w:eastAsia="宋体" w:cs="Times New Roman"/>
                <w:color w:val="000000"/>
                <w:kern w:val="0"/>
                <w:sz w:val="22"/>
                <w:szCs w:val="22"/>
                <w:highlight w:val="none"/>
                <w:lang w:val="en-US" w:eastAsia="zh-CN"/>
              </w:rPr>
              <w:t>%</w:t>
            </w:r>
          </w:p>
        </w:tc>
        <w:tc>
          <w:tcPr>
            <w:tcW w:w="1215"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89.56%</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ascii="Times New Roman" w:hAnsi="Times New Roman" w:eastAsia="宋体"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rFonts w:hint="eastAsia" w:ascii="Times New Roman" w:hAnsi="Times New Roman" w:eastAsia="宋体"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rFonts w:hint="eastAsia" w:ascii="Times New Roman" w:hAnsi="Times New Roman" w:eastAsia="宋体"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ascii="Times New Roman" w:hAnsi="Times New Roman" w:eastAsia="宋体" w:cs="Times New Roman"/>
                <w:color w:val="000000"/>
                <w:kern w:val="0"/>
                <w:sz w:val="22"/>
                <w:szCs w:val="22"/>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ascii="Times New Roman" w:hAnsi="Times New Roman" w:eastAsia="宋体" w:cs="Times New Roman"/>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1215"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ascii="Times New Roman" w:hAnsi="Times New Roman" w:eastAsia="宋体" w:cs="Times New Roman"/>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yellow"/>
              </w:rPr>
            </w:pPr>
            <w:r>
              <w:rPr>
                <w:rFonts w:ascii="Times New Roman" w:hAnsi="Times New Roman" w:eastAsia="宋体" w:cs="Times New Roman"/>
                <w:color w:val="000000"/>
                <w:kern w:val="0"/>
                <w:sz w:val="22"/>
                <w:szCs w:val="22"/>
              </w:rPr>
              <w:t>≥</w:t>
            </w:r>
            <w:r>
              <w:rPr>
                <w:rFonts w:hint="eastAsia" w:ascii="Times New Roman" w:hAnsi="Times New Roman" w:eastAsia="宋体" w:cs="Times New Roman"/>
                <w:color w:val="000000"/>
                <w:kern w:val="0"/>
                <w:sz w:val="22"/>
                <w:szCs w:val="22"/>
                <w:lang w:val="en-US" w:eastAsia="zh-CN"/>
              </w:rPr>
              <w:t>90</w:t>
            </w:r>
            <w:r>
              <w:rPr>
                <w:rFonts w:ascii="Times New Roman" w:hAnsi="Times New Roman" w:eastAsia="宋体" w:cs="Times New Roman"/>
                <w:color w:val="000000"/>
                <w:kern w:val="0"/>
                <w:sz w:val="22"/>
                <w:szCs w:val="22"/>
              </w:rPr>
              <w:t>%</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ascii="Times New Roman" w:hAnsi="Times New Roman" w:eastAsia="宋体" w:cs="Times New Roman"/>
                <w:b w:val="0"/>
                <w:bCs w:val="0"/>
                <w:color w:val="000000"/>
                <w:kern w:val="0"/>
                <w:sz w:val="22"/>
                <w:szCs w:val="22"/>
                <w:highlight w:val="none"/>
                <w:lang w:val="en-US" w:eastAsia="zh-CN" w:bidi="ar-SA"/>
              </w:rPr>
              <w:t>91.23</w:t>
            </w:r>
            <w:r>
              <w:rPr>
                <w:rFonts w:hint="eastAsia" w:cs="Times New Roman"/>
                <w:b w:val="0"/>
                <w:bCs w:val="0"/>
                <w:color w:val="000000"/>
                <w:kern w:val="0"/>
                <w:sz w:val="22"/>
                <w:szCs w:val="22"/>
                <w:lang w:val="en-US" w:eastAsia="zh-CN" w:bidi="ar-SA"/>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eastAsia="zh-CN"/>
              </w:rPr>
            </w:pPr>
            <w:r>
              <w:rPr>
                <w:rFonts w:hint="eastAsia" w:ascii="Times New Roman" w:hAnsi="Times New Roman" w:eastAsia="宋体" w:cs="Times New Roman"/>
                <w:color w:val="000000"/>
                <w:kern w:val="0"/>
                <w:sz w:val="22"/>
                <w:szCs w:val="22"/>
                <w:highlight w:val="none"/>
                <w:lang w:val="en-US" w:eastAsia="zh-CN"/>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2"/>
        <w:spacing w:before="0" w:after="0" w:line="560" w:lineRule="exact"/>
        <w:ind w:firstLine="642"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5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pStyle w:val="2"/>
        <w:keepNext w:val="0"/>
        <w:keepLines w:val="0"/>
        <w:pageBreakBefore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b w:val="0"/>
          <w:bCs w:val="0"/>
          <w:kern w:val="2"/>
          <w:sz w:val="30"/>
          <w:szCs w:val="30"/>
          <w:highlight w:val="none"/>
          <w:lang w:val="en-US" w:eastAsia="zh-CN" w:bidi="ar-SA"/>
        </w:rPr>
      </w:pPr>
      <w:r>
        <w:rPr>
          <w:rFonts w:hint="eastAsia" w:ascii="仿宋_GB2312" w:hAnsi="仿宋_GB2312" w:eastAsia="仿宋_GB2312" w:cs="仿宋_GB2312"/>
          <w:b w:val="0"/>
          <w:bCs w:val="0"/>
          <w:kern w:val="2"/>
          <w:sz w:val="30"/>
          <w:szCs w:val="30"/>
          <w:highlight w:val="none"/>
          <w:lang w:val="en-US" w:eastAsia="zh-CN" w:bidi="ar-SA"/>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pStyle w:val="2"/>
        <w:keepNext w:val="0"/>
        <w:keepLines w:val="0"/>
        <w:pageBreakBefore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b w:val="0"/>
          <w:bCs w:val="0"/>
          <w:kern w:val="2"/>
          <w:sz w:val="30"/>
          <w:szCs w:val="30"/>
          <w:highlight w:val="none"/>
          <w:lang w:val="en-US" w:eastAsia="zh-CN" w:bidi="ar-SA"/>
        </w:rPr>
      </w:pPr>
      <w:r>
        <w:rPr>
          <w:rFonts w:hint="eastAsia" w:ascii="仿宋_GB2312" w:hAnsi="仿宋_GB2312" w:eastAsia="仿宋_GB2312" w:cs="仿宋_GB2312"/>
          <w:b w:val="0"/>
          <w:bCs w:val="0"/>
          <w:kern w:val="2"/>
          <w:sz w:val="30"/>
          <w:szCs w:val="30"/>
          <w:highlight w:val="none"/>
          <w:lang w:val="en-US" w:eastAsia="zh-CN" w:bidi="ar-SA"/>
        </w:rPr>
        <w:t>项目申请、设立过程符合相关要求，</w:t>
      </w:r>
      <w:r>
        <w:rPr>
          <w:rFonts w:hint="eastAsia" w:ascii="仿宋_GB2312" w:hAnsi="仿宋_GB2312" w:eastAsia="仿宋_GB2312" w:cs="仿宋_GB2312"/>
          <w:b w:val="0"/>
          <w:bCs w:val="0"/>
          <w:kern w:val="2"/>
          <w:sz w:val="30"/>
          <w:szCs w:val="30"/>
          <w:highlight w:val="none"/>
          <w:lang w:val="en-US" w:eastAsia="zh-Hans" w:bidi="ar-SA"/>
        </w:rPr>
        <w:t>严格按照审批流程准备符合要求的文件、材料；</w:t>
      </w:r>
      <w:r>
        <w:rPr>
          <w:rFonts w:hint="eastAsia" w:ascii="仿宋_GB2312" w:hAnsi="仿宋_GB2312" w:eastAsia="仿宋_GB2312" w:cs="仿宋_GB2312"/>
          <w:b w:val="0"/>
          <w:bCs w:val="0"/>
          <w:kern w:val="2"/>
          <w:sz w:val="30"/>
          <w:szCs w:val="30"/>
          <w:highlight w:val="none"/>
          <w:lang w:val="en-US" w:eastAsia="zh-CN" w:bidi="ar-SA"/>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5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pStyle w:val="2"/>
        <w:keepNext w:val="0"/>
        <w:keepLines w:val="0"/>
        <w:pageBreakBefore w:val="0"/>
        <w:kinsoku/>
        <w:wordWrap/>
        <w:overflowPunct/>
        <w:topLinePunct w:val="0"/>
        <w:autoSpaceDE/>
        <w:autoSpaceDN/>
        <w:bidi w:val="0"/>
        <w:adjustRightInd/>
        <w:snapToGrid/>
        <w:spacing w:line="560" w:lineRule="exact"/>
        <w:ind w:firstLine="320" w:firstLineChars="1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项目设置了明确的预期产出效益和效果，将绩效目标细化分解为具体的绩效指标，绩效目标与项目目标任务数相对应，绩效目标设定的绩效指标清晰、细化、可衡量。</w:t>
      </w:r>
    </w:p>
    <w:p>
      <w:pPr>
        <w:pStyle w:val="5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实际得分19.58分，得分率为97.9%。</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5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总投资2970万元，财政资金及时足额到位，到位率100%，</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预算资金支出2659.95万元，预算执行率为89.56%。</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pStyle w:val="2"/>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5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Style w:val="24"/>
          <w:rFonts w:eastAsia="仿宋"/>
          <w:b w:val="0"/>
          <w:spacing w:val="-4"/>
          <w:sz w:val="32"/>
          <w:szCs w:val="32"/>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实际得分40分，得分率为100%。</w:t>
      </w:r>
      <w:r>
        <w:rPr>
          <w:rFonts w:hint="eastAsia" w:ascii="仿宋_GB2312" w:hAnsi="仿宋_GB2312" w:eastAsia="仿宋_GB2312" w:cs="仿宋_GB2312"/>
          <w:sz w:val="32"/>
          <w:szCs w:val="32"/>
          <w:lang w:val="en-US" w:eastAsia="zh-CN"/>
        </w:rPr>
        <w:t>具体产出指标完成情况如下：</w:t>
      </w:r>
    </w:p>
    <w:p>
      <w:pPr>
        <w:spacing w:line="600" w:lineRule="exact"/>
        <w:ind w:firstLine="640" w:firstLineChars="200"/>
        <w:rPr>
          <w:rStyle w:val="24"/>
          <w:rFonts w:eastAsia="仿宋"/>
          <w:b w:val="0"/>
          <w:spacing w:val="-4"/>
          <w:sz w:val="32"/>
          <w:szCs w:val="32"/>
        </w:rPr>
      </w:pPr>
      <w:r>
        <w:rPr>
          <w:rFonts w:hint="eastAsia" w:ascii="仿宋_GB2312" w:hAnsi="仿宋_GB2312" w:eastAsia="仿宋_GB2312" w:cs="仿宋_GB2312"/>
          <w:sz w:val="32"/>
          <w:szCs w:val="32"/>
          <w:highlight w:val="none"/>
          <w:lang w:val="en-US" w:eastAsia="zh-CN"/>
        </w:rPr>
        <w:t>①</w:t>
      </w:r>
      <w:r>
        <w:rPr>
          <w:rStyle w:val="24"/>
          <w:rFonts w:eastAsia="仿宋"/>
          <w:b w:val="0"/>
          <w:spacing w:val="-4"/>
          <w:sz w:val="32"/>
          <w:szCs w:val="32"/>
        </w:rPr>
        <w:t>数量指标方面：</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整治村庄个数</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，指标值为≥7个，实际完成13个，完成率185.71%，偏差率85.71%，原因是为了</w:t>
      </w:r>
      <w:r>
        <w:rPr>
          <w:rFonts w:hint="eastAsia" w:ascii="仿宋_GB2312" w:hAnsi="仿宋_GB2312" w:eastAsia="仿宋_GB2312" w:cs="仿宋_GB2312"/>
          <w:sz w:val="32"/>
          <w:szCs w:val="32"/>
          <w:lang w:val="en-US" w:eastAsia="zh-CN"/>
        </w:rPr>
        <w:t>逐步提升地方农村环境质量</w:t>
      </w:r>
      <w:r>
        <w:rPr>
          <w:rFonts w:hint="eastAsia" w:ascii="仿宋_GB2312" w:hAnsi="仿宋_GB2312" w:eastAsia="仿宋_GB2312" w:cs="仿宋_GB2312"/>
          <w:b w:val="0"/>
          <w:bCs w:val="0"/>
          <w:kern w:val="2"/>
          <w:sz w:val="32"/>
          <w:szCs w:val="32"/>
          <w:highlight w:val="none"/>
          <w:lang w:val="en-US" w:eastAsia="zh-CN" w:bidi="ar-SA"/>
        </w:rPr>
        <w:t>，综合考虑增设村庄个数，下一步加强绩效前期设置准确性。</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lang w:val="en-US" w:eastAsia="zh-CN"/>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完成2022年度成效评估报告</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，指标值为≥1份，实际完成1份，完成率100%，偏差率0%。</w:t>
      </w:r>
    </w:p>
    <w:p>
      <w:pPr>
        <w:spacing w:line="600" w:lineRule="exact"/>
        <w:ind w:firstLine="640" w:firstLineChars="200"/>
        <w:rPr>
          <w:rStyle w:val="53"/>
          <w:rFonts w:ascii="Times New Roman" w:hAnsi="Times New Roman" w:cs="Times New Roman"/>
          <w:color w:val="auto"/>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Style w:val="53"/>
          <w:rFonts w:ascii="Times New Roman" w:hAnsi="Times New Roman" w:cs="Times New Roman"/>
          <w:color w:val="auto"/>
        </w:rPr>
        <w:t>质量指标方面：</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2022年度成效评估报告通过率</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b w:val="0"/>
          <w:bCs w:val="0"/>
          <w:kern w:val="2"/>
          <w:sz w:val="32"/>
          <w:szCs w:val="32"/>
          <w:highlight w:val="none"/>
          <w:lang w:val="en-US" w:eastAsia="zh-CN" w:bidi="ar-SA"/>
        </w:rPr>
        <w:t>指标值为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≥95%</w:t>
      </w:r>
      <w:r>
        <w:rPr>
          <w:rFonts w:hint="eastAsia" w:ascii="仿宋_GB2312" w:hAnsi="仿宋_GB2312" w:eastAsia="仿宋_GB2312" w:cs="仿宋_GB2312"/>
          <w:b w:val="0"/>
          <w:bCs w:val="0"/>
          <w:kern w:val="2"/>
          <w:sz w:val="32"/>
          <w:szCs w:val="32"/>
          <w:highlight w:val="none"/>
          <w:lang w:val="en-US" w:eastAsia="zh-CN" w:bidi="ar-SA"/>
        </w:rPr>
        <w:t>，实际完成100%，完成率105.26%，偏差率5.26%，原因是完成整治工作考核指标。</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Style w:val="53"/>
          <w:rFonts w:hint="eastAsia" w:cs="Times New Roman"/>
          <w:color w:val="auto"/>
          <w:lang w:val="en-US" w:eastAsia="zh-CN"/>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整治村庄验收通过率</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，指标值为≥95%，实际完成100%，完成率105.26%，偏差率5.26%，原因是整治村庄验收通过。</w:t>
      </w:r>
    </w:p>
    <w:p>
      <w:pPr>
        <w:pStyle w:val="12"/>
        <w:rPr>
          <w:rStyle w:val="53"/>
          <w:rFonts w:hint="default" w:ascii="Times New Roman" w:hAnsi="Times New Roman" w:cs="Times New Roman"/>
          <w:color w:val="auto"/>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Style w:val="53"/>
          <w:rFonts w:hint="eastAsia" w:cs="Times New Roman"/>
          <w:color w:val="auto"/>
          <w:lang w:val="en-US" w:eastAsia="zh-CN"/>
        </w:rPr>
        <w:t>时效指标方面:</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2022年度成效评估报告按期完成率</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，指标值为≥95%，实际完成100%，完成率105.26%，偏差率5.26%。原因是按期完成评估报告编制工作。</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整治村庄按期完成率</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，指标值为≥95%，实际完成100%，完成率105.26%，偏差率5.26%，原因是整治村庄按期完成。</w:t>
      </w:r>
    </w:p>
    <w:p>
      <w:pPr>
        <w:pStyle w:val="2"/>
        <w:ind w:firstLine="321" w:firstLineChars="100"/>
        <w:jc w:val="both"/>
        <w:rPr>
          <w:rFonts w:ascii="Times New Roman" w:hAnsi="Times New Roman"/>
        </w:rPr>
      </w:pPr>
      <w:r>
        <w:rPr>
          <w:rFonts w:hint="eastAsia" w:ascii="Times New Roman" w:hAnsi="Times New Roman" w:eastAsia="楷体_GB2312"/>
        </w:rPr>
        <w:t>（四）</w:t>
      </w:r>
      <w:r>
        <w:rPr>
          <w:rFonts w:ascii="Times New Roman" w:hAnsi="Times New Roman" w:eastAsia="楷体_GB2312"/>
        </w:rPr>
        <w:t>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5个三级指标构成，权重分为20分，实际得分20分，得分率为100%。</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Style w:val="53"/>
          <w:rFonts w:ascii="Times New Roman" w:hAnsi="Times New Roman" w:cs="Times New Roman"/>
          <w:color w:val="auto"/>
        </w:rPr>
      </w:pPr>
      <w:r>
        <w:rPr>
          <w:rFonts w:hint="eastAsia" w:ascii="仿宋_GB2312" w:hAnsi="仿宋_GB2312" w:eastAsia="仿宋_GB2312" w:cs="仿宋_GB2312"/>
          <w:sz w:val="32"/>
          <w:szCs w:val="32"/>
          <w:highlight w:val="none"/>
          <w:lang w:val="en-US" w:eastAsia="zh-CN"/>
        </w:rPr>
        <w:t>1.实施效益</w:t>
      </w:r>
    </w:p>
    <w:p>
      <w:pPr>
        <w:spacing w:line="600" w:lineRule="exact"/>
        <w:ind w:firstLine="640" w:firstLineChars="200"/>
        <w:rPr>
          <w:rStyle w:val="53"/>
          <w:rFonts w:ascii="Times New Roman" w:hAnsi="Times New Roman" w:cs="Times New Roman"/>
          <w:color w:val="auto"/>
        </w:rPr>
      </w:pPr>
      <w:r>
        <w:rPr>
          <w:rFonts w:hint="eastAsia" w:ascii="仿宋_GB2312" w:hAnsi="仿宋_GB2312" w:eastAsia="仿宋_GB2312" w:cs="仿宋_GB2312"/>
          <w:sz w:val="32"/>
          <w:szCs w:val="32"/>
          <w:highlight w:val="none"/>
          <w:lang w:val="en-US" w:eastAsia="zh-CN"/>
        </w:rPr>
        <w:t>①</w:t>
      </w:r>
      <w:r>
        <w:rPr>
          <w:rStyle w:val="53"/>
          <w:rFonts w:ascii="Times New Roman" w:hAnsi="Times New Roman" w:cs="Times New Roman"/>
          <w:color w:val="auto"/>
        </w:rPr>
        <w:t>社会效益指标方面：</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推进全区农村生态环境保护工作指标，指标值为逐步推进，实际</w:t>
      </w:r>
      <w:r>
        <w:rPr>
          <w:rFonts w:hint="default" w:ascii="仿宋_GB2312" w:hAnsi="仿宋_GB2312" w:eastAsia="仿宋_GB2312" w:cs="仿宋_GB2312"/>
          <w:b w:val="0"/>
          <w:bCs w:val="0"/>
          <w:kern w:val="2"/>
          <w:sz w:val="32"/>
          <w:szCs w:val="32"/>
          <w:highlight w:val="none"/>
          <w:lang w:val="en-US" w:eastAsia="zh-CN" w:bidi="ar-SA"/>
        </w:rPr>
        <w:t>情况为</w:t>
      </w:r>
      <w:r>
        <w:rPr>
          <w:rFonts w:hint="eastAsia" w:ascii="仿宋_GB2312" w:hAnsi="仿宋_GB2312" w:eastAsia="仿宋_GB2312" w:cs="仿宋_GB2312"/>
          <w:b w:val="0"/>
          <w:bCs w:val="0"/>
          <w:kern w:val="2"/>
          <w:sz w:val="32"/>
          <w:szCs w:val="32"/>
          <w:highlight w:val="none"/>
          <w:lang w:val="en-US" w:eastAsia="zh-CN" w:bidi="ar-SA"/>
        </w:rPr>
        <w:t>逐步推进，指标完成率100%，偏差率0%。</w:t>
      </w:r>
    </w:p>
    <w:p>
      <w:pPr>
        <w:spacing w:line="600" w:lineRule="exact"/>
        <w:ind w:firstLine="640" w:firstLineChars="200"/>
        <w:rPr>
          <w:rStyle w:val="53"/>
          <w:rFonts w:hint="eastAsia" w:ascii="Times New Roman" w:hAnsi="Times New Roman" w:cs="Times New Roman"/>
          <w:color w:val="auto"/>
        </w:rPr>
      </w:pPr>
      <w:r>
        <w:rPr>
          <w:rFonts w:hint="eastAsia" w:ascii="仿宋_GB2312" w:hAnsi="仿宋_GB2312" w:eastAsia="仿宋_GB2312" w:cs="仿宋_GB2312"/>
          <w:sz w:val="32"/>
          <w:szCs w:val="32"/>
          <w:highlight w:val="none"/>
          <w:lang w:val="en-US" w:eastAsia="zh-CN"/>
        </w:rPr>
        <w:t>②</w:t>
      </w:r>
      <w:r>
        <w:rPr>
          <w:rStyle w:val="53"/>
          <w:rFonts w:hint="eastAsia" w:ascii="Times New Roman" w:hAnsi="Times New Roman" w:cs="Times New Roman"/>
          <w:color w:val="auto"/>
          <w:lang w:val="en-US" w:eastAsia="zh-CN"/>
        </w:rPr>
        <w:t>生态效益指标</w:t>
      </w:r>
      <w:r>
        <w:rPr>
          <w:rStyle w:val="53"/>
          <w:rFonts w:ascii="Times New Roman" w:hAnsi="Times New Roman" w:cs="Times New Roman"/>
          <w:color w:val="auto"/>
        </w:rPr>
        <w:t>方面：</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Style w:val="53"/>
          <w:rFonts w:ascii="Times New Roman" w:hAnsi="Times New Roman" w:cs="Times New Roman"/>
          <w:color w:val="auto"/>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农村人居环境环境指标，指标值为有效改善，实际情况为有效改善，指标完成率100%，偏差率0%。</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农村环境治理管控</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b w:val="0"/>
          <w:bCs w:val="0"/>
          <w:kern w:val="2"/>
          <w:sz w:val="32"/>
          <w:szCs w:val="32"/>
          <w:highlight w:val="none"/>
          <w:lang w:val="en-US" w:eastAsia="zh-CN" w:bidi="ar-SA"/>
        </w:rPr>
        <w:t>指标值为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好</w:t>
      </w:r>
      <w:r>
        <w:rPr>
          <w:rFonts w:hint="eastAsia" w:ascii="仿宋_GB2312" w:hAnsi="仿宋_GB2312" w:eastAsia="仿宋_GB2312" w:cs="仿宋_GB2312"/>
          <w:b w:val="0"/>
          <w:bCs w:val="0"/>
          <w:kern w:val="2"/>
          <w:sz w:val="32"/>
          <w:szCs w:val="32"/>
          <w:highlight w:val="none"/>
          <w:lang w:val="en-US" w:eastAsia="zh-CN" w:bidi="ar-SA"/>
        </w:rPr>
        <w:t>，实际情况为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好</w:t>
      </w:r>
      <w:r>
        <w:rPr>
          <w:rFonts w:hint="eastAsia" w:ascii="仿宋_GB2312" w:hAnsi="仿宋_GB2312" w:eastAsia="仿宋_GB2312" w:cs="仿宋_GB2312"/>
          <w:b w:val="0"/>
          <w:bCs w:val="0"/>
          <w:kern w:val="2"/>
          <w:sz w:val="32"/>
          <w:szCs w:val="32"/>
          <w:highlight w:val="none"/>
          <w:lang w:val="en-US" w:eastAsia="zh-CN" w:bidi="ar-SA"/>
        </w:rPr>
        <w:t>，指标完成率100%，偏差率0%。</w:t>
      </w:r>
    </w:p>
    <w:p>
      <w:pPr>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Style w:val="53"/>
          <w:rFonts w:ascii="Times New Roman" w:hAnsi="Times New Roman" w:cs="Times New Roman"/>
          <w:color w:val="auto"/>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农村环境污染事件</w:t>
      </w:r>
      <w:r>
        <w:rPr>
          <w:rStyle w:val="53"/>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b w:val="0"/>
          <w:bCs w:val="0"/>
          <w:kern w:val="2"/>
          <w:sz w:val="32"/>
          <w:szCs w:val="32"/>
          <w:highlight w:val="none"/>
          <w:lang w:val="en-US" w:eastAsia="zh-CN" w:bidi="ar-SA"/>
        </w:rPr>
        <w:t>指标值为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无</w:t>
      </w:r>
      <w:r>
        <w:rPr>
          <w:rFonts w:hint="eastAsia" w:ascii="仿宋_GB2312" w:hAnsi="仿宋_GB2312" w:eastAsia="仿宋_GB2312" w:cs="仿宋_GB2312"/>
          <w:b w:val="0"/>
          <w:bCs w:val="0"/>
          <w:kern w:val="2"/>
          <w:sz w:val="32"/>
          <w:szCs w:val="32"/>
          <w:highlight w:val="none"/>
          <w:lang w:val="en-US" w:eastAsia="zh-CN" w:bidi="ar-SA"/>
        </w:rPr>
        <w:t>，实际情况为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无</w:t>
      </w:r>
      <w:r>
        <w:rPr>
          <w:rFonts w:hint="eastAsia" w:ascii="仿宋_GB2312" w:hAnsi="仿宋_GB2312" w:eastAsia="仿宋_GB2312" w:cs="仿宋_GB2312"/>
          <w:b w:val="0"/>
          <w:bCs w:val="0"/>
          <w:kern w:val="2"/>
          <w:sz w:val="32"/>
          <w:szCs w:val="32"/>
          <w:highlight w:val="none"/>
          <w:lang w:val="en-US" w:eastAsia="zh-CN" w:bidi="ar-SA"/>
        </w:rPr>
        <w:t>，指标完成率100%，偏差率0%。</w:t>
      </w:r>
    </w:p>
    <w:p>
      <w:pPr>
        <w:shd w:val="clear"/>
        <w:spacing w:line="600" w:lineRule="exact"/>
        <w:ind w:firstLine="640" w:firstLineChars="200"/>
        <w:outlineLvl w:val="0"/>
        <w:rPr>
          <w:rStyle w:val="53"/>
          <w:rFonts w:ascii="Times New Roman" w:hAnsi="Times New Roman" w:cs="Times New Roman"/>
          <w:color w:val="auto"/>
        </w:rPr>
      </w:pPr>
      <w:r>
        <w:rPr>
          <w:rFonts w:hint="eastAsia" w:ascii="仿宋_GB2312" w:hAnsi="仿宋_GB2312" w:eastAsia="仿宋_GB2312" w:cs="仿宋_GB2312"/>
          <w:sz w:val="32"/>
          <w:szCs w:val="32"/>
          <w:highlight w:val="none"/>
          <w:lang w:val="en-US" w:eastAsia="zh-CN"/>
        </w:rPr>
        <w:t>2.满意度</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满意度指标方面：</w:t>
      </w:r>
    </w:p>
    <w:p>
      <w:pPr>
        <w:pStyle w:val="2"/>
        <w:keepLines w:val="0"/>
        <w:pageBreakBefore w:val="0"/>
        <w:numPr>
          <w:ilvl w:val="0"/>
          <w:numId w:val="0"/>
        </w:numPr>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kern w:val="2"/>
          <w:sz w:val="32"/>
          <w:szCs w:val="32"/>
          <w:highlight w:val="none"/>
          <w:lang w:val="en-US" w:eastAsia="zh-CN" w:bidi="ar-SA"/>
        </w:rPr>
        <w:t>指标1：</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受益村庄群众满意度指标，指标值为≥90%，实际完成</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91.23</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%，完成率</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101.37</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%，偏差率</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1.37</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56"/>
        <w:spacing w:line="560" w:lineRule="exact"/>
        <w:ind w:firstLine="640"/>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2023</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项目年初预算</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2970</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万元，全年预算</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2970</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万元，实际支出</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2659.95</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万元，预算执行率为</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89.56</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%，项目绩效指标总体完成率为</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99.58</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highlight w:val="none"/>
          <w:lang w:val="en" w:eastAsia="zh-Hans" w:bidi="ar-SA"/>
          <w14:textFill>
            <w14:solidFill>
              <w14:schemeClr w14:val="tx1"/>
            </w14:solidFill>
          </w14:textFill>
        </w:rPr>
        <w:t>总体</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偏差率为</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0.42</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highlight w:val="none"/>
          <w:lang w:val="en" w:eastAsia="zh-Hans" w:bidi="ar-SA"/>
          <w14:textFill>
            <w14:solidFill>
              <w14:schemeClr w14:val="tx1"/>
            </w14:solidFill>
          </w14:textFill>
        </w:rPr>
        <w:t>偏差</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原因</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是为了逐步提升地方农村环境质量，综合考虑增设村庄个数</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highlight w:val="none"/>
          <w:lang w:val="en" w:eastAsia="zh-Hans" w:bidi="ar-SA"/>
          <w14:textFill>
            <w14:solidFill>
              <w14:schemeClr w14:val="tx1"/>
            </w14:solidFill>
          </w14:textFill>
        </w:rPr>
        <w:t>改进</w:t>
      </w:r>
      <w:r>
        <w:rPr>
          <w:rFonts w:hint="eastAsia" w:ascii="仿宋_GB2312" w:hAnsi="仿宋_GB2312" w:eastAsia="仿宋_GB2312" w:cs="仿宋_GB2312"/>
          <w:b w:val="0"/>
          <w:bCs w:val="0"/>
          <w:color w:val="000000" w:themeColor="text1"/>
          <w:kern w:val="2"/>
          <w:sz w:val="32"/>
          <w:szCs w:val="32"/>
          <w:highlight w:val="none"/>
          <w:lang w:val="en" w:eastAsia="zh-CN" w:bidi="ar-SA"/>
          <w14:textFill>
            <w14:solidFill>
              <w14:schemeClr w14:val="tx1"/>
            </w14:solidFill>
          </w14:textFill>
        </w:rPr>
        <w:t>措施</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是加强绩效前期设置准确性，减少前期调研阶段误差性，避免后期增加村庄个数。</w:t>
      </w:r>
    </w:p>
    <w:p>
      <w:pPr>
        <w:spacing w:line="560" w:lineRule="exact"/>
        <w:ind w:firstLine="640" w:firstLineChars="200"/>
        <w:rPr>
          <w:rFonts w:eastAsia="楷体"/>
          <w:b/>
          <w:spacing w:val="-4"/>
          <w:sz w:val="32"/>
          <w:szCs w:val="32"/>
        </w:rPr>
      </w:pPr>
      <w:r>
        <w:rPr>
          <w:rFonts w:hint="eastAsia" w:eastAsia="黑体"/>
          <w:sz w:val="32"/>
          <w:szCs w:val="32"/>
          <w:lang w:eastAsia="zh-Hans"/>
        </w:rPr>
        <w:t>六</w:t>
      </w:r>
      <w:r>
        <w:rPr>
          <w:rFonts w:eastAsia="黑体"/>
          <w:sz w:val="32"/>
          <w:szCs w:val="32"/>
        </w:rPr>
        <w:t>、主要经验及做法、存在的问题及原因分析</w:t>
      </w:r>
    </w:p>
    <w:p>
      <w:pPr>
        <w:spacing w:line="600" w:lineRule="exact"/>
        <w:ind w:firstLine="626"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2" w:firstLineChars="200"/>
        <w:rPr>
          <w:rFonts w:eastAsia="楷体_GB2312"/>
          <w:b/>
          <w:bCs/>
          <w:sz w:val="32"/>
          <w:szCs w:val="32"/>
        </w:rPr>
      </w:pPr>
      <w:r>
        <w:rPr>
          <w:rFonts w:eastAsia="楷体_GB2312"/>
          <w:b/>
          <w:bCs/>
          <w:sz w:val="32"/>
          <w:szCs w:val="32"/>
        </w:rPr>
        <w:t>存在的问题及原因分析</w:t>
      </w:r>
    </w:p>
    <w:p>
      <w:pPr>
        <w:pStyle w:val="2"/>
        <w:spacing w:before="0" w:after="0" w:line="600" w:lineRule="exact"/>
        <w:ind w:firstLine="640" w:firstLineChars="200"/>
        <w:jc w:val="both"/>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cs="Times New Roman"/>
          <w:b w:val="0"/>
          <w:bCs w:val="0"/>
          <w:kern w:val="2"/>
          <w:lang w:val="en-US" w:eastAsia="zh-CN"/>
        </w:rPr>
        <w:t>优化项目前期工作，加强督促、调度，加大项目资金的预算跟踪管理力度，明确项目时限，采用倒排工期，严格督促落实项目进度控制；在项目申报时，将综合考虑气候、环境等影响施工的不利因素，合理制定完工时限；同时避免年度申报项目前期手续办理周期对项目实施工作阶段的影响；加强项目验收绩效管理，确保完工项目按期完成验收，工程款项足额完成支付，项目及时发挥应有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eastAsia="黑体"/>
          <w:sz w:val="32"/>
          <w:szCs w:val="32"/>
        </w:rPr>
      </w:pPr>
      <w:r>
        <w:rPr>
          <w:rFonts w:hint="eastAsia" w:eastAsia="黑体"/>
          <w:sz w:val="32"/>
          <w:szCs w:val="32"/>
          <w:lang w:val="en-US" w:eastAsia="zh-CN"/>
        </w:rPr>
        <w:t>七、</w:t>
      </w: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lang w:val="en-US" w:eastAsia="zh-CN"/>
        </w:rPr>
        <w:t>1.</w:t>
      </w: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eastAsia="黑体"/>
          <w:sz w:val="32"/>
          <w:szCs w:val="32"/>
        </w:rPr>
      </w:pPr>
      <w:r>
        <w:rPr>
          <w:rFonts w:hint="eastAsia" w:ascii="仿宋_GB2312" w:hAnsi="仿宋_GB2312" w:eastAsia="仿宋_GB2312" w:cs="仿宋_GB2312"/>
          <w:sz w:val="32"/>
          <w:szCs w:val="32"/>
          <w:highlight w:val="none"/>
          <w:lang w:val="en-US" w:eastAsia="zh-CN"/>
        </w:rPr>
        <w:t>3.进一步完善项目评价过程中有关数据和资料的收集、整理、审核及分析。项目启动时同步做好档案的归纳与整理，及时整理、收集、汇总，健全档案资料。项目后续管理有待进一步加强和跟踪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5" w:name="page8"/>
      <w:bookmarkEnd w:id="5"/>
      <w:r>
        <w:rPr>
          <w:rFonts w:eastAsia="黑体"/>
          <w:sz w:val="32"/>
          <w:szCs w:val="32"/>
        </w:rPr>
        <w:t>明的问题</w:t>
      </w:r>
    </w:p>
    <w:p>
      <w:pPr>
        <w:pStyle w:val="21"/>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21"/>
        <w:widowControl w:val="0"/>
        <w:numPr>
          <w:ilvl w:val="0"/>
          <w:numId w:val="0"/>
        </w:numPr>
        <w:spacing w:after="120"/>
        <w:jc w:val="both"/>
        <w:rPr>
          <w:rFonts w:eastAsia="黑体"/>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22"/>
        <w:tblW w:w="1437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8"/>
        <w:gridCol w:w="606"/>
        <w:gridCol w:w="988"/>
        <w:gridCol w:w="2258"/>
        <w:gridCol w:w="571"/>
        <w:gridCol w:w="771"/>
        <w:gridCol w:w="800"/>
        <w:gridCol w:w="886"/>
        <w:gridCol w:w="714"/>
        <w:gridCol w:w="1200"/>
        <w:gridCol w:w="1000"/>
        <w:gridCol w:w="1429"/>
        <w:gridCol w:w="971"/>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372"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37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308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自治区农村环境整治染防治专项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53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新疆维吾尔自治区生态环境厅</w:t>
            </w:r>
          </w:p>
        </w:tc>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61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塔城地区生态环境局托里县分局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32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2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2970.00 </w:t>
            </w: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2970.00 </w:t>
            </w:r>
          </w:p>
        </w:tc>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2659.95</w:t>
            </w:r>
          </w:p>
        </w:tc>
        <w:tc>
          <w:tcPr>
            <w:tcW w:w="2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89.56%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2970.00 </w:t>
            </w: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2970.00 </w:t>
            </w:r>
          </w:p>
        </w:tc>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599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7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99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了推进农村生活污水治理，改善农村人居环境，支持开展塔城地区托里县多拉特乡基础设施改善农村污水治理项目，2022年度自治区农村环境整治成效现场核查及跟踪评估项目，在支持地方发展建设农村生活污水设施的同时，对农村环境整治工作经验与问题予以及时总结和处理，逐步提升地方农村环境质量。</w:t>
            </w:r>
          </w:p>
        </w:tc>
        <w:tc>
          <w:tcPr>
            <w:tcW w:w="7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54"/>
                <w:lang w:val="en-US" w:eastAsia="zh-CN" w:bidi="ar"/>
              </w:rPr>
              <w:t>托里县多拉特乡(乡镇府、派出所、供电所)及阿克塞村、萨依巴克村、塔克勒根村、阿勒玛勒村、加玛特村、乎吉尔台村、喀拉苏村、加尔巴斯村、拜克托别村、多拉特村、拜亭奇村、居玛拜村、加郎阿什村等13个村。项目实施从根本上补齐生活污水治理短板</w:t>
            </w:r>
            <w:r>
              <w:rPr>
                <w:rStyle w:val="54"/>
                <w:color w:val="auto"/>
                <w:lang w:val="en-US" w:eastAsia="zh-CN" w:bidi="ar"/>
              </w:rPr>
              <w:t>，解决</w:t>
            </w:r>
            <w:r>
              <w:rPr>
                <w:rStyle w:val="55"/>
                <w:color w:val="auto"/>
                <w:lang w:val="en-US" w:eastAsia="zh-CN" w:bidi="ar"/>
              </w:rPr>
              <w:t>了</w:t>
            </w:r>
            <w:r>
              <w:rPr>
                <w:rStyle w:val="54"/>
                <w:color w:val="auto"/>
                <w:lang w:val="en-US" w:eastAsia="zh-CN" w:bidi="ar"/>
              </w:rPr>
              <w:t>目</w:t>
            </w:r>
            <w:r>
              <w:rPr>
                <w:rStyle w:val="54"/>
                <w:lang w:val="en-US" w:eastAsia="zh-CN" w:bidi="ar"/>
              </w:rPr>
              <w:t>前主要依靠渗坑处置污水而造成地下水污染问题，对农村环境整治工作经验与问题予以及时总结和处理，逐</w:t>
            </w:r>
            <w:r>
              <w:rPr>
                <w:rStyle w:val="54"/>
                <w:color w:val="auto"/>
                <w:lang w:val="en-US" w:eastAsia="zh-CN" w:bidi="ar"/>
              </w:rPr>
              <w:t>步提升</w:t>
            </w:r>
            <w:r>
              <w:rPr>
                <w:rStyle w:val="55"/>
                <w:color w:val="auto"/>
                <w:lang w:val="en-US" w:eastAsia="zh-CN" w:bidi="ar"/>
              </w:rPr>
              <w:t>了</w:t>
            </w:r>
            <w:r>
              <w:rPr>
                <w:rStyle w:val="54"/>
                <w:color w:val="auto"/>
                <w:lang w:val="en-US" w:eastAsia="zh-CN" w:bidi="ar"/>
              </w:rPr>
              <w:t>地方农村环</w:t>
            </w:r>
            <w:r>
              <w:rPr>
                <w:rStyle w:val="54"/>
                <w:lang w:val="en-US" w:eastAsia="zh-CN" w:bidi="ar"/>
              </w:rPr>
              <w:t>境质量。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14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指标1：整治村庄个数</w:t>
            </w:r>
          </w:p>
        </w:tc>
        <w:tc>
          <w:tcPr>
            <w:tcW w:w="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13个</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185.71%</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为了逐步提升地方农村环境质量，综合考虑增设村庄个数，下一步加强绩效前期设置准确性。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指标2：完成2022年度成效评估报告</w:t>
            </w:r>
          </w:p>
        </w:tc>
        <w:tc>
          <w:tcPr>
            <w:tcW w:w="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≥1份</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1份</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指标1：2022年度成效评估报告通过率</w:t>
            </w:r>
          </w:p>
        </w:tc>
        <w:tc>
          <w:tcPr>
            <w:tcW w:w="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9.47</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完成整治工作考核指标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指标2：整治村庄验收通过率</w:t>
            </w:r>
          </w:p>
        </w:tc>
        <w:tc>
          <w:tcPr>
            <w:tcW w:w="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9.47</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整治村庄验收通过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指标1：2022年度成效评估报告按期完成率</w:t>
            </w:r>
          </w:p>
        </w:tc>
        <w:tc>
          <w:tcPr>
            <w:tcW w:w="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按期完成评估报告编制工作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指标2：整治村庄按期完成率</w:t>
            </w:r>
          </w:p>
        </w:tc>
        <w:tc>
          <w:tcPr>
            <w:tcW w:w="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整治村庄按期完成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指标1：推进全区农村生态环境保护工作</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逐步推进</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逐步推进</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指标1：农村人居环境环境</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指标2：农村环境治理管控</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指标3：农村环境污染事件</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指标1：受益村庄群众满意度</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91.23%</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101.37%</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530"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71"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109.83%</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87.24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2"/>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ascii="Times New Roman" w:hAnsi="Times New Roman" w:eastAsia="宋体"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5</w:t>
            </w:r>
          </w:p>
        </w:tc>
      </w:tr>
    </w:tbl>
    <w:p>
      <w:pPr>
        <w:pStyle w:val="2"/>
        <w:rPr>
          <w:rFonts w:ascii="Times New Roman" w:hAnsi="Times New Roman"/>
        </w:rPr>
      </w:pPr>
    </w:p>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rPr>
          <w:rStyle w:val="24"/>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微软简标宋">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17</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revisionView w:markup="0"/>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NzEzNmQwYTRmNWQ5NTdhZjI0M2Q0NjE3M2ZiNDcifQ=="/>
  </w:docVars>
  <w:rsids>
    <w:rsidRoot w:val="00CA6457"/>
    <w:rsid w:val="00056465"/>
    <w:rsid w:val="000E50F0"/>
    <w:rsid w:val="000E586C"/>
    <w:rsid w:val="00121AE4"/>
    <w:rsid w:val="00136767"/>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12A4E2C"/>
    <w:rsid w:val="01C40A3B"/>
    <w:rsid w:val="02845B74"/>
    <w:rsid w:val="051A56F5"/>
    <w:rsid w:val="056B4BE8"/>
    <w:rsid w:val="066D6EAA"/>
    <w:rsid w:val="06B17456"/>
    <w:rsid w:val="06DC1681"/>
    <w:rsid w:val="08A06D74"/>
    <w:rsid w:val="08B5685D"/>
    <w:rsid w:val="08C662D4"/>
    <w:rsid w:val="091C574E"/>
    <w:rsid w:val="09BD4D95"/>
    <w:rsid w:val="0A753090"/>
    <w:rsid w:val="0AA879D3"/>
    <w:rsid w:val="0B0F58D6"/>
    <w:rsid w:val="0B635F2E"/>
    <w:rsid w:val="0BA54B88"/>
    <w:rsid w:val="0C305D4D"/>
    <w:rsid w:val="0D1E2E99"/>
    <w:rsid w:val="0F8D41CB"/>
    <w:rsid w:val="0FEE2F21"/>
    <w:rsid w:val="100F5919"/>
    <w:rsid w:val="10E21DA4"/>
    <w:rsid w:val="11C75270"/>
    <w:rsid w:val="12637CC3"/>
    <w:rsid w:val="12B83939"/>
    <w:rsid w:val="12E657C5"/>
    <w:rsid w:val="133C6E2A"/>
    <w:rsid w:val="13824654"/>
    <w:rsid w:val="14670853"/>
    <w:rsid w:val="14CD7045"/>
    <w:rsid w:val="1525188F"/>
    <w:rsid w:val="15C60B23"/>
    <w:rsid w:val="15F829AC"/>
    <w:rsid w:val="161C2E01"/>
    <w:rsid w:val="167C7687"/>
    <w:rsid w:val="168B3546"/>
    <w:rsid w:val="192D2175"/>
    <w:rsid w:val="19BE4F9F"/>
    <w:rsid w:val="19D63004"/>
    <w:rsid w:val="1A2374E0"/>
    <w:rsid w:val="1B6A187F"/>
    <w:rsid w:val="1BB47375"/>
    <w:rsid w:val="1C317CE2"/>
    <w:rsid w:val="1CF3211F"/>
    <w:rsid w:val="1DD45808"/>
    <w:rsid w:val="1DED42AC"/>
    <w:rsid w:val="1E4E1D03"/>
    <w:rsid w:val="1EA20A33"/>
    <w:rsid w:val="20005763"/>
    <w:rsid w:val="20FB313D"/>
    <w:rsid w:val="21701EF5"/>
    <w:rsid w:val="220B4804"/>
    <w:rsid w:val="22F369D5"/>
    <w:rsid w:val="23DC45C3"/>
    <w:rsid w:val="2439207C"/>
    <w:rsid w:val="26DF1BA5"/>
    <w:rsid w:val="278B653F"/>
    <w:rsid w:val="282475E3"/>
    <w:rsid w:val="29E421D9"/>
    <w:rsid w:val="2AEB17BD"/>
    <w:rsid w:val="2B25798C"/>
    <w:rsid w:val="2BA97AC4"/>
    <w:rsid w:val="2C6100C1"/>
    <w:rsid w:val="2EED2E72"/>
    <w:rsid w:val="3235157C"/>
    <w:rsid w:val="3264220D"/>
    <w:rsid w:val="32A83563"/>
    <w:rsid w:val="33CF6938"/>
    <w:rsid w:val="342C582E"/>
    <w:rsid w:val="367E60DF"/>
    <w:rsid w:val="381B22F3"/>
    <w:rsid w:val="38872456"/>
    <w:rsid w:val="3963178C"/>
    <w:rsid w:val="3A195B58"/>
    <w:rsid w:val="3ACD3A38"/>
    <w:rsid w:val="3B2C5C74"/>
    <w:rsid w:val="3BA5236D"/>
    <w:rsid w:val="3CED0699"/>
    <w:rsid w:val="3CEF440A"/>
    <w:rsid w:val="3DF32DF4"/>
    <w:rsid w:val="3E2D6D99"/>
    <w:rsid w:val="3EB02FD6"/>
    <w:rsid w:val="3EDB27A7"/>
    <w:rsid w:val="41434B73"/>
    <w:rsid w:val="418238EE"/>
    <w:rsid w:val="41CC2676"/>
    <w:rsid w:val="42072A1C"/>
    <w:rsid w:val="4232605B"/>
    <w:rsid w:val="42426A60"/>
    <w:rsid w:val="425D19CE"/>
    <w:rsid w:val="42D9578F"/>
    <w:rsid w:val="436371C9"/>
    <w:rsid w:val="463C702F"/>
    <w:rsid w:val="46B21672"/>
    <w:rsid w:val="46B8631C"/>
    <w:rsid w:val="479C3CAB"/>
    <w:rsid w:val="480B000A"/>
    <w:rsid w:val="4B405562"/>
    <w:rsid w:val="4BCC28E9"/>
    <w:rsid w:val="4CFD094D"/>
    <w:rsid w:val="4F552460"/>
    <w:rsid w:val="4FCC6863"/>
    <w:rsid w:val="4FD25A40"/>
    <w:rsid w:val="500A214A"/>
    <w:rsid w:val="522D604D"/>
    <w:rsid w:val="5297585E"/>
    <w:rsid w:val="52AD7D6F"/>
    <w:rsid w:val="5549519D"/>
    <w:rsid w:val="5557596B"/>
    <w:rsid w:val="56540004"/>
    <w:rsid w:val="57515A24"/>
    <w:rsid w:val="58C425E6"/>
    <w:rsid w:val="591611D6"/>
    <w:rsid w:val="59605E6B"/>
    <w:rsid w:val="5A267B08"/>
    <w:rsid w:val="5A5176A6"/>
    <w:rsid w:val="5A7A3942"/>
    <w:rsid w:val="5B19553C"/>
    <w:rsid w:val="5B596DFC"/>
    <w:rsid w:val="5DAE6D00"/>
    <w:rsid w:val="5DF03945"/>
    <w:rsid w:val="5F03526B"/>
    <w:rsid w:val="60D27E15"/>
    <w:rsid w:val="61143F11"/>
    <w:rsid w:val="6193755F"/>
    <w:rsid w:val="6217766E"/>
    <w:rsid w:val="62E515AF"/>
    <w:rsid w:val="63261F05"/>
    <w:rsid w:val="637C2815"/>
    <w:rsid w:val="63B429E0"/>
    <w:rsid w:val="666B4FDC"/>
    <w:rsid w:val="66A17AC3"/>
    <w:rsid w:val="672A7051"/>
    <w:rsid w:val="67FF13C8"/>
    <w:rsid w:val="682144B7"/>
    <w:rsid w:val="68DE4FFE"/>
    <w:rsid w:val="69D26926"/>
    <w:rsid w:val="6A757C9B"/>
    <w:rsid w:val="6AF7701F"/>
    <w:rsid w:val="6B503F77"/>
    <w:rsid w:val="6E311968"/>
    <w:rsid w:val="6E5A4A01"/>
    <w:rsid w:val="6FEF2100"/>
    <w:rsid w:val="702A4241"/>
    <w:rsid w:val="71C6395B"/>
    <w:rsid w:val="72E17BC5"/>
    <w:rsid w:val="72ED47BB"/>
    <w:rsid w:val="74235B3B"/>
    <w:rsid w:val="7537540A"/>
    <w:rsid w:val="7576603D"/>
    <w:rsid w:val="7A353D0B"/>
    <w:rsid w:val="7CB927D8"/>
    <w:rsid w:val="7D3A5E2F"/>
    <w:rsid w:val="7D747171"/>
    <w:rsid w:val="7E3F7E95"/>
    <w:rsid w:val="BAFF2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Normal Indent"/>
    <w:basedOn w:val="1"/>
    <w:semiHidden/>
    <w:unhideWhenUsed/>
    <w:qFormat/>
    <w:uiPriority w:val="99"/>
    <w:pPr>
      <w:ind w:firstLine="420" w:firstLineChars="200"/>
    </w:pPr>
  </w:style>
  <w:style w:type="paragraph" w:styleId="13">
    <w:name w:val="annotation text"/>
    <w:basedOn w:val="1"/>
    <w:qFormat/>
    <w:uiPriority w:val="0"/>
    <w:pPr>
      <w:jc w:val="left"/>
    </w:pPr>
  </w:style>
  <w:style w:type="paragraph" w:styleId="14">
    <w:name w:val="Body Text"/>
    <w:basedOn w:val="1"/>
    <w:qFormat/>
    <w:uiPriority w:val="0"/>
    <w:pPr>
      <w:spacing w:after="120"/>
    </w:pPr>
  </w:style>
  <w:style w:type="paragraph" w:styleId="15">
    <w:name w:val="Body Text Indent"/>
    <w:basedOn w:val="1"/>
    <w:qFormat/>
    <w:uiPriority w:val="0"/>
    <w:pPr>
      <w:spacing w:after="120"/>
      <w:ind w:left="420" w:leftChars="200"/>
    </w:pPr>
    <w:rPr>
      <w:rFonts w:ascii="Calibri" w:hAnsi="Calibri"/>
    </w:rPr>
  </w:style>
  <w:style w:type="paragraph" w:styleId="16">
    <w:name w:val="Balloon Text"/>
    <w:basedOn w:val="1"/>
    <w:link w:val="51"/>
    <w:semiHidden/>
    <w:unhideWhenUsed/>
    <w:qFormat/>
    <w:uiPriority w:val="99"/>
    <w:rPr>
      <w:sz w:val="18"/>
      <w:szCs w:val="18"/>
    </w:rPr>
  </w:style>
  <w:style w:type="paragraph" w:styleId="17">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20">
    <w:name w:val="Body Text First Indent"/>
    <w:basedOn w:val="14"/>
    <w:qFormat/>
    <w:uiPriority w:val="0"/>
    <w:pPr>
      <w:spacing w:after="0"/>
      <w:ind w:firstLine="200" w:firstLineChars="200"/>
    </w:pPr>
  </w:style>
  <w:style w:type="paragraph" w:styleId="21">
    <w:name w:val="Body Text First Indent 2"/>
    <w:basedOn w:val="15"/>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9"/>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8"/>
    <w:qFormat/>
    <w:uiPriority w:val="99"/>
    <w:rPr>
      <w:rFonts w:ascii="Calibri" w:hAnsi="Calibri" w:eastAsia="宋体"/>
      <w:kern w:val="2"/>
      <w:sz w:val="18"/>
      <w:szCs w:val="18"/>
    </w:rPr>
  </w:style>
  <w:style w:type="character" w:customStyle="1" w:styleId="50">
    <w:name w:val="页脚 字符"/>
    <w:basedOn w:val="23"/>
    <w:link w:val="17"/>
    <w:qFormat/>
    <w:uiPriority w:val="99"/>
    <w:rPr>
      <w:rFonts w:ascii="Calibri" w:hAnsi="Calibri" w:eastAsia="宋体"/>
      <w:kern w:val="2"/>
      <w:sz w:val="18"/>
      <w:szCs w:val="18"/>
    </w:rPr>
  </w:style>
  <w:style w:type="character" w:customStyle="1" w:styleId="51">
    <w:name w:val="批注框文本 字符"/>
    <w:basedOn w:val="23"/>
    <w:link w:val="16"/>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character" w:customStyle="1" w:styleId="54">
    <w:name w:val="font31"/>
    <w:basedOn w:val="23"/>
    <w:qFormat/>
    <w:uiPriority w:val="0"/>
    <w:rPr>
      <w:rFonts w:hint="eastAsia" w:ascii="宋体" w:hAnsi="宋体" w:eastAsia="宋体" w:cs="宋体"/>
      <w:color w:val="000000"/>
      <w:sz w:val="18"/>
      <w:szCs w:val="18"/>
      <w:u w:val="none"/>
    </w:rPr>
  </w:style>
  <w:style w:type="character" w:customStyle="1" w:styleId="55">
    <w:name w:val="font101"/>
    <w:basedOn w:val="23"/>
    <w:qFormat/>
    <w:uiPriority w:val="0"/>
    <w:rPr>
      <w:rFonts w:hint="eastAsia" w:ascii="宋体" w:hAnsi="宋体" w:eastAsia="宋体" w:cs="宋体"/>
      <w:color w:val="FF0000"/>
      <w:sz w:val="18"/>
      <w:szCs w:val="18"/>
      <w:u w:val="none"/>
    </w:rPr>
  </w:style>
  <w:style w:type="paragraph" w:customStyle="1" w:styleId="56">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6346</Words>
  <Characters>6621</Characters>
  <Lines>50</Lines>
  <Paragraphs>14</Paragraphs>
  <TotalTime>13</TotalTime>
  <ScaleCrop>false</ScaleCrop>
  <LinksUpToDate>false</LinksUpToDate>
  <CharactersWithSpaces>6652</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user</cp:lastModifiedBy>
  <cp:lastPrinted>2020-01-01T00:02:00Z</cp:lastPrinted>
  <dcterms:modified xsi:type="dcterms:W3CDTF">2024-08-26T12:42:09Z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013360FACCE1418B80C968824022A9DF</vt:lpwstr>
  </property>
  <property fmtid="{D5CDD505-2E9C-101B-9397-08002B2CF9AE}" pid="4" name="KSOSaveFontToCloudKey">
    <vt:lpwstr>0_btnclosed</vt:lpwstr>
  </property>
</Properties>
</file>