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eastAsia="zh-CN"/>
        </w:rPr>
        <w:t>附件</w:t>
      </w:r>
      <w:r>
        <w:rPr>
          <w:rFonts w:hint="eastAsia" w:ascii="黑体" w:hAnsi="黑体" w:eastAsia="黑体" w:cs="黑体"/>
          <w:b w:val="0"/>
          <w:bCs/>
          <w:kern w:val="0"/>
          <w:sz w:val="32"/>
          <w:szCs w:val="32"/>
          <w:lang w:val="en-US" w:eastAsia="zh-CN"/>
        </w:rPr>
        <w:t>4：</w:t>
      </w: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生态环境厅</w:t>
      </w:r>
      <w:r>
        <w:rPr>
          <w:rFonts w:hint="eastAsia" w:eastAsia="方正小标宋_GBK"/>
          <w:kern w:val="0"/>
          <w:sz w:val="48"/>
          <w:szCs w:val="48"/>
          <w:lang w:eastAsia="zh-CN"/>
        </w:rPr>
        <w:t>第一专员办</w:t>
      </w:r>
      <w:r>
        <w:rPr>
          <w:rFonts w:hint="eastAsia" w:eastAsia="方正小标宋_GBK"/>
          <w:kern w:val="0"/>
          <w:sz w:val="48"/>
          <w:szCs w:val="48"/>
        </w:rPr>
        <w:t>环境监察专员办环境监察专项</w:t>
      </w:r>
      <w:r>
        <w:rPr>
          <w:rFonts w:eastAsia="方正小标宋_GBK"/>
          <w:kern w:val="0"/>
          <w:sz w:val="48"/>
          <w:szCs w:val="48"/>
        </w:rPr>
        <w:t>资金项目支出绩效评价</w:t>
      </w:r>
    </w:p>
    <w:p>
      <w:pPr>
        <w:spacing w:line="540" w:lineRule="exact"/>
        <w:jc w:val="center"/>
        <w:rPr>
          <w:rFonts w:eastAsia="华文中宋"/>
          <w:b/>
          <w:kern w:val="0"/>
          <w:sz w:val="52"/>
          <w:szCs w:val="52"/>
        </w:rPr>
      </w:pPr>
      <w:r>
        <w:rPr>
          <w:rFonts w:eastAsia="方正小标宋_GBK"/>
          <w:kern w:val="0"/>
          <w:sz w:val="48"/>
          <w:szCs w:val="48"/>
        </w:rPr>
        <w:t>报告</w:t>
      </w: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生态环境厅环境监察专员办环境监察专项</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新疆维吾尔自治区生态环境厅第一生态环境监察专员办公室</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新疆维吾尔自治区生态环境厅</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胡厚军</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2</w:t>
      </w:r>
      <w:r>
        <w:rPr>
          <w:rFonts w:eastAsia="仿宋_GB2312"/>
          <w:kern w:val="0"/>
          <w:sz w:val="36"/>
          <w:szCs w:val="36"/>
        </w:rPr>
        <w:t>月</w:t>
      </w:r>
      <w:r>
        <w:rPr>
          <w:rFonts w:hint="eastAsia" w:eastAsia="仿宋_GB2312"/>
          <w:kern w:val="0"/>
          <w:sz w:val="36"/>
          <w:szCs w:val="36"/>
          <w:lang w:val="en-US" w:eastAsia="zh-CN"/>
        </w:rPr>
        <w:t>21</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25"/>
          <w:rFonts w:eastAsia="黑体"/>
          <w:b w:val="0"/>
          <w:spacing w:val="-4"/>
          <w:sz w:val="32"/>
          <w:szCs w:val="32"/>
        </w:rPr>
      </w:pPr>
    </w:p>
    <w:p>
      <w:pPr>
        <w:spacing w:line="600" w:lineRule="exact"/>
        <w:rPr>
          <w:rFonts w:eastAsia="黑体"/>
          <w:bCs/>
          <w:sz w:val="32"/>
          <w:szCs w:val="32"/>
        </w:rPr>
      </w:pPr>
      <w:r>
        <w:rPr>
          <w:rFonts w:eastAsia="黑体"/>
          <w:bCs/>
          <w:sz w:val="32"/>
          <w:szCs w:val="32"/>
        </w:rPr>
        <w:t>一、基本情况</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根据《自治区党委办公厅 自治区人民政府办公厅印发&lt;自治区生态环境机构监测监察执法垂直管理制度改革实施方案&gt;的通知》（新党厅字〔2019〕60号），建立生态环境保护监察专员制度，在自治区生态环境厅设生态环境保护监察专员。跨区域设立生态环境保护监察专员办公室，驻地（州、市）开展生态环境保护监察和督察工作，人员和工作经费由自治区本级承担。</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2019年自治区生态环境厅在全疆设立六个监察专员办公室。</w:t>
      </w:r>
      <w:r>
        <w:rPr>
          <w:rFonts w:hint="eastAsia" w:ascii="仿宋_GB2312" w:eastAsia="仿宋_GB2312"/>
          <w:sz w:val="32"/>
          <w:szCs w:val="32"/>
          <w:lang w:eastAsia="zh-CN"/>
        </w:rPr>
        <w:t>新疆维吾尔自治区生态环境厅第一生态环境监察专员办公室根据《关于自治区生态环境厅</w:t>
      </w:r>
      <w:r>
        <w:rPr>
          <w:rFonts w:hint="eastAsia" w:ascii="仿宋_GB2312" w:eastAsia="仿宋_GB2312"/>
          <w:sz w:val="32"/>
          <w:szCs w:val="32"/>
          <w:lang w:val="en-US" w:eastAsia="zh-CN"/>
        </w:rPr>
        <w:t>6个生态环境监察专员办公室编制和具体职责的批复</w:t>
      </w:r>
      <w:r>
        <w:rPr>
          <w:rFonts w:hint="eastAsia" w:ascii="仿宋_GB2312" w:eastAsia="仿宋_GB2312"/>
          <w:sz w:val="32"/>
          <w:szCs w:val="32"/>
          <w:lang w:eastAsia="zh-CN"/>
        </w:rPr>
        <w:t>》（新党编办</w:t>
      </w:r>
      <w:r>
        <w:rPr>
          <w:rFonts w:eastAsia="仿宋_GB2312"/>
          <w:kern w:val="0"/>
          <w:sz w:val="32"/>
          <w:szCs w:val="32"/>
        </w:rPr>
        <w:t>〔</w:t>
      </w:r>
      <w:r>
        <w:rPr>
          <w:rFonts w:hint="eastAsia" w:ascii="仿宋_GB2312" w:eastAsia="仿宋_GB2312"/>
          <w:sz w:val="32"/>
          <w:szCs w:val="32"/>
          <w:lang w:val="en-US" w:eastAsia="zh-CN"/>
        </w:rPr>
        <w:t>2019</w:t>
      </w:r>
      <w:r>
        <w:rPr>
          <w:rFonts w:eastAsia="仿宋_GB2312"/>
          <w:kern w:val="0"/>
          <w:sz w:val="32"/>
          <w:szCs w:val="32"/>
        </w:rPr>
        <w:t>〕</w:t>
      </w:r>
      <w:r>
        <w:rPr>
          <w:rFonts w:hint="eastAsia" w:ascii="仿宋_GB2312" w:eastAsia="仿宋_GB2312"/>
          <w:sz w:val="32"/>
          <w:szCs w:val="32"/>
          <w:lang w:val="en-US" w:eastAsia="zh-CN"/>
        </w:rPr>
        <w:t>59号）要求，我办负责对伊犁州、克拉玛依市、博州、塔城地区党委、政府及相关部门履行生态环境保护责任情况，生态环境保护法律法规、标准、政策、规划执行情况，生态环境保护一岗双责落实情况，以及生态环境质量落实情况进行监督检查；承担生态环境损害责任追究相关协调配合工作；配合自治区生态环境保护督察组开展定期督查，并对督察整改落实情况进行督导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eastAsia="仿宋_GB2312"/>
          <w:sz w:val="32"/>
          <w:szCs w:val="32"/>
          <w:lang w:val="en-US" w:eastAsia="zh-CN"/>
        </w:rPr>
        <w:t>资金投入及使用情况：2023年项目预算金额为100万元，执行金额为</w:t>
      </w:r>
      <w:r>
        <w:rPr>
          <w:rFonts w:hint="eastAsia" w:ascii="新宋体" w:hAnsi="新宋体" w:eastAsia="新宋体" w:cs="新宋体"/>
          <w:b w:val="0"/>
          <w:kern w:val="10"/>
          <w:sz w:val="28"/>
          <w:szCs w:val="28"/>
          <w:lang w:val="en-US" w:eastAsia="zh-CN" w:bidi="en-US"/>
        </w:rPr>
        <w:t>99.51</w:t>
      </w:r>
      <w:r>
        <w:rPr>
          <w:rFonts w:hint="eastAsia" w:ascii="仿宋_GB2312" w:eastAsia="仿宋_GB2312"/>
          <w:sz w:val="32"/>
          <w:szCs w:val="32"/>
          <w:lang w:val="en-US" w:eastAsia="zh-CN"/>
        </w:rPr>
        <w:t>万元，预算执行率为99.51%。各子项目执行情况如下表：</w:t>
      </w:r>
    </w:p>
    <w:tbl>
      <w:tblPr>
        <w:tblStyle w:val="23"/>
        <w:tblpPr w:leftFromText="180" w:rightFromText="180" w:vertAnchor="text" w:horzAnchor="page" w:tblpX="2318" w:tblpY="424"/>
        <w:tblOverlap w:val="never"/>
        <w:tblW w:w="8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3192"/>
        <w:gridCol w:w="1908"/>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085" w:type="dxa"/>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序号</w:t>
            </w:r>
          </w:p>
        </w:tc>
        <w:tc>
          <w:tcPr>
            <w:tcW w:w="3192" w:type="dxa"/>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vertAlign w:val="baseline"/>
                <w:lang w:val="en-US" w:eastAsia="zh-CN" w:bidi="ar-SA"/>
              </w:rPr>
            </w:pPr>
            <w:r>
              <w:rPr>
                <w:rFonts w:hint="eastAsia" w:ascii="仿宋_GB2312" w:eastAsia="仿宋_GB2312"/>
                <w:sz w:val="32"/>
                <w:szCs w:val="32"/>
                <w:vertAlign w:val="baseline"/>
                <w:lang w:val="en-US" w:eastAsia="zh-CN"/>
              </w:rPr>
              <w:t>名称</w:t>
            </w:r>
          </w:p>
        </w:tc>
        <w:tc>
          <w:tcPr>
            <w:tcW w:w="1908"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预算金额（万元）</w:t>
            </w:r>
          </w:p>
        </w:tc>
        <w:tc>
          <w:tcPr>
            <w:tcW w:w="2074"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执行金额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1</w:t>
            </w:r>
          </w:p>
        </w:tc>
        <w:tc>
          <w:tcPr>
            <w:tcW w:w="3192"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vertAlign w:val="baseline"/>
                <w:lang w:val="en-US" w:eastAsia="zh-CN" w:bidi="ar-SA"/>
              </w:rPr>
            </w:pPr>
            <w:r>
              <w:rPr>
                <w:rFonts w:hint="eastAsia" w:ascii="仿宋_GB2312" w:eastAsia="仿宋_GB2312"/>
                <w:sz w:val="32"/>
                <w:szCs w:val="32"/>
                <w:lang w:val="en-US" w:eastAsia="zh-CN"/>
              </w:rPr>
              <w:t>差旅费</w:t>
            </w:r>
          </w:p>
        </w:tc>
        <w:tc>
          <w:tcPr>
            <w:tcW w:w="1908"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36</w:t>
            </w:r>
          </w:p>
        </w:tc>
        <w:tc>
          <w:tcPr>
            <w:tcW w:w="2074"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2</w:t>
            </w:r>
          </w:p>
        </w:tc>
        <w:tc>
          <w:tcPr>
            <w:tcW w:w="3192"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vertAlign w:val="baseline"/>
                <w:lang w:val="en-US" w:eastAsia="zh-CN" w:bidi="ar-SA"/>
              </w:rPr>
            </w:pPr>
            <w:r>
              <w:rPr>
                <w:rFonts w:hint="eastAsia" w:ascii="仿宋_GB2312" w:eastAsia="仿宋_GB2312"/>
                <w:sz w:val="32"/>
                <w:szCs w:val="32"/>
                <w:lang w:val="en-US" w:eastAsia="zh-CN"/>
              </w:rPr>
              <w:t>劳务费</w:t>
            </w:r>
          </w:p>
        </w:tc>
        <w:tc>
          <w:tcPr>
            <w:tcW w:w="1908"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9</w:t>
            </w:r>
          </w:p>
        </w:tc>
        <w:tc>
          <w:tcPr>
            <w:tcW w:w="2074" w:type="dxa"/>
            <w:vAlign w:val="top"/>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vertAlign w:val="baseline"/>
                <w:lang w:val="en-US" w:eastAsia="zh-CN" w:bidi="ar-SA"/>
              </w:rPr>
            </w:pPr>
            <w:r>
              <w:rPr>
                <w:rFonts w:hint="eastAsia" w:ascii="仿宋_GB2312" w:eastAsia="仿宋_GB2312" w:hAnsiTheme="minorHAnsi" w:cstheme="minorBidi"/>
                <w:kern w:val="2"/>
                <w:sz w:val="32"/>
                <w:szCs w:val="32"/>
                <w:vertAlign w:val="baseline"/>
                <w:lang w:val="en-US" w:eastAsia="zh-CN"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3</w:t>
            </w:r>
          </w:p>
        </w:tc>
        <w:tc>
          <w:tcPr>
            <w:tcW w:w="3192"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vertAlign w:val="baseline"/>
                <w:lang w:val="en-US" w:eastAsia="zh-CN" w:bidi="ar-SA"/>
              </w:rPr>
            </w:pPr>
            <w:r>
              <w:rPr>
                <w:rFonts w:hint="eastAsia" w:ascii="仿宋_GB2312" w:eastAsia="仿宋_GB2312"/>
                <w:sz w:val="32"/>
                <w:szCs w:val="32"/>
                <w:lang w:val="en-US" w:eastAsia="zh-CN"/>
              </w:rPr>
              <w:t>资本性支出</w:t>
            </w:r>
          </w:p>
        </w:tc>
        <w:tc>
          <w:tcPr>
            <w:tcW w:w="1908" w:type="dxa"/>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17</w:t>
            </w:r>
          </w:p>
        </w:tc>
        <w:tc>
          <w:tcPr>
            <w:tcW w:w="2074" w:type="dxa"/>
            <w:vAlign w:val="top"/>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vertAlign w:val="baseline"/>
                <w:lang w:val="en-US" w:eastAsia="zh-CN" w:bidi="ar-SA"/>
              </w:rPr>
            </w:pPr>
            <w:r>
              <w:rPr>
                <w:rFonts w:hint="eastAsia" w:ascii="仿宋_GB2312" w:eastAsia="仿宋_GB2312" w:hAnsiTheme="minorHAnsi" w:cstheme="minorBidi"/>
                <w:kern w:val="2"/>
                <w:sz w:val="32"/>
                <w:szCs w:val="32"/>
                <w:vertAlign w:val="baseline"/>
                <w:lang w:val="en-US" w:eastAsia="zh-CN" w:bidi="ar-SA"/>
              </w:rPr>
              <w:t>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Align w:val="top"/>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eastAsia="仿宋_GB2312"/>
                <w:sz w:val="32"/>
                <w:szCs w:val="32"/>
                <w:vertAlign w:val="baseline"/>
                <w:lang w:val="en-US" w:eastAsia="zh-CN"/>
              </w:rPr>
            </w:pPr>
            <w:r>
              <w:rPr>
                <w:rFonts w:hint="eastAsia" w:ascii="仿宋_GB2312" w:eastAsia="仿宋_GB2312"/>
                <w:sz w:val="32"/>
                <w:szCs w:val="32"/>
                <w:lang w:val="en-US" w:eastAsia="zh-CN"/>
              </w:rPr>
              <w:t>4</w:t>
            </w:r>
          </w:p>
        </w:tc>
        <w:tc>
          <w:tcPr>
            <w:tcW w:w="3192" w:type="dxa"/>
            <w:vAlign w:val="top"/>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租赁费</w:t>
            </w:r>
          </w:p>
        </w:tc>
        <w:tc>
          <w:tcPr>
            <w:tcW w:w="1908" w:type="dxa"/>
            <w:vAlign w:val="top"/>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25</w:t>
            </w:r>
          </w:p>
        </w:tc>
        <w:tc>
          <w:tcPr>
            <w:tcW w:w="2074" w:type="dxa"/>
            <w:vAlign w:val="top"/>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Align w:val="top"/>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5</w:t>
            </w:r>
          </w:p>
        </w:tc>
        <w:tc>
          <w:tcPr>
            <w:tcW w:w="3192" w:type="dxa"/>
            <w:vAlign w:val="top"/>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其他交通费</w:t>
            </w:r>
          </w:p>
        </w:tc>
        <w:tc>
          <w:tcPr>
            <w:tcW w:w="1908" w:type="dxa"/>
            <w:vAlign w:val="top"/>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13</w:t>
            </w:r>
          </w:p>
        </w:tc>
        <w:tc>
          <w:tcPr>
            <w:tcW w:w="2074" w:type="dxa"/>
            <w:vAlign w:val="top"/>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eastAsia="仿宋_GB2312"/>
                <w:sz w:val="32"/>
                <w:szCs w:val="32"/>
                <w:vertAlign w:val="baseline"/>
                <w:lang w:val="en-US" w:eastAsia="zh-CN"/>
              </w:rPr>
            </w:pPr>
            <w:r>
              <w:rPr>
                <w:rFonts w:hint="eastAsia" w:ascii="仿宋_GB2312" w:eastAsia="仿宋_GB2312"/>
                <w:sz w:val="32"/>
                <w:szCs w:val="32"/>
                <w:vertAlign w:val="baseline"/>
                <w:lang w:val="en-US" w:eastAsia="zh-CN"/>
              </w:rPr>
              <w:t>13</w:t>
            </w:r>
          </w:p>
        </w:tc>
      </w:tr>
    </w:tbl>
    <w:p>
      <w:pPr>
        <w:pStyle w:val="2"/>
        <w:numPr>
          <w:ilvl w:val="0"/>
          <w:numId w:val="1"/>
        </w:numPr>
        <w:spacing w:before="0" w:after="0" w:line="60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spacing w:line="600" w:lineRule="exact"/>
        <w:ind w:firstLine="640" w:firstLineChars="200"/>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年第</w:t>
      </w:r>
      <w:r>
        <w:rPr>
          <w:rFonts w:hint="eastAsia" w:ascii="仿宋_GB2312" w:hAnsi="仿宋_GB2312" w:eastAsia="仿宋_GB2312" w:cs="仿宋_GB2312"/>
          <w:color w:val="auto"/>
          <w:kern w:val="0"/>
          <w:sz w:val="32"/>
          <w:szCs w:val="32"/>
          <w:highlight w:val="none"/>
          <w:lang w:eastAsia="zh-CN"/>
        </w:rPr>
        <w:t>一</w:t>
      </w:r>
      <w:r>
        <w:rPr>
          <w:rFonts w:hint="eastAsia" w:ascii="仿宋_GB2312" w:hAnsi="仿宋_GB2312" w:eastAsia="仿宋_GB2312" w:cs="仿宋_GB2312"/>
          <w:color w:val="auto"/>
          <w:kern w:val="0"/>
          <w:sz w:val="32"/>
          <w:szCs w:val="32"/>
          <w:highlight w:val="none"/>
        </w:rPr>
        <w:t>生态环境监察专员办公室将根据中央生态环境保护督察涉及到的整改任务，按照自治区党委、人民政府及生态环境厅的统一部署，开展对</w:t>
      </w:r>
      <w:r>
        <w:rPr>
          <w:rFonts w:hint="eastAsia" w:ascii="仿宋_GB2312" w:hAnsi="仿宋_GB2312" w:eastAsia="仿宋_GB2312" w:cs="仿宋_GB2312"/>
          <w:color w:val="auto"/>
          <w:kern w:val="0"/>
          <w:sz w:val="32"/>
          <w:szCs w:val="32"/>
          <w:highlight w:val="none"/>
          <w:lang w:eastAsia="zh-CN"/>
        </w:rPr>
        <w:t>伊犁州、克拉玛依市、博州、塔城地区四</w:t>
      </w:r>
      <w:r>
        <w:rPr>
          <w:rFonts w:hint="eastAsia" w:ascii="仿宋_GB2312" w:hAnsi="仿宋_GB2312" w:eastAsia="仿宋_GB2312" w:cs="仿宋_GB2312"/>
          <w:color w:val="auto"/>
          <w:kern w:val="0"/>
          <w:sz w:val="32"/>
          <w:szCs w:val="32"/>
          <w:highlight w:val="none"/>
        </w:rPr>
        <w:t>个地州生态环境监察工作，通过日常监察、现场巡查等方式，督促当地生态环境保护工作持续改善。</w:t>
      </w: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eastAsia="仿宋_GB2312"/>
          <w:sz w:val="32"/>
          <w:szCs w:val="32"/>
        </w:rPr>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pPr>
      <w:r>
        <w:rPr>
          <w:rFonts w:eastAsia="仿宋_GB2312"/>
          <w:sz w:val="32"/>
          <w:szCs w:val="32"/>
        </w:rPr>
        <w:t>本项目总投资</w:t>
      </w:r>
      <w:r>
        <w:rPr>
          <w:rFonts w:hint="eastAsia" w:eastAsia="仿宋_GB2312"/>
          <w:sz w:val="32"/>
          <w:szCs w:val="32"/>
          <w:highlight w:val="none"/>
          <w:lang w:val="en-US" w:eastAsia="zh-CN"/>
        </w:rPr>
        <w:t>100</w:t>
      </w:r>
      <w:r>
        <w:rPr>
          <w:rFonts w:eastAsia="仿宋_GB2312"/>
          <w:sz w:val="32"/>
          <w:szCs w:val="32"/>
          <w:highlight w:val="none"/>
        </w:rPr>
        <w:t>万元，其中：财政本级资金</w:t>
      </w:r>
      <w:r>
        <w:rPr>
          <w:rFonts w:hint="eastAsia" w:eastAsia="仿宋_GB2312"/>
          <w:sz w:val="32"/>
          <w:szCs w:val="32"/>
          <w:highlight w:val="none"/>
          <w:lang w:val="en-US" w:eastAsia="zh-CN"/>
        </w:rPr>
        <w:t>100</w:t>
      </w:r>
      <w:r>
        <w:rPr>
          <w:rFonts w:eastAsia="仿宋_GB2312"/>
          <w:sz w:val="32"/>
          <w:szCs w:val="32"/>
          <w:highlight w:val="none"/>
        </w:rPr>
        <w:t>万元</w:t>
      </w:r>
      <w:r>
        <w:rPr>
          <w:rFonts w:eastAsia="仿宋_GB2312"/>
          <w:sz w:val="32"/>
          <w:szCs w:val="32"/>
        </w:rPr>
        <w:t>。项目实际支出</w:t>
      </w:r>
      <w:r>
        <w:rPr>
          <w:rFonts w:hint="eastAsia" w:eastAsia="仿宋_GB2312"/>
          <w:sz w:val="32"/>
          <w:szCs w:val="32"/>
          <w:lang w:val="en-US" w:eastAsia="zh-CN"/>
        </w:rPr>
        <w:t>99.51万</w:t>
      </w:r>
      <w:r>
        <w:rPr>
          <w:rFonts w:eastAsia="仿宋_GB2312"/>
          <w:sz w:val="32"/>
          <w:szCs w:val="32"/>
        </w:rPr>
        <w:t>元，支出率为</w:t>
      </w:r>
      <w:r>
        <w:rPr>
          <w:rFonts w:hint="eastAsia" w:eastAsia="仿宋_GB2312"/>
          <w:sz w:val="32"/>
          <w:szCs w:val="32"/>
          <w:lang w:val="en-US" w:eastAsia="zh-CN"/>
        </w:rPr>
        <w:t>99.51</w:t>
      </w:r>
      <w:r>
        <w:rPr>
          <w:rFonts w:eastAsia="仿宋_GB2312"/>
          <w:sz w:val="32"/>
          <w:szCs w:val="32"/>
        </w:rPr>
        <w:t>%。</w:t>
      </w:r>
    </w:p>
    <w:p>
      <w:pPr>
        <w:spacing w:line="60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rPr>
          <w:rFonts w:eastAsia="仿宋_GB2312"/>
          <w:sz w:val="20"/>
          <w:szCs w:val="20"/>
        </w:rPr>
      </w:pPr>
      <w:r>
        <w:rPr>
          <w:rFonts w:eastAsia="仿宋_GB2312"/>
          <w:sz w:val="32"/>
          <w:szCs w:val="32"/>
        </w:rPr>
        <w:t>（1）资金安排</w:t>
      </w:r>
    </w:p>
    <w:p>
      <w:pPr>
        <w:spacing w:line="600" w:lineRule="exact"/>
        <w:ind w:firstLine="640" w:firstLineChars="200"/>
        <w:rPr>
          <w:rFonts w:eastAsia="仿宋_GB2312"/>
          <w:sz w:val="32"/>
          <w:szCs w:val="32"/>
        </w:rPr>
      </w:pPr>
      <w:r>
        <w:rPr>
          <w:rFonts w:ascii="Times New Roman" w:hAnsi="Times New Roman" w:eastAsia="仿宋_GB2312" w:cs="Times New Roman"/>
          <w:sz w:val="32"/>
          <w:szCs w:val="32"/>
        </w:rPr>
        <w:t>项目总投资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万元，按照单位财务制度等相关规定，资金支出符合</w:t>
      </w:r>
      <w:r>
        <w:rPr>
          <w:rFonts w:hint="eastAsia" w:ascii="Times New Roman" w:hAnsi="Times New Roman" w:eastAsia="仿宋_GB2312" w:cs="Times New Roman"/>
          <w:sz w:val="32"/>
          <w:szCs w:val="32"/>
        </w:rPr>
        <w:t>生态环境厅环境监察专员办环境监察专项</w:t>
      </w:r>
      <w:r>
        <w:rPr>
          <w:rFonts w:ascii="Times New Roman" w:hAnsi="Times New Roman" w:eastAsia="仿宋_GB2312" w:cs="Times New Roman"/>
          <w:sz w:val="32"/>
          <w:szCs w:val="32"/>
        </w:rPr>
        <w:t>专项资金费用范围，做到了专款专用。在项目资金拨付和使用过程中，为确保项目资金的安全性，提高项目资金使用效率，严格遵循</w:t>
      </w:r>
      <w:r>
        <w:rPr>
          <w:rFonts w:hint="eastAsia" w:ascii="Times New Roman" w:hAnsi="Times New Roman" w:eastAsia="仿宋_GB2312" w:cs="Times New Roman"/>
          <w:sz w:val="32"/>
          <w:szCs w:val="32"/>
          <w:lang w:eastAsia="zh-CN"/>
        </w:rPr>
        <w:t>财政拨款</w:t>
      </w:r>
      <w:r>
        <w:rPr>
          <w:rFonts w:eastAsia="仿宋_GB2312"/>
          <w:sz w:val="32"/>
          <w:szCs w:val="32"/>
        </w:rPr>
        <w:t>资金的拨付程序，认真审核项目实施各阶段的相关材料和手续，根据项目实施进展情况拨付资金。</w:t>
      </w:r>
    </w:p>
    <w:p>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w:t>
      </w:r>
      <w:r>
        <w:rPr>
          <w:rFonts w:ascii="Times New Roman" w:hAnsi="Times New Roman" w:eastAsia="仿宋_GB2312"/>
          <w:b w:val="0"/>
          <w:bCs w:val="0"/>
          <w:kern w:val="2"/>
          <w:highlight w:val="none"/>
        </w:rPr>
        <w:t>于</w:t>
      </w:r>
      <w:r>
        <w:rPr>
          <w:rFonts w:hint="eastAsia" w:ascii="Times New Roman" w:hAnsi="Times New Roman" w:eastAsia="仿宋_GB2312"/>
          <w:b w:val="0"/>
          <w:bCs w:val="0"/>
          <w:kern w:val="2"/>
          <w:highlight w:val="none"/>
          <w:lang w:eastAsia="zh-CN"/>
        </w:rPr>
        <w:t>一般公共预算</w:t>
      </w:r>
      <w:r>
        <w:rPr>
          <w:rFonts w:ascii="Times New Roman" w:hAnsi="Times New Roman" w:eastAsia="仿宋_GB2312"/>
          <w:b w:val="0"/>
          <w:bCs w:val="0"/>
          <w:kern w:val="2"/>
          <w:highlight w:val="none"/>
        </w:rPr>
        <w:t>，项目资金到位</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w:t>
      </w:r>
      <w:r>
        <w:rPr>
          <w:rFonts w:hint="eastAsia" w:ascii="Times New Roman" w:hAnsi="Times New Roman" w:eastAsia="仿宋_GB2312"/>
          <w:b w:val="0"/>
          <w:bCs w:val="0"/>
          <w:kern w:val="2"/>
          <w:lang w:val="en-US" w:eastAsia="zh-CN"/>
        </w:rPr>
        <w:t>99.51</w:t>
      </w:r>
      <w:r>
        <w:rPr>
          <w:rFonts w:hint="eastAsia" w:ascii="Times New Roman" w:hAnsi="Times New Roman" w:eastAsia="仿宋_GB2312"/>
          <w:b w:val="0"/>
          <w:bCs w:val="0"/>
          <w:kern w:val="2"/>
        </w:rPr>
        <w:t>万元，预算执行率为</w:t>
      </w:r>
      <w:r>
        <w:rPr>
          <w:rFonts w:hint="eastAsia" w:ascii="Times New Roman" w:hAnsi="Times New Roman" w:eastAsia="仿宋_GB2312"/>
          <w:b w:val="0"/>
          <w:bCs w:val="0"/>
          <w:kern w:val="2"/>
          <w:lang w:val="en-US" w:eastAsia="zh-CN"/>
        </w:rPr>
        <w:t>99.51</w:t>
      </w:r>
      <w:r>
        <w:rPr>
          <w:rFonts w:ascii="Times New Roman" w:hAnsi="Times New Roman" w:eastAsia="仿宋_GB2312"/>
          <w:b w:val="0"/>
          <w:bCs w:val="0"/>
          <w:kern w:val="2"/>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pPr>
        <w:spacing w:line="600" w:lineRule="exact"/>
        <w:ind w:firstLine="643" w:firstLineChars="200"/>
        <w:rPr>
          <w:rFonts w:eastAsia="楷体_GB2312"/>
          <w:b/>
          <w:bCs/>
          <w:sz w:val="32"/>
          <w:szCs w:val="32"/>
        </w:rPr>
      </w:pPr>
      <w:r>
        <w:rPr>
          <w:rFonts w:eastAsia="楷体_GB2312"/>
          <w:b/>
          <w:bCs/>
          <w:sz w:val="32"/>
          <w:szCs w:val="32"/>
        </w:rPr>
        <w:t>（二）项目绩效目标</w:t>
      </w:r>
    </w:p>
    <w:p>
      <w:pPr>
        <w:spacing w:line="600" w:lineRule="exact"/>
        <w:ind w:firstLine="640" w:firstLineChars="200"/>
        <w:rPr>
          <w:rFonts w:eastAsia="仿宋_GB2312"/>
          <w:sz w:val="32"/>
          <w:szCs w:val="32"/>
        </w:rPr>
      </w:pPr>
      <w:r>
        <w:rPr>
          <w:rFonts w:eastAsia="仿宋_GB2312"/>
          <w:sz w:val="32"/>
          <w:szCs w:val="32"/>
        </w:rPr>
        <w:t>1、总体目标</w:t>
      </w:r>
    </w:p>
    <w:p>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中央生态环境保护督察涉及到的整改任务，按照自治区党委、人民政府及生态环境厅统一部署，开展对伊犁州、博州、克拉玛依市、塔城地区区域生态环境监察工作，通过日常监察、现场巡查等方式，督促当地生态环境保护工作持续改善。</w:t>
      </w:r>
    </w:p>
    <w:p>
      <w:pPr>
        <w:spacing w:line="600" w:lineRule="exact"/>
        <w:ind w:firstLine="640" w:firstLineChars="200"/>
      </w:pPr>
      <w:r>
        <w:rPr>
          <w:rFonts w:eastAsia="仿宋_GB2312"/>
          <w:sz w:val="32"/>
          <w:szCs w:val="32"/>
        </w:rPr>
        <w:t>2、阶段性目标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rPr>
      </w:pPr>
      <w:r>
        <w:rPr>
          <w:rFonts w:eastAsia="黑体"/>
          <w:sz w:val="32"/>
          <w:szCs w:val="32"/>
        </w:rPr>
        <w:t>二、绩效评价工作开展情况</w:t>
      </w:r>
    </w:p>
    <w:p>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76" w:lineRule="exact"/>
        <w:ind w:firstLine="640" w:firstLineChars="200"/>
        <w:rPr>
          <w:rFonts w:hint="eastAsia" w:eastAsia="仿宋_GB2312"/>
          <w:sz w:val="32"/>
          <w:szCs w:val="32"/>
        </w:rPr>
      </w:pPr>
      <w:r>
        <w:rPr>
          <w:rFonts w:hint="eastAsia" w:eastAsia="仿宋_GB2312"/>
          <w:sz w:val="32"/>
          <w:szCs w:val="32"/>
        </w:rPr>
        <w:t>生态环境厅环境监察专员办环境监察专项所包含的全部项目内容。</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pStyle w:val="2"/>
        <w:ind w:firstLine="640" w:firstLineChars="200"/>
        <w:jc w:val="left"/>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生态环境厅环境监察专员办环境监察专项的决策、过程、产出、效益等。</w:t>
      </w:r>
    </w:p>
    <w:p>
      <w:pPr>
        <w:spacing w:line="600" w:lineRule="exact"/>
        <w:ind w:firstLine="643" w:firstLineChars="200"/>
      </w:pPr>
      <w:r>
        <w:rPr>
          <w:rFonts w:eastAsia="楷体_GB2312"/>
          <w:b/>
          <w:bCs/>
          <w:sz w:val="32"/>
          <w:szCs w:val="32"/>
        </w:rPr>
        <w:t>（二）绩效评价原则、评价指标体系（详情见表1）、评价方法、评价标准。</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w:t>
      </w:r>
      <w:r>
        <w:rPr>
          <w:rFonts w:hint="eastAsia" w:ascii="Times New Roman" w:hAnsi="Times New Roman" w:eastAsia="仿宋_GB2312"/>
          <w:b w:val="0"/>
          <w:bCs w:val="0"/>
          <w:lang w:val="en-US" w:eastAsia="zh-CN"/>
        </w:rPr>
        <w:t>2</w:t>
      </w:r>
      <w:r>
        <w:rPr>
          <w:rFonts w:ascii="Times New Roman" w:hAnsi="Times New Roman" w:eastAsia="仿宋_GB2312"/>
          <w:b w:val="0"/>
          <w:bCs w:val="0"/>
        </w:rPr>
        <w:t>）公开透明。绩效评价结果应依法依规公开，并自觉接受社会监督。</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w:t>
      </w:r>
      <w:r>
        <w:rPr>
          <w:rFonts w:hint="eastAsia" w:eastAsia="仿宋_GB2312"/>
          <w:color w:val="000000"/>
          <w:spacing w:val="17"/>
          <w:sz w:val="32"/>
          <w:szCs w:val="32"/>
          <w:lang w:eastAsia="zh-CN"/>
        </w:rPr>
        <w:t>决策</w:t>
      </w:r>
      <w:r>
        <w:rPr>
          <w:rFonts w:hint="eastAsia" w:eastAsia="仿宋_GB2312"/>
          <w:color w:val="000000"/>
          <w:spacing w:val="17"/>
          <w:sz w:val="32"/>
          <w:szCs w:val="32"/>
          <w:lang w:val="en-US" w:eastAsia="zh-CN"/>
        </w:rPr>
        <w:t>20分</w:t>
      </w:r>
      <w:r>
        <w:rPr>
          <w:rFonts w:hint="eastAsia" w:eastAsia="仿宋_GB2312"/>
          <w:color w:val="000000"/>
          <w:spacing w:val="17"/>
          <w:sz w:val="32"/>
          <w:szCs w:val="32"/>
          <w:lang w:eastAsia="zh-CN"/>
        </w:rPr>
        <w:t>、过程</w:t>
      </w:r>
      <w:r>
        <w:rPr>
          <w:rFonts w:hint="eastAsia" w:eastAsia="仿宋_GB2312"/>
          <w:color w:val="000000"/>
          <w:spacing w:val="17"/>
          <w:sz w:val="32"/>
          <w:szCs w:val="32"/>
          <w:lang w:val="en-US" w:eastAsia="zh-CN"/>
        </w:rPr>
        <w:t>20分，产出40分、效益20分。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Style w:val="19"/>
        <w:keepNext w:val="0"/>
        <w:keepLines w:val="0"/>
        <w:pageBreakBefore w:val="0"/>
        <w:widowControl/>
        <w:shd w:val="clear" w:color="auto" w:fill="FFFFFF"/>
        <w:kinsoku/>
        <w:wordWrap/>
        <w:overflowPunct/>
        <w:topLinePunct w:val="0"/>
        <w:bidi w:val="0"/>
        <w:adjustRightInd/>
        <w:snapToGrid/>
        <w:spacing w:before="0" w:beforeAutospacing="0" w:after="0" w:afterAutospacing="0" w:line="560" w:lineRule="exact"/>
        <w:ind w:firstLine="640" w:firstLineChars="200"/>
        <w:jc w:val="both"/>
        <w:textAlignment w:val="auto"/>
        <w:outlineLvl w:val="9"/>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1.成本效益分析法—将一定时期内的支出与效益进行对比分析，以评价绩效目标的实现程度。</w:t>
      </w:r>
    </w:p>
    <w:p>
      <w:pPr>
        <w:pStyle w:val="19"/>
        <w:keepNext w:val="0"/>
        <w:keepLines w:val="0"/>
        <w:pageBreakBefore w:val="0"/>
        <w:widowControl/>
        <w:shd w:val="clear" w:color="auto" w:fill="FFFFFF"/>
        <w:kinsoku/>
        <w:wordWrap/>
        <w:overflowPunct/>
        <w:topLinePunct w:val="0"/>
        <w:bidi w:val="0"/>
        <w:adjustRightInd/>
        <w:snapToGrid/>
        <w:spacing w:before="0" w:beforeAutospacing="0" w:after="0" w:afterAutospacing="0" w:line="560" w:lineRule="exact"/>
        <w:ind w:firstLine="640" w:firstLineChars="200"/>
        <w:jc w:val="both"/>
        <w:textAlignment w:val="auto"/>
        <w:outlineLvl w:val="9"/>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2.比较法—通过对绩效目标与实施效果比较，指标制定上定量与定性相结合，优先定量，综合分析绩效目标实现程度。</w:t>
      </w:r>
    </w:p>
    <w:p>
      <w:pPr>
        <w:pStyle w:val="19"/>
        <w:keepNext w:val="0"/>
        <w:keepLines w:val="0"/>
        <w:pageBreakBefore w:val="0"/>
        <w:widowControl/>
        <w:shd w:val="clear" w:color="auto" w:fill="FFFFFF"/>
        <w:kinsoku/>
        <w:wordWrap/>
        <w:overflowPunct/>
        <w:topLinePunct w:val="0"/>
        <w:bidi w:val="0"/>
        <w:adjustRightInd/>
        <w:snapToGrid/>
        <w:spacing w:before="0" w:beforeAutospacing="0" w:after="0" w:afterAutospacing="0" w:line="560" w:lineRule="exact"/>
        <w:ind w:firstLine="640" w:firstLineChars="200"/>
        <w:jc w:val="both"/>
        <w:textAlignment w:val="auto"/>
        <w:outlineLvl w:val="9"/>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3.因素分析法—通过综合分析影响绩效目标实现、实施效果的内外因素，评价绩效目标实现程度。</w:t>
      </w:r>
    </w:p>
    <w:p>
      <w:pPr>
        <w:pStyle w:val="19"/>
        <w:keepNext w:val="0"/>
        <w:keepLines w:val="0"/>
        <w:pageBreakBefore w:val="0"/>
        <w:widowControl/>
        <w:shd w:val="clear" w:color="auto" w:fill="FFFFFF"/>
        <w:kinsoku/>
        <w:wordWrap/>
        <w:overflowPunct/>
        <w:topLinePunct w:val="0"/>
        <w:bidi w:val="0"/>
        <w:adjustRightInd/>
        <w:snapToGrid/>
        <w:spacing w:before="0" w:beforeAutospacing="0" w:after="0" w:afterAutospacing="0" w:line="560" w:lineRule="exact"/>
        <w:ind w:firstLine="640" w:firstLineChars="200"/>
        <w:jc w:val="both"/>
        <w:textAlignment w:val="auto"/>
        <w:outlineLvl w:val="9"/>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4.最低成本法—对效益确定却不易计量的多个同类对象的实施成本进行比较，评价绩效目标实现程度。</w:t>
      </w:r>
    </w:p>
    <w:p>
      <w:pPr>
        <w:pStyle w:val="19"/>
        <w:keepNext w:val="0"/>
        <w:keepLines w:val="0"/>
        <w:pageBreakBefore w:val="0"/>
        <w:widowControl/>
        <w:shd w:val="clear" w:color="auto" w:fill="FFFFFF"/>
        <w:kinsoku/>
        <w:wordWrap/>
        <w:overflowPunct/>
        <w:topLinePunct w:val="0"/>
        <w:bidi w:val="0"/>
        <w:adjustRightInd/>
        <w:snapToGrid/>
        <w:spacing w:before="0" w:beforeAutospacing="0" w:after="0" w:afterAutospacing="0" w:line="560" w:lineRule="exact"/>
        <w:ind w:firstLine="640" w:firstLineChars="200"/>
        <w:jc w:val="both"/>
        <w:textAlignment w:val="auto"/>
        <w:outlineLvl w:val="9"/>
        <w:rPr>
          <w:rFonts w:eastAsia="仿宋_GB2312"/>
          <w:color w:val="000000"/>
          <w:spacing w:val="17"/>
          <w:sz w:val="32"/>
          <w:szCs w:val="32"/>
        </w:rPr>
      </w:pPr>
      <w:r>
        <w:rPr>
          <w:rFonts w:hint="eastAsia" w:ascii="仿宋_GB2312" w:hAnsi="仿宋_GB2312" w:eastAsia="仿宋_GB2312" w:cs="仿宋_GB2312"/>
          <w:kern w:val="2"/>
          <w:sz w:val="32"/>
          <w:szCs w:val="32"/>
        </w:rPr>
        <w:t>5.公众评判法—通过专家评估、公众问卷及抽样调查等对专项资金效果、服务对象满意度、环境效益及可持续性等方面进行评判，评价绩效目标实现程度。</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pPr>
        <w:pStyle w:val="2"/>
        <w:numPr>
          <w:ilvl w:val="0"/>
          <w:numId w:val="3"/>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eastAsia="仿宋_GB2312"/>
          <w:sz w:val="32"/>
          <w:szCs w:val="32"/>
          <w:lang w:val="en-US" w:eastAsia="zh-CN"/>
        </w:rPr>
      </w:pPr>
      <w:r>
        <w:rPr>
          <w:rFonts w:hint="eastAsia" w:ascii="仿宋_GB2312" w:eastAsia="仿宋_GB2312"/>
          <w:sz w:val="32"/>
          <w:szCs w:val="32"/>
          <w:lang w:val="en-US" w:eastAsia="zh-CN"/>
        </w:rPr>
        <w:t>评价工作分三阶段进行:</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1.前期准备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eastAsia="仿宋_GB2312"/>
          <w:sz w:val="32"/>
          <w:szCs w:val="32"/>
          <w:lang w:val="en-US" w:eastAsia="zh-CN"/>
        </w:rPr>
      </w:pPr>
      <w:r>
        <w:rPr>
          <w:rFonts w:hint="eastAsia" w:ascii="仿宋_GB2312" w:eastAsia="仿宋_GB2312"/>
          <w:sz w:val="32"/>
          <w:szCs w:val="32"/>
          <w:lang w:val="en-US" w:eastAsia="zh-CN"/>
        </w:rPr>
        <w:t>明确评价对象、评价工作目标及评价要求；了解项目总体情况、绩效评价政策、评价标准，收集相关资料，拟定评价工作方案，设计评价指标，并对评价方案不断修订和完善。</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2.组织实施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eastAsia="仿宋_GB2312"/>
          <w:sz w:val="32"/>
          <w:szCs w:val="32"/>
          <w:lang w:val="en-US" w:eastAsia="zh-CN"/>
        </w:rPr>
      </w:pPr>
      <w:r>
        <w:rPr>
          <w:rFonts w:hint="eastAsia" w:ascii="仿宋_GB2312" w:eastAsia="仿宋_GB2312"/>
          <w:sz w:val="32"/>
          <w:szCs w:val="32"/>
          <w:lang w:val="en-US" w:eastAsia="zh-CN"/>
        </w:rPr>
        <w:t>了解项目完成进度、组织管理等总体情况；查阅、收集有关文件、规章制度、工作台帐等评价资料；审查项目资金的透明度，调查相关管理制度是否建立健全并落实到位，根据审查结果分析项目资金到位、资金管理使用情况及组织管理水平；查看与项目相关的财务会计报表、账簿、会计凭证，了解各项收支情况、审核专款专用情况、财政资金到位情况、实际支出情况和财务管理状况；核实和统计相关数据资料，评价“</w:t>
      </w:r>
      <w:r>
        <w:rPr>
          <w:rFonts w:hint="eastAsia" w:ascii="仿宋_GB2312" w:eastAsia="仿宋_GB2312"/>
          <w:sz w:val="32"/>
          <w:szCs w:val="32"/>
          <w:lang w:eastAsia="zh-CN"/>
        </w:rPr>
        <w:t>其他环境监测与监察支出项目</w:t>
      </w:r>
      <w:r>
        <w:rPr>
          <w:rFonts w:hint="eastAsia" w:ascii="仿宋_GB2312" w:eastAsia="仿宋_GB2312"/>
          <w:sz w:val="32"/>
          <w:szCs w:val="32"/>
          <w:lang w:val="en-US" w:eastAsia="zh-CN"/>
        </w:rPr>
        <w:t>”是否达到项目预期目标。</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3.分析评价</w:t>
      </w:r>
    </w:p>
    <w:p>
      <w:pPr>
        <w:numPr>
          <w:ilvl w:val="-1"/>
          <w:numId w:val="0"/>
        </w:numPr>
        <w:spacing w:line="560" w:lineRule="exact"/>
        <w:ind w:firstLine="640" w:firstLineChars="200"/>
        <w:outlineLvl w:val="9"/>
        <w:rPr>
          <w:sz w:val="32"/>
          <w:szCs w:val="32"/>
        </w:rPr>
      </w:pPr>
      <w:r>
        <w:rPr>
          <w:rFonts w:hint="eastAsia" w:ascii="仿宋_GB2312" w:eastAsia="仿宋_GB2312"/>
          <w:sz w:val="32"/>
          <w:szCs w:val="32"/>
          <w:lang w:val="en-US" w:eastAsia="zh-CN"/>
        </w:rPr>
        <w:t>对收集的资料进行整理、分类和分析，进一步计算统计定量指标，对定性指标做出经验判断，并运用相应的评价方法对绩效情况进行综合性评价。向领导汇报评价内容，进行评价打分，形成评价结论，提出存在问题、建议和意见，撰写初步评价报告。</w:t>
      </w:r>
    </w:p>
    <w:p>
      <w:pPr>
        <w:numPr>
          <w:ilvl w:val="0"/>
          <w:numId w:val="4"/>
        </w:numPr>
        <w:spacing w:line="600" w:lineRule="exact"/>
        <w:ind w:firstLine="640" w:firstLineChars="200"/>
        <w:rPr>
          <w:rFonts w:eastAsia="黑体"/>
          <w:sz w:val="32"/>
          <w:szCs w:val="32"/>
        </w:rPr>
      </w:pPr>
      <w:r>
        <w:rPr>
          <w:rFonts w:eastAsia="黑体"/>
          <w:sz w:val="32"/>
          <w:szCs w:val="32"/>
        </w:rPr>
        <w:t>综合评价情况及评价结论（附相关评分表）</w:t>
      </w:r>
    </w:p>
    <w:p>
      <w:pPr>
        <w:pStyle w:val="2"/>
        <w:widowControl w:val="0"/>
        <w:spacing w:before="0" w:after="0" w:line="600" w:lineRule="exact"/>
        <w:ind w:firstLine="640" w:firstLineChars="200"/>
        <w:jc w:val="both"/>
        <w:outlineLvl w:val="9"/>
        <w:rPr>
          <w:rFonts w:ascii="Times New Roman" w:hAnsi="Times New Roman" w:eastAsia="仿宋_GB2312"/>
          <w:sz w:val="30"/>
          <w:szCs w:val="30"/>
          <w:highlight w:val="none"/>
        </w:rPr>
      </w:pPr>
      <w:r>
        <w:rPr>
          <w:rFonts w:ascii="Times New Roman" w:hAnsi="Times New Roman" w:eastAsia="仿宋_GB2312"/>
          <w:b w:val="0"/>
          <w:bCs w:val="0"/>
        </w:rPr>
        <w:t>对</w:t>
      </w:r>
      <w:r>
        <w:rPr>
          <w:rFonts w:hint="eastAsia" w:ascii="Times New Roman" w:hAnsi="Times New Roman" w:eastAsia="仿宋_GB2312"/>
          <w:b w:val="0"/>
          <w:bCs w:val="0"/>
          <w:lang w:eastAsia="zh-CN"/>
        </w:rPr>
        <w:t>生</w:t>
      </w:r>
      <w:r>
        <w:rPr>
          <w:rFonts w:hint="eastAsia" w:eastAsia="仿宋_GB2312"/>
          <w:b w:val="0"/>
          <w:bCs w:val="0"/>
          <w:sz w:val="32"/>
          <w:szCs w:val="32"/>
        </w:rPr>
        <w:t>态环境厅环境监察专员办环境监察专项</w:t>
      </w:r>
      <w:r>
        <w:rPr>
          <w:rFonts w:ascii="Times New Roman" w:hAnsi="Times New Roman" w:eastAsia="仿宋_GB2312"/>
          <w:b w:val="0"/>
          <w:bCs w:val="0"/>
        </w:rPr>
        <w:t>项目进行客观评价，最终评分结果：总得分</w:t>
      </w:r>
      <w:r>
        <w:rPr>
          <w:rFonts w:ascii="Times New Roman" w:hAnsi="Times New Roman" w:eastAsia="仿宋_GB2312"/>
          <w:b w:val="0"/>
          <w:bCs w:val="0"/>
          <w:highlight w:val="none"/>
        </w:rPr>
        <w:t>为</w:t>
      </w:r>
      <w:r>
        <w:rPr>
          <w:rFonts w:hint="eastAsia" w:ascii="Times New Roman" w:hAnsi="Times New Roman" w:eastAsia="仿宋_GB2312"/>
          <w:b w:val="0"/>
          <w:bCs w:val="0"/>
          <w:highlight w:val="none"/>
          <w:lang w:val="en-US" w:eastAsia="zh-CN"/>
        </w:rPr>
        <w:t>99.98</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19.98</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99.9</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　</w:t>
            </w:r>
          </w:p>
          <w:p>
            <w:pPr>
              <w:widowControl/>
              <w:spacing w:line="0" w:lineRule="atLeast"/>
              <w:jc w:val="center"/>
              <w:rPr>
                <w:color w:val="000000"/>
                <w:kern w:val="0"/>
                <w:sz w:val="22"/>
                <w:szCs w:val="22"/>
              </w:rPr>
            </w:pPr>
            <w:r>
              <w:rPr>
                <w:color w:val="000000"/>
                <w:kern w:val="0"/>
                <w:sz w:val="22"/>
                <w:szCs w:val="22"/>
                <w:highlight w:val="none"/>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项目立项　</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rPr>
            </w:pPr>
            <w:r>
              <w:rPr>
                <w:color w:val="000000"/>
                <w:kern w:val="0"/>
                <w:sz w:val="22"/>
                <w:szCs w:val="22"/>
                <w:highlight w:val="none"/>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充分</w:t>
            </w:r>
          </w:p>
        </w:tc>
        <w:tc>
          <w:tcPr>
            <w:tcW w:w="1215" w:type="dxa"/>
            <w:shd w:val="clear" w:color="auto"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rPr>
            </w:pPr>
            <w:r>
              <w:rPr>
                <w:color w:val="000000"/>
                <w:kern w:val="0"/>
                <w:sz w:val="22"/>
                <w:szCs w:val="22"/>
                <w:highlight w:val="none"/>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规范</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绩效目标　</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rPr>
            </w:pPr>
            <w:r>
              <w:rPr>
                <w:color w:val="000000"/>
                <w:kern w:val="0"/>
                <w:sz w:val="22"/>
                <w:szCs w:val="22"/>
                <w:highlight w:val="none"/>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合理</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rPr>
            </w:pPr>
            <w:r>
              <w:rPr>
                <w:color w:val="000000"/>
                <w:kern w:val="0"/>
                <w:sz w:val="22"/>
                <w:szCs w:val="22"/>
                <w:highlight w:val="none"/>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明确</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资金投入</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rPr>
            </w:pPr>
            <w:r>
              <w:rPr>
                <w:color w:val="000000"/>
                <w:kern w:val="0"/>
                <w:sz w:val="22"/>
                <w:szCs w:val="22"/>
                <w:highlight w:val="none"/>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科学</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rPr>
            </w:pPr>
            <w:r>
              <w:rPr>
                <w:color w:val="000000"/>
                <w:kern w:val="0"/>
                <w:sz w:val="22"/>
                <w:szCs w:val="22"/>
                <w:highlight w:val="none"/>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合理</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过程</w:t>
            </w:r>
          </w:p>
          <w:p>
            <w:pPr>
              <w:spacing w:line="0" w:lineRule="atLeast"/>
              <w:jc w:val="center"/>
              <w:rPr>
                <w:color w:val="000000"/>
                <w:kern w:val="0"/>
                <w:sz w:val="22"/>
                <w:szCs w:val="22"/>
              </w:rPr>
            </w:pPr>
            <w:r>
              <w:rPr>
                <w:color w:val="000000"/>
                <w:kern w:val="0"/>
                <w:sz w:val="22"/>
                <w:szCs w:val="22"/>
                <w:highlight w:val="none"/>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100%</w:t>
            </w:r>
          </w:p>
        </w:tc>
        <w:tc>
          <w:tcPr>
            <w:tcW w:w="924" w:type="dxa"/>
            <w:shd w:val="clear" w:color="auto"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lang w:val="en-US" w:eastAsia="zh-CN"/>
              </w:rPr>
              <w:t>99.51</w:t>
            </w:r>
            <w:r>
              <w:rPr>
                <w:color w:val="000000"/>
                <w:kern w:val="0"/>
                <w:sz w:val="22"/>
                <w:szCs w:val="22"/>
                <w:highlight w:val="none"/>
              </w:rPr>
              <w:t>%</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99.51%</w:t>
            </w:r>
          </w:p>
        </w:tc>
        <w:tc>
          <w:tcPr>
            <w:tcW w:w="960" w:type="dxa"/>
            <w:shd w:val="clear" w:color="auto" w:fill="FFFFFF"/>
            <w:vAlign w:val="center"/>
          </w:tcPr>
          <w:p>
            <w:pPr>
              <w:widowControl/>
              <w:spacing w:line="0" w:lineRule="atLeast"/>
              <w:jc w:val="center"/>
              <w:rPr>
                <w:rFonts w:hint="default"/>
                <w:color w:val="000000"/>
                <w:kern w:val="0"/>
                <w:sz w:val="22"/>
                <w:szCs w:val="22"/>
                <w:lang w:val="en-US"/>
              </w:rPr>
            </w:pPr>
            <w:r>
              <w:rPr>
                <w:rFonts w:hint="eastAsia"/>
                <w:color w:val="000000"/>
                <w:kern w:val="0"/>
                <w:sz w:val="22"/>
                <w:szCs w:val="22"/>
                <w:highlight w:val="none"/>
                <w:lang w:val="en-US" w:eastAsia="zh-CN"/>
              </w:rPr>
              <w:t>3.98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资金管理</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rPr>
            </w:pPr>
            <w:r>
              <w:rPr>
                <w:color w:val="000000"/>
                <w:kern w:val="0"/>
                <w:sz w:val="22"/>
                <w:szCs w:val="22"/>
                <w:highlight w:val="none"/>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合格</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组织实施</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rPr>
            </w:pPr>
            <w:r>
              <w:rPr>
                <w:color w:val="000000"/>
                <w:kern w:val="0"/>
                <w:sz w:val="22"/>
                <w:szCs w:val="22"/>
                <w:highlight w:val="none"/>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健全</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rPr>
            </w:pPr>
            <w:r>
              <w:rPr>
                <w:color w:val="000000"/>
                <w:kern w:val="0"/>
                <w:sz w:val="22"/>
                <w:szCs w:val="22"/>
                <w:highlight w:val="none"/>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有效</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highlight w:val="none"/>
              </w:rPr>
              <w:t>40</w:t>
            </w:r>
            <w:r>
              <w:rPr>
                <w:kern w:val="0"/>
                <w:sz w:val="22"/>
                <w:szCs w:val="22"/>
                <w:highlight w:val="none"/>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color w:val="000000"/>
                <w:kern w:val="0"/>
                <w:sz w:val="22"/>
                <w:szCs w:val="22"/>
                <w:lang w:val="en-US"/>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highlight w:val="none"/>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及时</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及时</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1</w:t>
            </w:r>
            <w:r>
              <w:rPr>
                <w:rFonts w:hint="eastAsia"/>
                <w:color w:val="000000"/>
                <w:kern w:val="0"/>
                <w:sz w:val="22"/>
                <w:szCs w:val="22"/>
                <w:highlight w:val="none"/>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20</w:t>
            </w:r>
            <w:r>
              <w:rPr>
                <w:color w:val="000000"/>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项目效益　</w:t>
            </w:r>
          </w:p>
        </w:tc>
        <w:tc>
          <w:tcPr>
            <w:tcW w:w="1707" w:type="dxa"/>
            <w:shd w:val="clear" w:color="auto" w:fill="FFFFFF"/>
            <w:vAlign w:val="center"/>
          </w:tcPr>
          <w:p>
            <w:pPr>
              <w:widowControl/>
              <w:spacing w:line="0" w:lineRule="atLeast"/>
              <w:jc w:val="center"/>
              <w:rPr>
                <w:rFonts w:hint="eastAsia" w:eastAsia="宋体"/>
                <w:color w:val="000000"/>
                <w:kern w:val="0"/>
                <w:sz w:val="22"/>
                <w:szCs w:val="22"/>
                <w:lang w:eastAsia="zh-CN"/>
              </w:rPr>
            </w:pPr>
            <w:r>
              <w:rPr>
                <w:rFonts w:hint="eastAsia"/>
                <w:color w:val="000000"/>
                <w:kern w:val="0"/>
                <w:sz w:val="22"/>
                <w:szCs w:val="22"/>
                <w:highlight w:val="none"/>
                <w:lang w:eastAsia="zh-CN"/>
              </w:rPr>
              <w:t>社会效益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有效</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有效</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highlight w:val="none"/>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5</w:t>
            </w:r>
          </w:p>
        </w:tc>
        <w:tc>
          <w:tcPr>
            <w:tcW w:w="1044" w:type="dxa"/>
            <w:shd w:val="clear" w:color="000000"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rPr>
              <w:t>&lt;=2次</w:t>
            </w:r>
          </w:p>
        </w:tc>
        <w:tc>
          <w:tcPr>
            <w:tcW w:w="924" w:type="dxa"/>
            <w:shd w:val="clear" w:color="000000"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rPr>
              <w:t>5</w:t>
            </w:r>
          </w:p>
        </w:tc>
      </w:tr>
    </w:tbl>
    <w:p>
      <w:pPr>
        <w:numPr>
          <w:ilvl w:val="0"/>
          <w:numId w:val="4"/>
        </w:numPr>
        <w:spacing w:line="600" w:lineRule="exact"/>
        <w:ind w:firstLine="640" w:firstLineChars="200"/>
        <w:rPr>
          <w:rFonts w:eastAsia="黑体"/>
          <w:sz w:val="32"/>
          <w:szCs w:val="32"/>
        </w:rPr>
      </w:pPr>
      <w:r>
        <w:rPr>
          <w:rFonts w:eastAsia="黑体"/>
          <w:sz w:val="32"/>
          <w:szCs w:val="32"/>
        </w:rPr>
        <w:t>绩效评价指标分析</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根据决算依据编制工作计划和经费预算，经过与部门项目分管领导沟通、筛选确定经费预算计划，确定最终预算方案。保障了程序的规范性。</w:t>
      </w:r>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，实际得分19.98分，得分率为99.90%。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项目资金使用符合相关的财务管理制度规定，</w:t>
      </w:r>
      <w:r>
        <w:rPr>
          <w:rFonts w:hint="eastAsia" w:ascii="仿宋_GB2312" w:hAnsi="仿宋_GB2312" w:eastAsia="仿宋_GB2312" w:cs="仿宋_GB2312"/>
          <w:sz w:val="32"/>
          <w:szCs w:val="32"/>
          <w:lang w:val="en-US" w:eastAsia="zh-CN"/>
        </w:rPr>
        <w:t>能够反映和考核项目资金的规范运行情况；项目实施单位的财务和业务管理制度健全，能够反映和考核财务和业务管理制度对项目顺利实施的保障情况。</w:t>
      </w:r>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本项目总投资100万元，财政资金及时足额到位，到位率100%，预算资金按计划进度执行。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预算编制较为详细，项目资金支出总体能够按照预算执行，预算资金支出99.51万元，预算执行率为99.51%。</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2"/>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pPr>
        <w:ind w:firstLine="640" w:firstLineChars="200"/>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eastAsia="仿宋_GB2312" w:cs="仿宋_GB2312"/>
          <w:sz w:val="32"/>
          <w:szCs w:val="32"/>
          <w:highlight w:val="none"/>
          <w:lang w:val="en-US" w:eastAsia="zh-CN"/>
        </w:rPr>
        <w:t>9个三级指标构成，权重分为40分，实际得分40分，得分率为100%。具体产</w:t>
      </w:r>
      <w:r>
        <w:rPr>
          <w:rFonts w:hint="eastAsia" w:ascii="仿宋_GB2312" w:hAnsi="仿宋_GB2312" w:eastAsia="仿宋_GB2312" w:cs="仿宋_GB2312"/>
          <w:sz w:val="32"/>
          <w:szCs w:val="32"/>
          <w:lang w:val="en-US" w:eastAsia="zh-CN"/>
        </w:rPr>
        <w:t>出指标完成情况如下：</w:t>
      </w:r>
    </w:p>
    <w:p>
      <w:pPr>
        <w:spacing w:line="600" w:lineRule="exact"/>
        <w:ind w:firstLine="624" w:firstLineChars="200"/>
        <w:rPr>
          <w:rStyle w:val="25"/>
          <w:rFonts w:eastAsia="仿宋"/>
          <w:b w:val="0"/>
          <w:spacing w:val="-4"/>
          <w:sz w:val="32"/>
          <w:szCs w:val="32"/>
        </w:rPr>
      </w:pPr>
      <w:r>
        <w:rPr>
          <w:rStyle w:val="25"/>
          <w:rFonts w:eastAsia="仿宋"/>
          <w:b w:val="0"/>
          <w:spacing w:val="-4"/>
          <w:sz w:val="32"/>
          <w:szCs w:val="32"/>
        </w:rPr>
        <w:t>数量指标方面：</w:t>
      </w:r>
    </w:p>
    <w:p>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a.覆盖生态环境监察区域指标，指标值为4个，实际完成4个，完成率100%，偏差率0%。</w:t>
      </w:r>
    </w:p>
    <w:p>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b.形成督察检查专项报告指标，指标值为7个，实际完成7个，完成率100%，偏差率0%。</w:t>
      </w:r>
    </w:p>
    <w:p>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c.形成环保督察整改情况报告报告指标，指标值为7个，实际完成7个，完成率100%，偏差率0%。</w:t>
      </w:r>
    </w:p>
    <w:p>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d.监督（监察）频次（次）指标，指标值为8次，实际完成8次，完成率100%，偏差率0%。</w:t>
      </w:r>
    </w:p>
    <w:p>
      <w:pPr>
        <w:spacing w:line="600" w:lineRule="exact"/>
        <w:ind w:firstLine="640" w:firstLineChars="200"/>
        <w:rPr>
          <w:rStyle w:val="54"/>
          <w:rFonts w:ascii="Times New Roman" w:hAnsi="Times New Roman" w:cs="Times New Roman"/>
          <w:color w:val="auto"/>
        </w:rPr>
      </w:pPr>
      <w:r>
        <w:rPr>
          <w:rStyle w:val="54"/>
          <w:rFonts w:ascii="Times New Roman" w:hAnsi="Times New Roman" w:cs="Times New Roman"/>
          <w:color w:val="auto"/>
        </w:rPr>
        <w:t>质量指标方面：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ascii="仿宋_GB2312" w:hAnsi="仿宋_GB2312" w:eastAsia="仿宋_GB2312" w:cs="仿宋_GB2312"/>
          <w:b w:val="0"/>
          <w:bCs w:val="0"/>
          <w:kern w:val="2"/>
          <w:sz w:val="32"/>
          <w:szCs w:val="32"/>
          <w:highlight w:val="none"/>
          <w:lang w:val="en-US" w:eastAsia="zh-CN" w:bidi="ar-SA"/>
        </w:rPr>
        <w:t>a.报告质量通过率指标，指标值为100%，实际完成100%，完成率100%，偏差率0%。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Times New Roman" w:hAnsi="Times New Roman"/>
        </w:rPr>
      </w:pPr>
      <w:r>
        <w:rPr>
          <w:rFonts w:hint="eastAsia" w:ascii="仿宋_GB2312" w:hAnsi="仿宋_GB2312" w:eastAsia="仿宋_GB2312" w:cs="仿宋_GB2312"/>
          <w:b w:val="0"/>
          <w:bCs w:val="0"/>
          <w:kern w:val="2"/>
          <w:sz w:val="32"/>
          <w:szCs w:val="32"/>
          <w:highlight w:val="none"/>
          <w:lang w:val="en-US" w:eastAsia="zh-CN" w:bidi="ar-SA"/>
        </w:rPr>
        <w:t>b.区域覆盖率指标，指标值为100%，实际完成100%，完成率100%，偏差率0%。</w:t>
      </w:r>
    </w:p>
    <w:p>
      <w:pPr>
        <w:pStyle w:val="2"/>
        <w:spacing w:before="0" w:after="0" w:line="600" w:lineRule="exact"/>
        <w:ind w:firstLine="640" w:firstLineChars="200"/>
        <w:jc w:val="both"/>
        <w:rPr>
          <w:rStyle w:val="54"/>
          <w:rFonts w:ascii="Times New Roman" w:hAnsi="Times New Roman" w:cs="Times New Roman"/>
          <w:b w:val="0"/>
          <w:bCs w:val="0"/>
          <w:color w:val="auto"/>
        </w:rPr>
      </w:pPr>
      <w:r>
        <w:rPr>
          <w:rStyle w:val="54"/>
          <w:rFonts w:ascii="Times New Roman" w:hAnsi="Times New Roman" w:cs="Times New Roman"/>
          <w:b w:val="0"/>
          <w:bCs w:val="0"/>
          <w:color w:val="auto"/>
        </w:rPr>
        <w:t>成本指标方面：</w:t>
      </w:r>
    </w:p>
    <w:p>
      <w:pPr>
        <w:pStyle w:val="2"/>
        <w:spacing w:before="0" w:after="0" w:line="600" w:lineRule="exact"/>
        <w:ind w:firstLine="640" w:firstLineChars="200"/>
        <w:jc w:val="both"/>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a.监督检查工作标准指标，指标值为小于等于55万元，实际完成55万元，完成率100%，偏差率0%。</w:t>
      </w:r>
    </w:p>
    <w:p>
      <w:pPr>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b.聘用人员人均标准指标，派驻监察期间费用45万元，实际完成44.51万元，完成率98.91%，偏差率1.09%。主要原因是办公设备购置金额预算不够精确，导致产生结余。</w:t>
      </w:r>
    </w:p>
    <w:p>
      <w:pPr>
        <w:ind w:firstLine="640" w:firstLineChars="200"/>
        <w:rPr>
          <w:rFonts w:ascii="Times New Roman" w:hAnsi="Times New Roman"/>
        </w:rPr>
      </w:pPr>
      <w:r>
        <w:rPr>
          <w:rStyle w:val="54"/>
          <w:rFonts w:ascii="Times New Roman" w:hAnsi="Times New Roman" w:cs="Times New Roman"/>
          <w:b w:val="0"/>
          <w:bCs w:val="0"/>
          <w:color w:val="auto"/>
        </w:rPr>
        <w:t>时效指标方面</w:t>
      </w:r>
      <w:r>
        <w:rPr>
          <w:rStyle w:val="54"/>
          <w:rFonts w:ascii="Times New Roman" w:hAnsi="Times New Roman" w:cs="Times New Roman"/>
          <w:color w:val="auto"/>
        </w:rPr>
        <w:t>：</w:t>
      </w:r>
      <w:r>
        <w:rPr>
          <w:rFonts w:hint="eastAsia" w:ascii="仿宋_GB2312" w:hAnsi="仿宋_GB2312" w:eastAsia="仿宋_GB2312" w:cs="仿宋_GB2312"/>
          <w:b w:val="0"/>
          <w:bCs w:val="0"/>
          <w:kern w:val="2"/>
          <w:sz w:val="32"/>
          <w:szCs w:val="32"/>
          <w:highlight w:val="none"/>
          <w:lang w:val="en-US" w:eastAsia="zh-CN" w:bidi="ar-SA"/>
        </w:rPr>
        <w:t>年度督察任务按时完成率指标，指标值为等于100%，实际完成100%，完成率100%，偏差率0%。</w:t>
      </w:r>
    </w:p>
    <w:p>
      <w:pPr>
        <w:pStyle w:val="2"/>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由2个三级指标构成，权重分为20分，实际得分20分，得分率为100%。具体效益指标及满意度指标完成情况如下：</w:t>
      </w:r>
    </w:p>
    <w:p>
      <w:pPr>
        <w:spacing w:line="600" w:lineRule="exact"/>
        <w:ind w:firstLine="640" w:firstLineChars="200"/>
        <w:rPr>
          <w:rFonts w:ascii="Times New Roman" w:hAnsi="Times New Roman"/>
        </w:rPr>
      </w:pPr>
      <w:r>
        <w:rPr>
          <w:rStyle w:val="54"/>
          <w:rFonts w:ascii="Times New Roman" w:hAnsi="Times New Roman" w:cs="Times New Roman"/>
          <w:color w:val="auto"/>
        </w:rPr>
        <w:t>社会效益指标方面：</w:t>
      </w:r>
      <w:r>
        <w:rPr>
          <w:rFonts w:hint="eastAsia" w:ascii="仿宋_GB2312" w:hAnsi="仿宋_GB2312" w:eastAsia="仿宋_GB2312" w:cs="仿宋_GB2312"/>
          <w:b w:val="0"/>
          <w:bCs w:val="0"/>
          <w:kern w:val="2"/>
          <w:sz w:val="32"/>
          <w:szCs w:val="32"/>
          <w:highlight w:val="none"/>
          <w:lang w:val="en-US" w:eastAsia="zh-CN" w:bidi="ar-SA"/>
        </w:rPr>
        <w:t>构建新型生态环境保护监察体系指标，指标值为不断完善，实际完成不断完善，完成率100%，偏差率0%。</w:t>
      </w:r>
    </w:p>
    <w:p>
      <w:pPr>
        <w:spacing w:line="600" w:lineRule="exact"/>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满意度指标方面：检查人员被投诉次数指标，指标值为小于等于2次，实际完成0次，完成率100%，偏差率0%。</w:t>
      </w:r>
    </w:p>
    <w:p>
      <w:pPr>
        <w:spacing w:line="600" w:lineRule="exact"/>
        <w:ind w:firstLine="640" w:firstLineChars="200"/>
        <w:rPr>
          <w:rStyle w:val="54"/>
          <w:rFonts w:ascii="Times New Roman" w:hAnsi="Times New Roman" w:cs="Times New Roman"/>
          <w:color w:val="auto"/>
        </w:rPr>
      </w:pPr>
      <w:r>
        <w:rPr>
          <w:rFonts w:eastAsia="黑体"/>
          <w:sz w:val="32"/>
          <w:szCs w:val="32"/>
        </w:rPr>
        <w:t>五、主要经验及做法、存在的问题及原因分析</w:t>
      </w:r>
    </w:p>
    <w:p>
      <w:pPr>
        <w:spacing w:line="700" w:lineRule="exact"/>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生态环境厅环境监察专员办环境监察专项项目年初预算100万元，全年预算100万元，实际支出99.51万元，预算执行率为99.51%，项目绩效指标总体完成率为99.51%，</w:t>
      </w:r>
      <w:r>
        <w:rPr>
          <w:rFonts w:hint="eastAsia" w:ascii="仿宋_GB2312" w:hAnsi="仿宋_GB2312" w:eastAsia="仿宋_GB2312" w:cs="仿宋_GB2312"/>
          <w:b w:val="0"/>
          <w:bCs w:val="0"/>
          <w:kern w:val="2"/>
          <w:sz w:val="32"/>
          <w:szCs w:val="32"/>
          <w:highlight w:val="none"/>
          <w:lang w:val="en-US" w:eastAsia="zh-Hans" w:bidi="ar-SA"/>
        </w:rPr>
        <w:t>总体</w:t>
      </w:r>
      <w:r>
        <w:rPr>
          <w:rFonts w:hint="eastAsia" w:ascii="仿宋_GB2312" w:hAnsi="仿宋_GB2312" w:eastAsia="仿宋_GB2312" w:cs="仿宋_GB2312"/>
          <w:b w:val="0"/>
          <w:bCs w:val="0"/>
          <w:kern w:val="2"/>
          <w:sz w:val="32"/>
          <w:szCs w:val="32"/>
          <w:highlight w:val="none"/>
          <w:lang w:val="en-US" w:eastAsia="zh-CN" w:bidi="ar-SA"/>
        </w:rPr>
        <w:t>偏差率为0.49%,</w:t>
      </w:r>
      <w:r>
        <w:rPr>
          <w:rFonts w:hint="eastAsia" w:ascii="仿宋_GB2312" w:hAnsi="仿宋_GB2312" w:eastAsia="仿宋_GB2312" w:cs="仿宋_GB2312"/>
          <w:b w:val="0"/>
          <w:bCs w:val="0"/>
          <w:kern w:val="2"/>
          <w:sz w:val="32"/>
          <w:szCs w:val="32"/>
          <w:highlight w:val="none"/>
          <w:lang w:val="en-US" w:eastAsia="zh-Hans" w:bidi="ar-SA"/>
        </w:rPr>
        <w:t>偏差</w:t>
      </w:r>
      <w:r>
        <w:rPr>
          <w:rFonts w:hint="eastAsia" w:ascii="仿宋_GB2312" w:hAnsi="仿宋_GB2312" w:eastAsia="仿宋_GB2312" w:cs="仿宋_GB2312"/>
          <w:b w:val="0"/>
          <w:bCs w:val="0"/>
          <w:kern w:val="2"/>
          <w:sz w:val="32"/>
          <w:szCs w:val="32"/>
          <w:highlight w:val="none"/>
          <w:lang w:val="en-US" w:eastAsia="zh-CN" w:bidi="ar-SA"/>
        </w:rPr>
        <w:t>原因办公设备购置金额预算不够精确，导致产生结余，</w:t>
      </w:r>
      <w:r>
        <w:rPr>
          <w:rFonts w:hint="eastAsia" w:ascii="仿宋_GB2312" w:hAnsi="仿宋_GB2312" w:eastAsia="仿宋_GB2312" w:cs="仿宋_GB2312"/>
          <w:b w:val="0"/>
          <w:bCs w:val="0"/>
          <w:kern w:val="2"/>
          <w:sz w:val="32"/>
          <w:szCs w:val="32"/>
          <w:highlight w:val="none"/>
          <w:lang w:val="en-US" w:eastAsia="zh-Hans" w:bidi="ar-SA"/>
        </w:rPr>
        <w:t>改进</w:t>
      </w:r>
      <w:r>
        <w:rPr>
          <w:rFonts w:hint="eastAsia" w:ascii="仿宋_GB2312" w:hAnsi="仿宋_GB2312" w:eastAsia="仿宋_GB2312" w:cs="仿宋_GB2312"/>
          <w:b w:val="0"/>
          <w:bCs w:val="0"/>
          <w:kern w:val="2"/>
          <w:sz w:val="32"/>
          <w:szCs w:val="32"/>
          <w:highlight w:val="none"/>
          <w:lang w:val="en-US" w:eastAsia="zh-CN" w:bidi="ar-SA"/>
        </w:rPr>
        <w:t>措施合理设置预算资金。</w:t>
      </w:r>
    </w:p>
    <w:p>
      <w:pPr>
        <w:numPr>
          <w:ilvl w:val="-1"/>
          <w:numId w:val="0"/>
        </w:numPr>
        <w:spacing w:line="700" w:lineRule="exact"/>
        <w:ind w:firstLine="640" w:firstLineChars="200"/>
        <w:jc w:val="left"/>
        <w:rPr>
          <w:rFonts w:eastAsia="黑体"/>
          <w:sz w:val="32"/>
          <w:szCs w:val="32"/>
        </w:rPr>
      </w:pPr>
      <w:r>
        <w:rPr>
          <w:rFonts w:hint="eastAsia" w:eastAsia="黑体"/>
          <w:sz w:val="32"/>
          <w:szCs w:val="32"/>
          <w:lang w:eastAsia="zh-CN"/>
        </w:rPr>
        <w:t>六、</w:t>
      </w:r>
      <w:r>
        <w:rPr>
          <w:rFonts w:eastAsia="黑体"/>
          <w:sz w:val="32"/>
          <w:szCs w:val="32"/>
        </w:rPr>
        <w:t>主要经验及做法、存在的问题及原因分析</w:t>
      </w:r>
    </w:p>
    <w:p>
      <w:pPr>
        <w:numPr>
          <w:ilvl w:val="-1"/>
          <w:numId w:val="0"/>
        </w:numPr>
        <w:spacing w:line="700" w:lineRule="exact"/>
        <w:ind w:firstLine="627" w:firstLineChars="200"/>
        <w:jc w:val="left"/>
        <w:rPr>
          <w:rFonts w:eastAsia="楷体"/>
          <w:b/>
          <w:spacing w:val="-4"/>
          <w:sz w:val="32"/>
          <w:szCs w:val="32"/>
        </w:rPr>
      </w:pPr>
      <w:r>
        <w:rPr>
          <w:rFonts w:eastAsia="楷体"/>
          <w:b/>
          <w:spacing w:val="-4"/>
          <w:sz w:val="32"/>
          <w:szCs w:val="32"/>
        </w:rPr>
        <w:t>（一）主要经验及做法</w:t>
      </w:r>
    </w:p>
    <w:p>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600" w:lineRule="exact"/>
        <w:ind w:firstLine="643" w:firstLineChars="200"/>
        <w:rPr>
          <w:rFonts w:eastAsia="楷体_GB2312"/>
          <w:b/>
          <w:bCs/>
          <w:sz w:val="32"/>
          <w:szCs w:val="32"/>
        </w:rPr>
      </w:pPr>
      <w:r>
        <w:rPr>
          <w:rFonts w:eastAsia="楷体_GB2312"/>
          <w:b/>
          <w:bCs/>
          <w:sz w:val="32"/>
          <w:szCs w:val="32"/>
        </w:rPr>
        <w:t>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我办存在的问题是预算使用率未达到100%，具体是资本性支出结余0.49万元；究其原因是购置办公设备不够精确，导致在资本性支出科目上仍有剩余。</w:t>
      </w:r>
    </w:p>
    <w:p>
      <w:pPr>
        <w:numPr>
          <w:ilvl w:val="-1"/>
          <w:numId w:val="0"/>
        </w:numPr>
        <w:spacing w:line="600" w:lineRule="exact"/>
        <w:ind w:firstLine="640" w:firstLineChars="200"/>
        <w:rPr>
          <w:rFonts w:eastAsia="黑体"/>
          <w:sz w:val="32"/>
          <w:szCs w:val="32"/>
        </w:rPr>
      </w:pPr>
      <w:r>
        <w:rPr>
          <w:rFonts w:hint="eastAsia" w:eastAsia="黑体"/>
          <w:sz w:val="32"/>
          <w:szCs w:val="32"/>
          <w:lang w:eastAsia="zh-CN"/>
        </w:rPr>
        <w:t>七、</w:t>
      </w:r>
      <w:r>
        <w:rPr>
          <w:rFonts w:eastAsia="黑体"/>
          <w:sz w:val="32"/>
          <w:szCs w:val="32"/>
        </w:rPr>
        <w:t>有关建议</w:t>
      </w:r>
    </w:p>
    <w:p>
      <w:pPr>
        <w:keepNext w:val="0"/>
        <w:keepLines w:val="0"/>
        <w:pageBreakBefore w:val="0"/>
        <w:numPr>
          <w:ilvl w:val="0"/>
          <w:numId w:val="7"/>
        </w:numPr>
        <w:kinsoku/>
        <w:wordWrap/>
        <w:overflowPunct/>
        <w:topLinePunct w:val="0"/>
        <w:autoSpaceDE/>
        <w:autoSpaceDN/>
        <w:bidi w:val="0"/>
        <w:adjustRightInd/>
        <w:snapToGrid/>
        <w:spacing w:line="560" w:lineRule="exact"/>
        <w:ind w:left="-11" w:leftChars="0" w:firstLine="641"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val="0"/>
        <w:keepLines w:val="0"/>
        <w:pageBreakBefore w:val="0"/>
        <w:numPr>
          <w:ilvl w:val="0"/>
          <w:numId w:val="7"/>
        </w:numPr>
        <w:kinsoku/>
        <w:wordWrap/>
        <w:overflowPunct/>
        <w:topLinePunct w:val="0"/>
        <w:autoSpaceDE/>
        <w:autoSpaceDN/>
        <w:bidi w:val="0"/>
        <w:adjustRightInd/>
        <w:snapToGrid/>
        <w:spacing w:line="560" w:lineRule="exact"/>
        <w:ind w:left="-11" w:leftChars="0" w:firstLine="641"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keepNext w:val="0"/>
        <w:keepLines w:val="0"/>
        <w:pageBreakBefore w:val="0"/>
        <w:numPr>
          <w:ilvl w:val="0"/>
          <w:numId w:val="7"/>
        </w:numPr>
        <w:kinsoku/>
        <w:wordWrap/>
        <w:overflowPunct/>
        <w:topLinePunct w:val="0"/>
        <w:autoSpaceDE/>
        <w:autoSpaceDN/>
        <w:bidi w:val="0"/>
        <w:adjustRightInd/>
        <w:snapToGrid/>
        <w:spacing w:line="560" w:lineRule="exact"/>
        <w:ind w:left="-11" w:leftChars="0" w:firstLine="641"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numPr>
          <w:ilvl w:val="-1"/>
          <w:numId w:val="0"/>
        </w:numPr>
        <w:spacing w:line="600" w:lineRule="exact"/>
        <w:ind w:firstLine="640" w:firstLineChars="200"/>
        <w:rPr>
          <w:rFonts w:eastAsia="黑体"/>
          <w:sz w:val="32"/>
          <w:szCs w:val="32"/>
        </w:rPr>
      </w:pPr>
      <w:r>
        <w:rPr>
          <w:rFonts w:hint="eastAsia" w:eastAsia="黑体"/>
          <w:sz w:val="32"/>
          <w:szCs w:val="32"/>
          <w:lang w:eastAsia="zh-CN"/>
        </w:rPr>
        <w:t>八、</w:t>
      </w:r>
      <w:r>
        <w:rPr>
          <w:rFonts w:eastAsia="黑体"/>
          <w:sz w:val="32"/>
          <w:szCs w:val="32"/>
        </w:rPr>
        <w:t>其他需要说</w:t>
      </w:r>
      <w:bookmarkStart w:id="1" w:name="page8"/>
      <w:bookmarkEnd w:id="1"/>
      <w:r>
        <w:rPr>
          <w:rFonts w:eastAsia="黑体"/>
          <w:sz w:val="32"/>
          <w:szCs w:val="32"/>
        </w:rPr>
        <w:t>明的问题</w:t>
      </w:r>
    </w:p>
    <w:p>
      <w:pPr>
        <w:pStyle w:val="21"/>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pStyle w:val="21"/>
        <w:ind w:firstLine="320" w:firstLineChars="100"/>
        <w:rPr>
          <w:rFonts w:hint="eastAsia" w:ascii="仿宋_GB2312" w:hAnsi="仿宋_GB2312" w:eastAsia="仿宋_GB2312" w:cs="仿宋_GB2312"/>
          <w:sz w:val="32"/>
          <w:szCs w:val="32"/>
        </w:rPr>
      </w:pPr>
    </w:p>
    <w:p>
      <w:pPr>
        <w:pStyle w:val="21"/>
        <w:ind w:firstLine="320" w:firstLineChars="100"/>
        <w:rPr>
          <w:rFonts w:hint="eastAsia" w:ascii="仿宋_GB2312" w:hAnsi="仿宋_GB2312" w:eastAsia="仿宋_GB2312" w:cs="仿宋_GB2312"/>
          <w:sz w:val="32"/>
          <w:szCs w:val="32"/>
        </w:rPr>
        <w:sectPr>
          <w:footerReference r:id="rId3" w:type="default"/>
          <w:pgSz w:w="11906" w:h="16838"/>
          <w:pgMar w:top="1440" w:right="1558" w:bottom="1440" w:left="1800" w:header="851" w:footer="992" w:gutter="0"/>
          <w:cols w:space="425" w:num="1"/>
          <w:docGrid w:type="lines" w:linePitch="312" w:charSpace="0"/>
        </w:sectPr>
      </w:pPr>
    </w:p>
    <w:tbl>
      <w:tblPr>
        <w:tblW w:w="1247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47"/>
        <w:gridCol w:w="533"/>
        <w:gridCol w:w="836"/>
        <w:gridCol w:w="1927"/>
        <w:gridCol w:w="756"/>
        <w:gridCol w:w="736"/>
        <w:gridCol w:w="1016"/>
        <w:gridCol w:w="679"/>
        <w:gridCol w:w="666"/>
        <w:gridCol w:w="988"/>
        <w:gridCol w:w="845"/>
        <w:gridCol w:w="1111"/>
        <w:gridCol w:w="846"/>
        <w:gridCol w:w="1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12470" w:type="dxa"/>
            <w:gridSpan w:val="14"/>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12470" w:type="dxa"/>
            <w:gridSpan w:val="1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99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11480" w:type="dxa"/>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生态环境厅环境监察专员办环境监察专项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99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521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新疆维吾尔自治区生态环境厅第一生态环境监察专员办公室</w:t>
            </w:r>
          </w:p>
        </w:tc>
        <w:tc>
          <w:tcPr>
            <w:tcW w:w="126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501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新疆维吾尔自治区生态环境厅第一生态环境监察专员办公室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990"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286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177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126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188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20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286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w:t>
            </w:r>
          </w:p>
        </w:tc>
        <w:tc>
          <w:tcPr>
            <w:tcW w:w="177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26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99.51</w:t>
            </w:r>
          </w:p>
        </w:tc>
        <w:tc>
          <w:tcPr>
            <w:tcW w:w="188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0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99.51%</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286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77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26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99.51</w:t>
            </w:r>
          </w:p>
        </w:tc>
        <w:tc>
          <w:tcPr>
            <w:tcW w:w="188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0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286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77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88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0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4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5750"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4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750"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根据生态环境监察专员办公室职责，2023年第一生态环境监察专员办公室开展伊犁州、克拉玛依市、博州、塔城地区生态环境保护监察工作，聚焦第二轮中央生态环境督察和自治区生态环境保护督察整改任务和自治区级生态环境保护督察和督导工作任务，着力做好涉及伊犁州、克拉玛依市、博州、塔城地区生态环境保护督察任务，不断促进辖区生态环境保护质量持续改善，覆盖生态环境监察区域4个，形成督察检查专项报告及整改情况报告7次，监察频次8次，报告质量通过率和区域覆盖率达到100%。持续开展生态环境保护监察、督察工作，不断构建新型生态环境保护监察体系。</w:t>
            </w:r>
          </w:p>
        </w:tc>
        <w:tc>
          <w:tcPr>
            <w:tcW w:w="6270"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一生态环境监察专员办公室开展伊犁州、克拉玛依市、博州、塔城地区生态环境保护监察工作，聚焦第二轮中央生态环境督察“回头看”，开展第二轮中央生态环境督察和自治区生态环境保护督察整改任务和自治区级生态环境保护督察和督导工作任务，着力做好涉及伊犁州、克拉玛依市、博州、塔城地区生态环境保护督察任务，不断促进辖区生态环境保护质量持续改善，覆盖生态环境监察区域4个，形成督察检查专项报告及整改情况报告7次，监察频次8次，报告质量通过率和区域覆盖率达到100%。持续开展生态环境保护监察、督察工作，不断构建新型生态环境保护监察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450"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5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8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200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58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7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10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68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58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102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8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11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87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111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0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20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8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7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10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68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8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4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5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20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覆盖生态环境监察区域</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&gt;=4个</w:t>
            </w: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=4个</w:t>
            </w: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4个</w:t>
            </w: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20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形成督察检查专项报告</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&gt;=7个</w:t>
            </w: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=7个</w:t>
            </w: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7个</w:t>
            </w: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20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形成督察检查环保督察整改情况报告</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&gt;=7个</w:t>
            </w: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=7个</w:t>
            </w: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7个</w:t>
            </w: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20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督察（监察）频次</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&gt;=8次</w:t>
            </w: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=8次</w:t>
            </w: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8次</w:t>
            </w: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20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报告质量通过率</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20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区域覆盖率</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20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年度督察任务按时完成率</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20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监督检查工作</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&lt;=55万元</w:t>
            </w: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=55万元</w:t>
            </w: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55万元</w:t>
            </w: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6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20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派驻监察期间费用</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&lt;=45万元</w:t>
            </w: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=44.51万元</w:t>
            </w: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98.91</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7.78</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45万元</w:t>
            </w: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办公设备购置预算不够精确导致剩余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20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构建新型生态环境保护监察体系</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不断完善</w:t>
            </w: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不断完善</w:t>
            </w: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不断完善</w:t>
            </w: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0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监察人员被投诉次数</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&lt;=2次</w:t>
            </w: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=0次</w:t>
            </w: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0次</w:t>
            </w: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850" w:type="dxa"/>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740" w:type="dxa"/>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bCs/>
                <w:i w:val="0"/>
                <w:iCs w:val="0"/>
                <w:color w:val="000000"/>
                <w:sz w:val="18"/>
                <w:szCs w:val="18"/>
                <w:u w:val="none"/>
              </w:rPr>
            </w:pPr>
          </w:p>
        </w:tc>
        <w:tc>
          <w:tcPr>
            <w:tcW w:w="103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6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5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99.66分</w:t>
            </w:r>
          </w:p>
        </w:tc>
        <w:tc>
          <w:tcPr>
            <w:tcW w:w="102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86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15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bl>
    <w:p>
      <w:pPr>
        <w:spacing w:line="600" w:lineRule="exact"/>
        <w:rPr>
          <w:bCs/>
          <w:sz w:val="32"/>
          <w:szCs w:val="32"/>
        </w:rPr>
        <w:sectPr>
          <w:pgSz w:w="16838" w:h="11906" w:orient="landscape"/>
          <w:pgMar w:top="1800" w:right="1440" w:bottom="1558" w:left="1440" w:header="851" w:footer="992" w:gutter="0"/>
          <w:cols w:space="425" w:num="1"/>
          <w:docGrid w:type="lines" w:linePitch="312" w:charSpace="0"/>
        </w:sectPr>
      </w:pPr>
    </w:p>
    <w:p>
      <w:pPr>
        <w:spacing w:line="600" w:lineRule="exact"/>
        <w:rPr>
          <w:bCs/>
          <w:sz w:val="32"/>
          <w:szCs w:val="32"/>
        </w:rPr>
      </w:pPr>
      <w:r>
        <w:rPr>
          <w:bCs/>
          <w:sz w:val="32"/>
          <w:szCs w:val="32"/>
        </w:rPr>
        <w:t>附件1</w:t>
      </w:r>
    </w:p>
    <w:tbl>
      <w:tblPr>
        <w:tblStyle w:val="22"/>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7"/>
        <w:gridCol w:w="766"/>
        <w:gridCol w:w="873"/>
        <w:gridCol w:w="2353"/>
        <w:gridCol w:w="5191"/>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7"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6"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1"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66"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1"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7" w:type="dxa"/>
            <w:vMerge w:val="continue"/>
            <w:shd w:val="clear" w:color="auto" w:fill="FFFFFF"/>
            <w:vAlign w:val="center"/>
          </w:tcPr>
          <w:p>
            <w:pPr>
              <w:spacing w:line="0" w:lineRule="atLeast"/>
              <w:jc w:val="center"/>
              <w:rPr>
                <w:color w:val="000000"/>
                <w:kern w:val="0"/>
                <w:sz w:val="22"/>
                <w:szCs w:val="22"/>
              </w:rPr>
            </w:pPr>
          </w:p>
        </w:tc>
        <w:tc>
          <w:tcPr>
            <w:tcW w:w="766"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1"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7" w:type="dxa"/>
            <w:vMerge w:val="continue"/>
            <w:shd w:val="clear" w:color="auto" w:fill="FFFFFF"/>
            <w:vAlign w:val="center"/>
          </w:tcPr>
          <w:p>
            <w:pPr>
              <w:spacing w:line="0" w:lineRule="atLeast"/>
              <w:jc w:val="center"/>
              <w:rPr>
                <w:color w:val="000000"/>
                <w:kern w:val="0"/>
                <w:sz w:val="22"/>
                <w:szCs w:val="22"/>
              </w:rPr>
            </w:pPr>
          </w:p>
        </w:tc>
        <w:tc>
          <w:tcPr>
            <w:tcW w:w="766"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1"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66"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1"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pPr>
              <w:widowControl/>
              <w:spacing w:line="0" w:lineRule="atLeast"/>
              <w:jc w:val="center"/>
              <w:rPr>
                <w:rFonts w:hint="eastAsia"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7" w:type="dxa"/>
            <w:vMerge w:val="continue"/>
            <w:shd w:val="clear" w:color="auto" w:fill="FFFFFF"/>
            <w:vAlign w:val="center"/>
          </w:tcPr>
          <w:p>
            <w:pPr>
              <w:spacing w:line="0" w:lineRule="atLeast"/>
              <w:jc w:val="center"/>
              <w:rPr>
                <w:color w:val="000000"/>
                <w:kern w:val="0"/>
                <w:sz w:val="22"/>
                <w:szCs w:val="22"/>
              </w:rPr>
            </w:pPr>
          </w:p>
        </w:tc>
        <w:tc>
          <w:tcPr>
            <w:tcW w:w="766"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1"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7" w:type="dxa"/>
            <w:vMerge w:val="continue"/>
            <w:shd w:val="clear" w:color="auto" w:fill="FFFFFF"/>
            <w:vAlign w:val="center"/>
          </w:tcPr>
          <w:p>
            <w:pPr>
              <w:widowControl/>
              <w:spacing w:line="0" w:lineRule="atLeast"/>
              <w:jc w:val="center"/>
              <w:rPr>
                <w:color w:val="000000"/>
                <w:kern w:val="0"/>
                <w:sz w:val="22"/>
                <w:szCs w:val="22"/>
              </w:rPr>
            </w:pPr>
          </w:p>
        </w:tc>
        <w:tc>
          <w:tcPr>
            <w:tcW w:w="766"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1"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7"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66"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1"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7" w:type="dxa"/>
            <w:vMerge w:val="continue"/>
            <w:shd w:val="clear" w:color="auto" w:fill="FFFFFF"/>
            <w:vAlign w:val="center"/>
          </w:tcPr>
          <w:p>
            <w:pPr>
              <w:spacing w:line="0" w:lineRule="atLeast"/>
              <w:jc w:val="center"/>
              <w:rPr>
                <w:color w:val="000000"/>
                <w:kern w:val="0"/>
                <w:sz w:val="22"/>
                <w:szCs w:val="22"/>
              </w:rPr>
            </w:pPr>
          </w:p>
        </w:tc>
        <w:tc>
          <w:tcPr>
            <w:tcW w:w="766"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1"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bidi="ar-SA"/>
              </w:rPr>
            </w:pPr>
            <w:r>
              <w:rPr>
                <w:rFonts w:hint="eastAsia" w:eastAsia="宋体" w:cs="Times New Roman"/>
                <w:b/>
                <w:bCs/>
                <w:color w:val="000000"/>
                <w:kern w:val="0"/>
                <w:sz w:val="22"/>
                <w:szCs w:val="22"/>
                <w:highlight w:val="none"/>
                <w:lang w:val="en-US" w:eastAsia="zh-CN" w:bidi="ar-SA"/>
              </w:rPr>
              <w:t>3.9</w:t>
            </w:r>
            <w:r>
              <w:rPr>
                <w:rFonts w:hint="eastAsia" w:cs="Times New Roman"/>
                <w:b/>
                <w:bCs/>
                <w:color w:val="000000"/>
                <w:kern w:val="0"/>
                <w:sz w:val="22"/>
                <w:szCs w:val="22"/>
                <w:highlight w:val="none"/>
                <w:lang w:val="en-US" w:eastAsia="zh-CN" w:bidi="ar-SA"/>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66"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1"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7" w:type="dxa"/>
            <w:vMerge w:val="continue"/>
            <w:shd w:val="clear" w:color="auto" w:fill="FFFFFF"/>
            <w:vAlign w:val="center"/>
          </w:tcPr>
          <w:p>
            <w:pPr>
              <w:spacing w:line="0" w:lineRule="atLeast"/>
              <w:jc w:val="center"/>
              <w:rPr>
                <w:color w:val="000000"/>
                <w:kern w:val="0"/>
                <w:sz w:val="22"/>
                <w:szCs w:val="22"/>
              </w:rPr>
            </w:pPr>
          </w:p>
        </w:tc>
        <w:tc>
          <w:tcPr>
            <w:tcW w:w="766"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1"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7" w:type="dxa"/>
            <w:vMerge w:val="continue"/>
            <w:shd w:val="clear" w:color="auto" w:fill="FFFFFF"/>
            <w:vAlign w:val="center"/>
          </w:tcPr>
          <w:p>
            <w:pPr>
              <w:widowControl/>
              <w:spacing w:line="0" w:lineRule="atLeast"/>
              <w:jc w:val="center"/>
              <w:rPr>
                <w:color w:val="000000"/>
                <w:kern w:val="0"/>
                <w:sz w:val="22"/>
                <w:szCs w:val="22"/>
              </w:rPr>
            </w:pPr>
          </w:p>
        </w:tc>
        <w:tc>
          <w:tcPr>
            <w:tcW w:w="766"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1"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6"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1"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6"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1"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7" w:type="dxa"/>
            <w:vMerge w:val="continue"/>
            <w:shd w:val="clear" w:color="auto" w:fill="FFFFFF"/>
            <w:vAlign w:val="center"/>
          </w:tcPr>
          <w:p>
            <w:pPr>
              <w:spacing w:line="0" w:lineRule="atLeast"/>
              <w:jc w:val="center"/>
              <w:rPr>
                <w:color w:val="000000"/>
                <w:kern w:val="0"/>
                <w:sz w:val="22"/>
                <w:szCs w:val="22"/>
              </w:rPr>
            </w:pPr>
          </w:p>
        </w:tc>
        <w:tc>
          <w:tcPr>
            <w:tcW w:w="766"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1"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7" w:type="dxa"/>
            <w:vMerge w:val="continue"/>
            <w:shd w:val="clear" w:color="auto" w:fill="FFFFFF"/>
            <w:vAlign w:val="center"/>
          </w:tcPr>
          <w:p>
            <w:pPr>
              <w:widowControl/>
              <w:spacing w:line="0" w:lineRule="atLeast"/>
              <w:jc w:val="center"/>
              <w:rPr>
                <w:color w:val="000000"/>
                <w:kern w:val="0"/>
                <w:sz w:val="22"/>
                <w:szCs w:val="22"/>
              </w:rPr>
            </w:pPr>
          </w:p>
        </w:tc>
        <w:tc>
          <w:tcPr>
            <w:tcW w:w="766"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1"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6"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1"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7" w:type="dxa"/>
            <w:vMerge w:val="continue"/>
            <w:shd w:val="clear" w:color="auto" w:fill="FFFFFF"/>
            <w:vAlign w:val="center"/>
          </w:tcPr>
          <w:p>
            <w:pPr>
              <w:widowControl/>
              <w:spacing w:line="0" w:lineRule="atLeast"/>
              <w:jc w:val="center"/>
              <w:rPr>
                <w:color w:val="000000"/>
                <w:kern w:val="0"/>
                <w:sz w:val="22"/>
                <w:szCs w:val="22"/>
              </w:rPr>
            </w:pPr>
          </w:p>
        </w:tc>
        <w:tc>
          <w:tcPr>
            <w:tcW w:w="766"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1"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pPr>
              <w:widowControl/>
              <w:spacing w:line="0" w:lineRule="atLeast"/>
              <w:jc w:val="center"/>
              <w:rPr>
                <w:rFonts w:hint="eastAsia" w:ascii="Times New Roman" w:hAnsi="Times New Roman" w:eastAsia="宋体" w:cs="Times New Roman"/>
                <w:b/>
                <w:bCs/>
                <w:color w:val="000000"/>
                <w:kern w:val="0"/>
                <w:sz w:val="22"/>
                <w:szCs w:val="22"/>
                <w:highlight w:val="none"/>
                <w:lang w:val="en-US" w:eastAsia="zh-CN" w:bidi="ar-SA"/>
              </w:rPr>
            </w:pPr>
            <w:r>
              <w:rPr>
                <w:rFonts w:hint="eastAsia"/>
                <w:b/>
                <w:bCs/>
                <w:color w:val="000000"/>
                <w:kern w:val="0"/>
                <w:sz w:val="22"/>
                <w:szCs w:val="22"/>
                <w:highlight w:val="none"/>
                <w:lang w:val="en-US" w:eastAsia="zh-CN"/>
              </w:rPr>
              <w:t>5</w:t>
            </w:r>
          </w:p>
        </w:tc>
      </w:tr>
    </w:tbl>
    <w:p>
      <w:pPr>
        <w:pStyle w:val="2"/>
        <w:rPr>
          <w:rFonts w:ascii="Times New Roman" w:hAnsi="Times New Roman"/>
        </w:rPr>
      </w:pPr>
    </w:p>
    <w:p/>
    <w:p>
      <w:pPr>
        <w:spacing w:line="540" w:lineRule="exact"/>
        <w:ind w:firstLine="640"/>
        <w:rPr>
          <w:rStyle w:val="25"/>
          <w:rFonts w:eastAsia="黑体"/>
          <w:bCs w:val="0"/>
          <w:spacing w:val="-4"/>
          <w:sz w:val="32"/>
          <w:szCs w:val="32"/>
        </w:rPr>
      </w:pPr>
    </w:p>
    <w:p>
      <w:pPr>
        <w:spacing w:line="540" w:lineRule="exact"/>
        <w:ind w:firstLine="640"/>
        <w:rPr>
          <w:rStyle w:val="25"/>
          <w:rFonts w:eastAsia="黑体"/>
          <w:bCs w:val="0"/>
          <w:spacing w:val="-4"/>
          <w:sz w:val="32"/>
          <w:szCs w:val="32"/>
        </w:rPr>
      </w:pPr>
    </w:p>
    <w:p>
      <w:pPr>
        <w:spacing w:line="540" w:lineRule="exact"/>
        <w:ind w:firstLine="640"/>
        <w:rPr>
          <w:rStyle w:val="25"/>
          <w:rFonts w:eastAsia="黑体"/>
          <w:bCs w:val="0"/>
          <w:spacing w:val="-4"/>
          <w:sz w:val="32"/>
          <w:szCs w:val="32"/>
        </w:rPr>
      </w:pPr>
    </w:p>
    <w:p>
      <w:pPr>
        <w:spacing w:line="540" w:lineRule="exact"/>
        <w:ind w:firstLine="640"/>
        <w:rPr>
          <w:rStyle w:val="25"/>
          <w:rFonts w:eastAsia="黑体"/>
          <w:bCs w:val="0"/>
          <w:spacing w:val="-4"/>
          <w:sz w:val="32"/>
          <w:szCs w:val="32"/>
        </w:rPr>
      </w:pPr>
    </w:p>
    <w:p>
      <w:pPr>
        <w:spacing w:line="540" w:lineRule="exact"/>
        <w:ind w:firstLine="640"/>
        <w:rPr>
          <w:rStyle w:val="25"/>
          <w:rFonts w:eastAsia="黑体"/>
          <w:bCs w:val="0"/>
          <w:spacing w:val="-4"/>
          <w:sz w:val="32"/>
          <w:szCs w:val="32"/>
        </w:rPr>
      </w:pPr>
    </w:p>
    <w:p>
      <w:pPr>
        <w:spacing w:line="540" w:lineRule="exact"/>
        <w:ind w:firstLine="640"/>
        <w:rPr>
          <w:rStyle w:val="25"/>
          <w:rFonts w:eastAsia="黑体"/>
          <w:bCs w:val="0"/>
          <w:spacing w:val="-4"/>
          <w:sz w:val="32"/>
          <w:szCs w:val="32"/>
        </w:rPr>
      </w:pPr>
    </w:p>
    <w:p>
      <w:pPr>
        <w:spacing w:line="540" w:lineRule="exact"/>
        <w:rPr>
          <w:rStyle w:val="25"/>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pPr>
        <w:ind w:left="-11"/>
      </w:pPr>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5"/>
  </w:num>
  <w:num w:numId="4">
    <w:abstractNumId w:val="4"/>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wNzEzNmQwYTRmNWQ5NTdhZjI0M2Q0NjE3M2ZiNDc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575419C"/>
    <w:rsid w:val="066D6EAA"/>
    <w:rsid w:val="06DC1681"/>
    <w:rsid w:val="07104E4B"/>
    <w:rsid w:val="08C662D4"/>
    <w:rsid w:val="09BD4D95"/>
    <w:rsid w:val="0B0F58D6"/>
    <w:rsid w:val="0BA31A63"/>
    <w:rsid w:val="0F8D41CB"/>
    <w:rsid w:val="0FEE2F21"/>
    <w:rsid w:val="11C75270"/>
    <w:rsid w:val="12637CC3"/>
    <w:rsid w:val="12E657C5"/>
    <w:rsid w:val="130152C1"/>
    <w:rsid w:val="133C6E2A"/>
    <w:rsid w:val="14DE58BA"/>
    <w:rsid w:val="16565924"/>
    <w:rsid w:val="167C7687"/>
    <w:rsid w:val="168B3546"/>
    <w:rsid w:val="19A725BC"/>
    <w:rsid w:val="1A2374E0"/>
    <w:rsid w:val="1C317CE2"/>
    <w:rsid w:val="1DD45808"/>
    <w:rsid w:val="1DED42AC"/>
    <w:rsid w:val="20005763"/>
    <w:rsid w:val="209B4732"/>
    <w:rsid w:val="20FB313D"/>
    <w:rsid w:val="220B4804"/>
    <w:rsid w:val="27471663"/>
    <w:rsid w:val="278B653F"/>
    <w:rsid w:val="282475E3"/>
    <w:rsid w:val="28915381"/>
    <w:rsid w:val="29E421D9"/>
    <w:rsid w:val="2C6100C1"/>
    <w:rsid w:val="2C8903AA"/>
    <w:rsid w:val="2D202ABC"/>
    <w:rsid w:val="3235157C"/>
    <w:rsid w:val="3264220D"/>
    <w:rsid w:val="32A83563"/>
    <w:rsid w:val="38872456"/>
    <w:rsid w:val="3963178C"/>
    <w:rsid w:val="3B8A2CCC"/>
    <w:rsid w:val="3BA5236D"/>
    <w:rsid w:val="3BDE097E"/>
    <w:rsid w:val="3CED0699"/>
    <w:rsid w:val="3D6C614E"/>
    <w:rsid w:val="3EB02FD6"/>
    <w:rsid w:val="41CC2676"/>
    <w:rsid w:val="46304608"/>
    <w:rsid w:val="46B21672"/>
    <w:rsid w:val="49E14F29"/>
    <w:rsid w:val="4B2154A2"/>
    <w:rsid w:val="4EFF5393"/>
    <w:rsid w:val="4F552460"/>
    <w:rsid w:val="4FCC6863"/>
    <w:rsid w:val="500A214A"/>
    <w:rsid w:val="51600E2A"/>
    <w:rsid w:val="522D604D"/>
    <w:rsid w:val="5297585E"/>
    <w:rsid w:val="52AD7D6F"/>
    <w:rsid w:val="53C74666"/>
    <w:rsid w:val="5549519D"/>
    <w:rsid w:val="5557596B"/>
    <w:rsid w:val="5B596DFC"/>
    <w:rsid w:val="5C807311"/>
    <w:rsid w:val="5DAE6D00"/>
    <w:rsid w:val="5DEB5F1F"/>
    <w:rsid w:val="5DF03945"/>
    <w:rsid w:val="5F03526B"/>
    <w:rsid w:val="62E515AF"/>
    <w:rsid w:val="637C2815"/>
    <w:rsid w:val="666B4FDC"/>
    <w:rsid w:val="67FF13C8"/>
    <w:rsid w:val="682144B7"/>
    <w:rsid w:val="6B39651C"/>
    <w:rsid w:val="6B503F77"/>
    <w:rsid w:val="6E311968"/>
    <w:rsid w:val="7A353D0B"/>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2"/>
    <w:semiHidden/>
    <w:unhideWhenUsed/>
    <w:qFormat/>
    <w:uiPriority w:val="99"/>
    <w:rPr>
      <w:sz w:val="18"/>
      <w:szCs w:val="18"/>
    </w:rPr>
  </w:style>
  <w:style w:type="paragraph" w:styleId="16">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19">
    <w:name w:val="Normal (Web)"/>
    <w:basedOn w:val="1"/>
    <w:qFormat/>
    <w:uiPriority w:val="0"/>
    <w:pPr>
      <w:spacing w:before="100" w:beforeAutospacing="1" w:after="100" w:afterAutospacing="1"/>
      <w:jc w:val="left"/>
    </w:pPr>
    <w:rPr>
      <w:rFonts w:cs="Times New Roman"/>
      <w:kern w:val="0"/>
      <w:sz w:val="24"/>
    </w:rPr>
  </w:style>
  <w:style w:type="paragraph" w:styleId="20">
    <w:name w:val="Body Text First Indent"/>
    <w:basedOn w:val="13"/>
    <w:qFormat/>
    <w:uiPriority w:val="0"/>
    <w:pPr>
      <w:spacing w:after="0"/>
      <w:ind w:firstLine="200" w:firstLineChars="200"/>
    </w:pPr>
  </w:style>
  <w:style w:type="paragraph" w:styleId="21">
    <w:name w:val="Body Text First Indent 2"/>
    <w:basedOn w:val="14"/>
    <w:qFormat/>
    <w:uiPriority w:val="0"/>
    <w:pPr>
      <w:ind w:firstLine="420" w:firstLineChars="200"/>
    </w:p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1 字符"/>
    <w:basedOn w:val="24"/>
    <w:link w:val="3"/>
    <w:qFormat/>
    <w:uiPriority w:val="9"/>
    <w:rPr>
      <w:rFonts w:asciiTheme="majorHAnsi" w:hAnsiTheme="majorHAnsi" w:eastAsiaTheme="majorEastAsia"/>
      <w:b/>
      <w:bCs/>
      <w:kern w:val="32"/>
      <w:sz w:val="32"/>
      <w:szCs w:val="32"/>
    </w:rPr>
  </w:style>
  <w:style w:type="character" w:customStyle="1" w:styleId="28">
    <w:name w:val="标题 2 字符"/>
    <w:basedOn w:val="24"/>
    <w:link w:val="4"/>
    <w:semiHidden/>
    <w:qFormat/>
    <w:uiPriority w:val="9"/>
    <w:rPr>
      <w:rFonts w:asciiTheme="majorHAnsi" w:hAnsiTheme="majorHAnsi" w:eastAsiaTheme="majorEastAsia"/>
      <w:b/>
      <w:bCs/>
      <w:i/>
      <w:iCs/>
      <w:sz w:val="28"/>
      <w:szCs w:val="28"/>
    </w:rPr>
  </w:style>
  <w:style w:type="character" w:customStyle="1" w:styleId="29">
    <w:name w:val="标题 3 字符"/>
    <w:basedOn w:val="24"/>
    <w:link w:val="5"/>
    <w:semiHidden/>
    <w:qFormat/>
    <w:uiPriority w:val="9"/>
    <w:rPr>
      <w:rFonts w:asciiTheme="majorHAnsi" w:hAnsiTheme="majorHAnsi" w:eastAsiaTheme="majorEastAsia"/>
      <w:b/>
      <w:bCs/>
      <w:sz w:val="26"/>
      <w:szCs w:val="26"/>
    </w:rPr>
  </w:style>
  <w:style w:type="character" w:customStyle="1" w:styleId="30">
    <w:name w:val="标题 4 字符"/>
    <w:basedOn w:val="24"/>
    <w:link w:val="6"/>
    <w:semiHidden/>
    <w:qFormat/>
    <w:uiPriority w:val="9"/>
    <w:rPr>
      <w:b/>
      <w:bCs/>
      <w:sz w:val="28"/>
      <w:szCs w:val="28"/>
    </w:rPr>
  </w:style>
  <w:style w:type="character" w:customStyle="1" w:styleId="31">
    <w:name w:val="标题 5 字符"/>
    <w:basedOn w:val="24"/>
    <w:link w:val="7"/>
    <w:semiHidden/>
    <w:qFormat/>
    <w:uiPriority w:val="9"/>
    <w:rPr>
      <w:b/>
      <w:bCs/>
      <w:i/>
      <w:iCs/>
      <w:sz w:val="26"/>
      <w:szCs w:val="26"/>
    </w:rPr>
  </w:style>
  <w:style w:type="character" w:customStyle="1" w:styleId="32">
    <w:name w:val="标题 6 字符"/>
    <w:basedOn w:val="24"/>
    <w:link w:val="8"/>
    <w:semiHidden/>
    <w:qFormat/>
    <w:uiPriority w:val="9"/>
    <w:rPr>
      <w:b/>
      <w:bCs/>
    </w:rPr>
  </w:style>
  <w:style w:type="character" w:customStyle="1" w:styleId="33">
    <w:name w:val="标题 7 字符"/>
    <w:basedOn w:val="24"/>
    <w:link w:val="9"/>
    <w:semiHidden/>
    <w:qFormat/>
    <w:uiPriority w:val="9"/>
    <w:rPr>
      <w:sz w:val="24"/>
      <w:szCs w:val="24"/>
    </w:rPr>
  </w:style>
  <w:style w:type="character" w:customStyle="1" w:styleId="34">
    <w:name w:val="标题 8 字符"/>
    <w:basedOn w:val="24"/>
    <w:link w:val="10"/>
    <w:semiHidden/>
    <w:qFormat/>
    <w:uiPriority w:val="9"/>
    <w:rPr>
      <w:i/>
      <w:iCs/>
      <w:sz w:val="24"/>
      <w:szCs w:val="24"/>
    </w:rPr>
  </w:style>
  <w:style w:type="character" w:customStyle="1" w:styleId="35">
    <w:name w:val="标题 9 字符"/>
    <w:basedOn w:val="24"/>
    <w:link w:val="11"/>
    <w:semiHidden/>
    <w:qFormat/>
    <w:uiPriority w:val="9"/>
    <w:rPr>
      <w:rFonts w:asciiTheme="majorHAnsi" w:hAnsiTheme="majorHAnsi" w:eastAsiaTheme="majorEastAsia"/>
    </w:rPr>
  </w:style>
  <w:style w:type="character" w:customStyle="1" w:styleId="36">
    <w:name w:val="标题 字符"/>
    <w:basedOn w:val="24"/>
    <w:link w:val="2"/>
    <w:qFormat/>
    <w:uiPriority w:val="10"/>
    <w:rPr>
      <w:rFonts w:asciiTheme="majorHAnsi" w:hAnsiTheme="majorHAnsi" w:eastAsiaTheme="majorEastAsia"/>
      <w:b/>
      <w:bCs/>
      <w:kern w:val="28"/>
      <w:sz w:val="32"/>
      <w:szCs w:val="32"/>
    </w:rPr>
  </w:style>
  <w:style w:type="character" w:customStyle="1" w:styleId="37">
    <w:name w:val="副标题 字符"/>
    <w:basedOn w:val="24"/>
    <w:link w:val="18"/>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4"/>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4"/>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qFormat/>
    <w:uiPriority w:val="32"/>
    <w:rPr>
      <w:b/>
      <w:sz w:val="24"/>
      <w:u w:val="single"/>
    </w:rPr>
  </w:style>
  <w:style w:type="character" w:customStyle="1" w:styleId="48">
    <w:name w:val="书籍标题1"/>
    <w:basedOn w:val="24"/>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字符"/>
    <w:basedOn w:val="24"/>
    <w:link w:val="17"/>
    <w:qFormat/>
    <w:uiPriority w:val="99"/>
    <w:rPr>
      <w:rFonts w:ascii="Calibri" w:hAnsi="Calibri" w:eastAsia="宋体"/>
      <w:kern w:val="2"/>
      <w:sz w:val="18"/>
      <w:szCs w:val="18"/>
    </w:rPr>
  </w:style>
  <w:style w:type="character" w:customStyle="1" w:styleId="51">
    <w:name w:val="页脚 字符"/>
    <w:basedOn w:val="24"/>
    <w:link w:val="16"/>
    <w:qFormat/>
    <w:uiPriority w:val="99"/>
    <w:rPr>
      <w:rFonts w:ascii="Calibri" w:hAnsi="Calibri" w:eastAsia="宋体"/>
      <w:kern w:val="2"/>
      <w:sz w:val="18"/>
      <w:szCs w:val="18"/>
    </w:rPr>
  </w:style>
  <w:style w:type="character" w:customStyle="1" w:styleId="52">
    <w:name w:val="批注框文本 字符"/>
    <w:basedOn w:val="24"/>
    <w:link w:val="15"/>
    <w:semiHidden/>
    <w:qFormat/>
    <w:uiPriority w:val="99"/>
    <w:rPr>
      <w:rFonts w:ascii="Times New Roman" w:hAnsi="Times New Roman" w:eastAsia="宋体"/>
      <w:kern w:val="2"/>
      <w:sz w:val="18"/>
      <w:szCs w:val="18"/>
    </w:rPr>
  </w:style>
  <w:style w:type="paragraph" w:customStyle="1" w:styleId="5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0"/>
    <w:rPr>
      <w:rFonts w:ascii="仿宋_GB2312" w:hAnsi="仿宋_GB2312" w:eastAsia="仿宋_GB2312" w:cs="仿宋_GB2312"/>
      <w:color w:val="000000"/>
      <w:sz w:val="32"/>
      <w:szCs w:val="32"/>
    </w:rPr>
  </w:style>
  <w:style w:type="paragraph" w:customStyle="1" w:styleId="55">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8332</Words>
  <Characters>8741</Characters>
  <Lines>50</Lines>
  <Paragraphs>14</Paragraphs>
  <TotalTime>18</TotalTime>
  <ScaleCrop>false</ScaleCrop>
  <LinksUpToDate>false</LinksUpToDate>
  <CharactersWithSpaces>8775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factory</cp:lastModifiedBy>
  <cp:lastPrinted>2019-12-31T08:02:00Z</cp:lastPrinted>
  <dcterms:modified xsi:type="dcterms:W3CDTF">2024-04-12T10:34:22Z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013360FACCE1418B80C968824022A9DF</vt:lpwstr>
  </property>
  <property fmtid="{D5CDD505-2E9C-101B-9397-08002B2CF9AE}" pid="4" name="KSOSaveFontToCloudKey">
    <vt:lpwstr>0_btnclosed</vt:lpwstr>
  </property>
</Properties>
</file>