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94" w:rsidRDefault="00951494" w:rsidP="00951494">
      <w:pPr>
        <w:overflowPunct w:val="0"/>
        <w:autoSpaceDE w:val="0"/>
        <w:autoSpaceDN w:val="0"/>
        <w:adjustRightInd w:val="0"/>
        <w:snapToGrid w:val="0"/>
        <w:spacing w:line="520" w:lineRule="exact"/>
        <w:rPr>
          <w:rFonts w:ascii="黑体" w:eastAsia="黑体" w:hAnsi="黑体"/>
          <w:sz w:val="32"/>
          <w:szCs w:val="32"/>
        </w:rPr>
      </w:pPr>
      <w:r>
        <w:rPr>
          <w:rFonts w:ascii="黑体" w:eastAsia="黑体" w:hAnsi="黑体" w:hint="eastAsia"/>
          <w:sz w:val="32"/>
          <w:szCs w:val="32"/>
        </w:rPr>
        <w:t>附件2</w:t>
      </w:r>
    </w:p>
    <w:p w:rsidR="00951494" w:rsidRDefault="00951494" w:rsidP="00951494">
      <w:pPr>
        <w:pStyle w:val="a3"/>
        <w:overflowPunct w:val="0"/>
        <w:autoSpaceDE w:val="0"/>
        <w:autoSpaceDN w:val="0"/>
        <w:adjustRightInd w:val="0"/>
        <w:snapToGrid w:val="0"/>
        <w:spacing w:line="560" w:lineRule="exact"/>
        <w:rPr>
          <w:rFonts w:ascii="方正小标宋简体" w:eastAsia="方正小标宋简体" w:hAnsi="方正小标宋简体" w:cs="方正小标宋简体"/>
          <w:bCs w:val="0"/>
          <w:sz w:val="44"/>
          <w:szCs w:val="44"/>
        </w:rPr>
      </w:pPr>
      <w:bookmarkStart w:id="0" w:name="_GoBack"/>
      <w:r>
        <w:rPr>
          <w:rFonts w:ascii="方正小标宋简体" w:eastAsia="方正小标宋简体" w:hAnsi="方正小标宋简体" w:cs="方正小标宋简体" w:hint="eastAsia"/>
          <w:bCs w:val="0"/>
          <w:sz w:val="44"/>
          <w:szCs w:val="44"/>
        </w:rPr>
        <w:t>表现突出组织评选细则</w:t>
      </w:r>
    </w:p>
    <w:bookmarkEnd w:id="0"/>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p>
    <w:p w:rsidR="00951494" w:rsidRDefault="00951494" w:rsidP="00951494">
      <w:pPr>
        <w:overflowPunct w:val="0"/>
        <w:autoSpaceDE w:val="0"/>
        <w:autoSpaceDN w:val="0"/>
        <w:adjustRightInd w:val="0"/>
        <w:snapToGrid w:val="0"/>
        <w:spacing w:line="520" w:lineRule="exact"/>
        <w:rPr>
          <w:rFonts w:ascii="仿宋_GB2312" w:eastAsia="仿宋_GB2312" w:hint="eastAsia"/>
          <w:sz w:val="32"/>
          <w:szCs w:val="32"/>
        </w:rPr>
      </w:pPr>
      <w:r>
        <w:rPr>
          <w:rFonts w:ascii="仿宋_GB2312" w:eastAsia="仿宋_GB2312" w:hint="eastAsia"/>
          <w:sz w:val="32"/>
          <w:szCs w:val="32"/>
        </w:rPr>
        <w:t xml:space="preserve">    根据各地（州、市）生态环境部门在生态环境保护执法大练兵活动中动员部署、活动实施、组织参与专项活动表现、练兵成绩等情况，在各地（州、市）生态环境部门中，评选出1个表现突出组织单位。我厅将成立专项评审小组，对各地（州、市）相关工作情况进行综合评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对表现突出组织单位设5项评价指标：分别为“活动实施”“队伍建设与管理”“信息化建设与应用”“网络知识竞赛活动表现”“大练兵成绩”，另设“创新措施”为附加项。</w:t>
      </w:r>
    </w:p>
    <w:p w:rsidR="00951494" w:rsidRDefault="00951494" w:rsidP="00951494">
      <w:pPr>
        <w:pStyle w:val="1"/>
        <w:keepNext w:val="0"/>
        <w:keepLines w:val="0"/>
        <w:overflowPunct w:val="0"/>
        <w:autoSpaceDE w:val="0"/>
        <w:autoSpaceDN w:val="0"/>
        <w:adjustRightInd w:val="0"/>
        <w:snapToGrid w:val="0"/>
        <w:spacing w:line="520" w:lineRule="exact"/>
        <w:ind w:firstLineChars="0" w:firstLine="0"/>
        <w:rPr>
          <w:rFonts w:ascii="黑体" w:hAnsi="黑体" w:cs="黑体" w:hint="eastAsia"/>
          <w:bCs w:val="0"/>
          <w:szCs w:val="32"/>
        </w:rPr>
      </w:pPr>
      <w:r>
        <w:rPr>
          <w:rFonts w:ascii="仿宋_GB2312" w:eastAsia="仿宋_GB2312" w:hAnsi="黑体" w:cs="黑体" w:hint="eastAsia"/>
          <w:bCs w:val="0"/>
          <w:szCs w:val="32"/>
        </w:rPr>
        <w:t xml:space="preserve">    </w:t>
      </w:r>
      <w:r>
        <w:rPr>
          <w:rFonts w:ascii="黑体" w:hAnsi="黑体" w:cs="黑体" w:hint="eastAsia"/>
          <w:bCs w:val="0"/>
          <w:szCs w:val="32"/>
        </w:rPr>
        <w:t>一、“活动实施”指标（25分）</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t>（一）指标说明</w:t>
      </w:r>
    </w:p>
    <w:p w:rsidR="00951494" w:rsidRDefault="00951494" w:rsidP="00951494">
      <w:pPr>
        <w:overflowPunct w:val="0"/>
        <w:autoSpaceDE w:val="0"/>
        <w:autoSpaceDN w:val="0"/>
        <w:adjustRightInd w:val="0"/>
        <w:snapToGrid w:val="0"/>
        <w:spacing w:line="520" w:lineRule="exact"/>
        <w:ind w:firstLine="640"/>
        <w:rPr>
          <w:rFonts w:ascii="仿宋_GB2312" w:eastAsia="仿宋_GB2312" w:hAnsi="仿宋_GB2312" w:hint="eastAsia"/>
          <w:sz w:val="32"/>
          <w:szCs w:val="32"/>
        </w:rPr>
      </w:pPr>
      <w:r>
        <w:rPr>
          <w:rFonts w:ascii="仿宋_GB2312" w:eastAsia="仿宋_GB2312" w:hAnsi="仿宋_GB2312" w:hint="eastAsia"/>
          <w:sz w:val="32"/>
          <w:szCs w:val="32"/>
        </w:rPr>
        <w:t>评价各地（州、市）生态环境部门在大练兵中多</w:t>
      </w:r>
      <w:proofErr w:type="gramStart"/>
      <w:r>
        <w:rPr>
          <w:rFonts w:ascii="仿宋_GB2312" w:eastAsia="仿宋_GB2312" w:hAnsi="仿宋_GB2312" w:hint="eastAsia"/>
          <w:sz w:val="32"/>
          <w:szCs w:val="32"/>
        </w:rPr>
        <w:t>措</w:t>
      </w:r>
      <w:proofErr w:type="gramEnd"/>
      <w:r>
        <w:rPr>
          <w:rFonts w:ascii="仿宋_GB2312" w:eastAsia="仿宋_GB2312" w:hAnsi="仿宋_GB2312" w:hint="eastAsia"/>
          <w:sz w:val="32"/>
          <w:szCs w:val="32"/>
        </w:rPr>
        <w:t>并举规范行政处罚、开展大练兵宣传和激励措施等情况。</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t>（二）评价内容</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eastAsia="仿宋_GB2312" w:hAnsi="楷体_GB2312" w:cs="楷体_GB2312" w:hint="eastAsia"/>
          <w:b w:val="0"/>
          <w:bCs w:val="0"/>
        </w:rPr>
      </w:pPr>
      <w:r>
        <w:rPr>
          <w:rFonts w:eastAsia="仿宋_GB2312" w:hAnsi="楷体_GB2312" w:cs="楷体_GB2312" w:hint="eastAsia"/>
          <w:b w:val="0"/>
          <w:bCs w:val="0"/>
        </w:rPr>
        <w:t>1.规范行政处罚（15分）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结合实际采用理论学习、实战比武、交叉执法、稽查帮扶、问题通报、发布典型案例等多种形式提升执法能力。</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eastAsia="仿宋_GB2312" w:hAnsi="楷体_GB2312" w:cs="楷体_GB2312" w:hint="eastAsia"/>
          <w:b w:val="0"/>
          <w:bCs w:val="0"/>
        </w:rPr>
      </w:pPr>
      <w:r>
        <w:rPr>
          <w:rFonts w:eastAsia="仿宋_GB2312" w:hAnsi="楷体_GB2312" w:cs="楷体_GB2312" w:hint="eastAsia"/>
          <w:b w:val="0"/>
          <w:bCs w:val="0"/>
        </w:rPr>
        <w:t>2.开展大练兵宣传（5分）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在门户网站或</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开设大练兵宣传专栏，利用地州市媒体宣传大练兵动态，在生态环境厅“大练兵专栏”、“新疆生态环境”</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、生态环境部《中国环境报》上刊发稿件数量。</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eastAsia="仿宋_GB2312" w:hAnsi="楷体_GB2312" w:cs="楷体_GB2312" w:hint="eastAsia"/>
          <w:b w:val="0"/>
          <w:bCs w:val="0"/>
        </w:rPr>
      </w:pPr>
      <w:r>
        <w:rPr>
          <w:rFonts w:eastAsia="仿宋_GB2312" w:hAnsi="楷体_GB2312" w:cs="楷体_GB2312" w:hint="eastAsia"/>
          <w:b w:val="0"/>
          <w:bCs w:val="0"/>
        </w:rPr>
        <w:t>3.激励措施（5分）</w:t>
      </w:r>
    </w:p>
    <w:p w:rsidR="00951494" w:rsidRDefault="00951494" w:rsidP="00951494">
      <w:pPr>
        <w:pStyle w:val="2"/>
        <w:keepNext w:val="0"/>
        <w:keepLines w:val="0"/>
        <w:overflowPunct w:val="0"/>
        <w:autoSpaceDE w:val="0"/>
        <w:autoSpaceDN w:val="0"/>
        <w:adjustRightInd w:val="0"/>
        <w:snapToGrid w:val="0"/>
        <w:spacing w:line="500" w:lineRule="exact"/>
        <w:ind w:firstLine="640"/>
        <w:rPr>
          <w:rFonts w:eastAsia="仿宋_GB2312" w:hAnsi="仿宋_GB2312" w:cs="仿宋_GB2312" w:hint="eastAsia"/>
          <w:b w:val="0"/>
          <w:bCs w:val="0"/>
        </w:rPr>
      </w:pPr>
      <w:r>
        <w:rPr>
          <w:rFonts w:eastAsia="仿宋_GB2312" w:hAnsi="仿宋_GB2312" w:cs="仿宋_GB2312" w:hint="eastAsia"/>
          <w:b w:val="0"/>
          <w:bCs w:val="0"/>
        </w:rPr>
        <w:t>根据各地（州、市）生态环境部门对2019年大练兵表现</w:t>
      </w:r>
      <w:r>
        <w:rPr>
          <w:rFonts w:eastAsia="仿宋_GB2312" w:hAnsi="仿宋_GB2312" w:cs="仿宋_GB2312" w:hint="eastAsia"/>
          <w:b w:val="0"/>
          <w:bCs w:val="0"/>
        </w:rPr>
        <w:lastRenderedPageBreak/>
        <w:t>突出集体和个人采取记功、表彰、通报表扬等措施，视表彰奖励力度相应得分。</w:t>
      </w:r>
    </w:p>
    <w:p w:rsidR="00951494" w:rsidRDefault="00951494" w:rsidP="00951494">
      <w:pPr>
        <w:numPr>
          <w:ilvl w:val="0"/>
          <w:numId w:val="1"/>
        </w:numPr>
        <w:overflowPunct w:val="0"/>
        <w:autoSpaceDE w:val="0"/>
        <w:autoSpaceDN w:val="0"/>
        <w:adjustRightInd w:val="0"/>
        <w:snapToGrid w:val="0"/>
        <w:spacing w:line="5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材料来源</w:t>
      </w:r>
    </w:p>
    <w:p w:rsidR="00951494" w:rsidRDefault="00951494" w:rsidP="00951494">
      <w:pPr>
        <w:overflowPunct w:val="0"/>
        <w:autoSpaceDE w:val="0"/>
        <w:autoSpaceDN w:val="0"/>
        <w:adjustRightInd w:val="0"/>
        <w:snapToGrid w:val="0"/>
        <w:spacing w:line="500" w:lineRule="exact"/>
        <w:rPr>
          <w:rFonts w:ascii="仿宋_GB2312" w:eastAsia="仿宋_GB2312" w:hint="eastAsia"/>
          <w:sz w:val="32"/>
          <w:szCs w:val="32"/>
        </w:rPr>
      </w:pPr>
      <w:r>
        <w:rPr>
          <w:rFonts w:ascii="仿宋_GB2312" w:eastAsia="仿宋_GB2312" w:hAnsi="仿宋_GB2312" w:hint="eastAsia"/>
          <w:sz w:val="32"/>
          <w:szCs w:val="32"/>
        </w:rPr>
        <w:t xml:space="preserve">    各</w:t>
      </w:r>
      <w:r>
        <w:rPr>
          <w:rFonts w:ascii="仿宋_GB2312" w:eastAsia="仿宋_GB2312" w:hint="eastAsia"/>
          <w:sz w:val="32"/>
          <w:szCs w:val="32"/>
        </w:rPr>
        <w:t>地（州、市）</w:t>
      </w:r>
      <w:r>
        <w:rPr>
          <w:rFonts w:ascii="仿宋_GB2312" w:eastAsia="仿宋_GB2312" w:hAnsi="仿宋_GB2312" w:hint="eastAsia"/>
          <w:sz w:val="32"/>
          <w:szCs w:val="32"/>
        </w:rPr>
        <w:t>生态环境部门</w:t>
      </w:r>
      <w:r>
        <w:rPr>
          <w:rFonts w:ascii="仿宋_GB2312" w:eastAsia="仿宋_GB2312" w:hint="eastAsia"/>
          <w:sz w:val="32"/>
          <w:szCs w:val="32"/>
        </w:rPr>
        <w:t>按要求报送的大练兵总结报告和自评报告、活动动态；投稿情况；在大练兵信息填报系统中报送自治区级及以上门户网站、新闻媒体、报刊等平台上发布的信息，包括发布时间、标题、链接或扫描件。</w:t>
      </w:r>
    </w:p>
    <w:p w:rsidR="00951494" w:rsidRDefault="00951494" w:rsidP="00951494">
      <w:pPr>
        <w:pStyle w:val="1"/>
        <w:keepNext w:val="0"/>
        <w:keepLines w:val="0"/>
        <w:overflowPunct w:val="0"/>
        <w:autoSpaceDE w:val="0"/>
        <w:autoSpaceDN w:val="0"/>
        <w:adjustRightInd w:val="0"/>
        <w:snapToGrid w:val="0"/>
        <w:spacing w:line="500" w:lineRule="exact"/>
        <w:ind w:firstLine="640"/>
        <w:rPr>
          <w:rFonts w:ascii="黑体" w:hAnsi="黑体" w:cs="黑体" w:hint="eastAsia"/>
          <w:bCs w:val="0"/>
          <w:szCs w:val="32"/>
        </w:rPr>
      </w:pPr>
      <w:r>
        <w:rPr>
          <w:rFonts w:ascii="黑体" w:hAnsi="黑体" w:cs="黑体" w:hint="eastAsia"/>
          <w:bCs w:val="0"/>
          <w:szCs w:val="32"/>
        </w:rPr>
        <w:t>二、“队伍建设与管理”指标（35分）</w:t>
      </w:r>
    </w:p>
    <w:p w:rsidR="00951494" w:rsidRDefault="00951494" w:rsidP="00951494">
      <w:pPr>
        <w:pStyle w:val="2"/>
        <w:keepNext w:val="0"/>
        <w:keepLines w:val="0"/>
        <w:overflowPunct w:val="0"/>
        <w:autoSpaceDE w:val="0"/>
        <w:autoSpaceDN w:val="0"/>
        <w:adjustRightInd w:val="0"/>
        <w:snapToGrid w:val="0"/>
        <w:spacing w:line="500" w:lineRule="exact"/>
        <w:ind w:firstLine="640"/>
        <w:rPr>
          <w:rFonts w:ascii="楷体_GB2312" w:hAnsi="楷体_GB2312" w:cs="楷体_GB2312" w:hint="eastAsia"/>
          <w:b w:val="0"/>
          <w:bCs w:val="0"/>
        </w:rPr>
      </w:pPr>
      <w:r>
        <w:rPr>
          <w:rFonts w:ascii="楷体_GB2312" w:hAnsi="楷体_GB2312" w:cs="楷体_GB2312" w:hint="eastAsia"/>
          <w:b w:val="0"/>
          <w:bCs w:val="0"/>
        </w:rPr>
        <w:t>（一）指标说明</w:t>
      </w:r>
    </w:p>
    <w:p w:rsidR="00951494" w:rsidRDefault="00951494" w:rsidP="00951494">
      <w:pPr>
        <w:overflowPunct w:val="0"/>
        <w:autoSpaceDE w:val="0"/>
        <w:autoSpaceDN w:val="0"/>
        <w:adjustRightInd w:val="0"/>
        <w:snapToGrid w:val="0"/>
        <w:spacing w:line="500" w:lineRule="exact"/>
        <w:ind w:firstLine="640"/>
        <w:rPr>
          <w:rFonts w:ascii="仿宋_GB2312" w:eastAsia="仿宋_GB2312" w:hint="eastAsia"/>
          <w:sz w:val="32"/>
          <w:szCs w:val="32"/>
        </w:rPr>
      </w:pPr>
      <w:r>
        <w:rPr>
          <w:rFonts w:ascii="仿宋_GB2312" w:eastAsia="仿宋_GB2312" w:hint="eastAsia"/>
          <w:sz w:val="32"/>
          <w:szCs w:val="32"/>
        </w:rPr>
        <w:t>评价各地（州、市）级生态环境部门加强制度建设，指导行政区域内执法机构提升执法案卷质量、抽调人员参与强化监督表现等情况。</w:t>
      </w:r>
    </w:p>
    <w:p w:rsidR="00951494" w:rsidRDefault="00951494" w:rsidP="00951494">
      <w:pPr>
        <w:pStyle w:val="2"/>
        <w:keepNext w:val="0"/>
        <w:keepLines w:val="0"/>
        <w:overflowPunct w:val="0"/>
        <w:autoSpaceDE w:val="0"/>
        <w:autoSpaceDN w:val="0"/>
        <w:adjustRightInd w:val="0"/>
        <w:snapToGrid w:val="0"/>
        <w:spacing w:line="500" w:lineRule="exact"/>
        <w:ind w:firstLine="640"/>
        <w:rPr>
          <w:rFonts w:ascii="楷体_GB2312" w:hAnsi="楷体_GB2312" w:cs="楷体_GB2312" w:hint="eastAsia"/>
          <w:b w:val="0"/>
          <w:bCs w:val="0"/>
        </w:rPr>
      </w:pPr>
      <w:r>
        <w:rPr>
          <w:rFonts w:ascii="楷体_GB2312" w:hAnsi="楷体_GB2312" w:cs="楷体_GB2312" w:hint="eastAsia"/>
          <w:b w:val="0"/>
          <w:bCs w:val="0"/>
        </w:rPr>
        <w:t>（二）评价方法</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本项指标共计35分。其中，制度建设和执行情况15分，案卷抽查情况10分，强化监督表现10分。</w:t>
      </w:r>
    </w:p>
    <w:p w:rsidR="00951494" w:rsidRDefault="00951494" w:rsidP="00951494">
      <w:pPr>
        <w:pStyle w:val="3"/>
        <w:overflowPunct w:val="0"/>
        <w:autoSpaceDE w:val="0"/>
        <w:autoSpaceDN w:val="0"/>
        <w:adjustRightInd w:val="0"/>
        <w:snapToGrid w:val="0"/>
        <w:spacing w:before="0" w:after="0" w:line="520" w:lineRule="exact"/>
        <w:ind w:firstLine="633"/>
        <w:rPr>
          <w:rFonts w:ascii="仿宋_GB2312" w:eastAsia="仿宋_GB2312" w:hint="eastAsia"/>
          <w:b w:val="0"/>
          <w:bCs w:val="0"/>
        </w:rPr>
      </w:pPr>
      <w:r>
        <w:rPr>
          <w:rFonts w:ascii="仿宋_GB2312" w:eastAsia="仿宋_GB2312" w:hint="eastAsia"/>
          <w:b w:val="0"/>
          <w:bCs w:val="0"/>
        </w:rPr>
        <w:t>1.“制度建设和执行情况”指标（15分）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加快制定出台行政执法公示、执法全过程记录、重大执法决定法制审核（以下简称“三项制度”），生态环境违法行为举报奖励，执法人员考核奖惩，人身安全保障，尽职照单免责和失职照单问责等管理制度，建立行政执法与刑事司法衔接机制，细化环境行政处罚自由</w:t>
      </w:r>
      <w:proofErr w:type="gramStart"/>
      <w:r>
        <w:rPr>
          <w:rFonts w:ascii="仿宋_GB2312" w:eastAsia="仿宋_GB2312" w:hint="eastAsia"/>
          <w:sz w:val="32"/>
          <w:szCs w:val="32"/>
        </w:rPr>
        <w:t>裁</w:t>
      </w:r>
      <w:proofErr w:type="gramEnd"/>
      <w:r>
        <w:rPr>
          <w:rFonts w:ascii="仿宋_GB2312" w:eastAsia="仿宋_GB2312" w:hint="eastAsia"/>
          <w:sz w:val="32"/>
          <w:szCs w:val="32"/>
        </w:rPr>
        <w:t>量规则和基准。对因严格执行“三项制度”、规范适用自由裁量权、完善行政执法与刑事司法衔接机制和举报奖励工作成效显著得到有关单位表扬、推广、借鉴，起到示范作用的予以额外加分；在执法人员评优、晋升等方面运用考核结果、为执法人员购买人身意外伤害险、对履职尽责执法人员实行容错纠错减免责任的予以额外加分。</w:t>
      </w:r>
    </w:p>
    <w:p w:rsidR="00951494" w:rsidRDefault="00951494" w:rsidP="00951494">
      <w:pPr>
        <w:pStyle w:val="3"/>
        <w:overflowPunct w:val="0"/>
        <w:autoSpaceDE w:val="0"/>
        <w:autoSpaceDN w:val="0"/>
        <w:adjustRightInd w:val="0"/>
        <w:snapToGrid w:val="0"/>
        <w:spacing w:before="0" w:after="0" w:line="520" w:lineRule="exact"/>
        <w:ind w:firstLine="633"/>
        <w:rPr>
          <w:rFonts w:ascii="仿宋_GB2312" w:eastAsia="仿宋_GB2312" w:hint="eastAsia"/>
          <w:b w:val="0"/>
          <w:bCs w:val="0"/>
        </w:rPr>
      </w:pPr>
      <w:r>
        <w:rPr>
          <w:rFonts w:ascii="仿宋_GB2312" w:eastAsia="仿宋_GB2312" w:hint="eastAsia"/>
          <w:b w:val="0"/>
          <w:bCs w:val="0"/>
        </w:rPr>
        <w:lastRenderedPageBreak/>
        <w:t>2.“案卷抽查情况”指标（10分）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我</w:t>
      </w:r>
      <w:r>
        <w:rPr>
          <w:rFonts w:ascii="仿宋_GB2312" w:eastAsia="仿宋_GB2312" w:hint="eastAsia"/>
          <w:spacing w:val="-4"/>
          <w:sz w:val="32"/>
          <w:szCs w:val="32"/>
        </w:rPr>
        <w:t>厅将分别于2020年7月、11月组织上半年和下半年案卷抽查，</w:t>
      </w:r>
      <w:r>
        <w:rPr>
          <w:rFonts w:ascii="仿宋_GB2312" w:eastAsia="仿宋_GB2312" w:hint="eastAsia"/>
          <w:spacing w:val="-6"/>
          <w:sz w:val="32"/>
          <w:szCs w:val="32"/>
        </w:rPr>
        <w:t>针对</w:t>
      </w:r>
      <w:r>
        <w:rPr>
          <w:rFonts w:ascii="仿宋_GB2312" w:eastAsia="仿宋_GB2312" w:hint="eastAsia"/>
          <w:sz w:val="32"/>
          <w:szCs w:val="32"/>
        </w:rPr>
        <w:t>各地（州、市）生态环境部门</w:t>
      </w:r>
      <w:r>
        <w:rPr>
          <w:rFonts w:ascii="仿宋_GB2312" w:eastAsia="仿宋_GB2312" w:hint="eastAsia"/>
          <w:spacing w:val="-6"/>
          <w:sz w:val="32"/>
          <w:szCs w:val="32"/>
        </w:rPr>
        <w:t>每次随机抽取6份案卷进行评审（地州市本级3卷，县市区执法机构办理案卷3份，同一县市最多抽取1份案卷），抽选案卷以系统内上传信息为准，处罚情况未在门户网站公开的，该案卷按0分计。上、下半年案卷抽查成绩取平均值作为本指标最终得分</w:t>
      </w:r>
      <w:r>
        <w:rPr>
          <w:rFonts w:ascii="仿宋_GB2312" w:eastAsia="仿宋_GB2312" w:hint="eastAsia"/>
          <w:sz w:val="32"/>
          <w:szCs w:val="32"/>
        </w:rPr>
        <w:t>。</w:t>
      </w:r>
    </w:p>
    <w:p w:rsidR="00951494" w:rsidRDefault="00951494" w:rsidP="00951494">
      <w:pPr>
        <w:overflowPunct w:val="0"/>
        <w:autoSpaceDE w:val="0"/>
        <w:autoSpaceDN w:val="0"/>
        <w:adjustRightInd w:val="0"/>
        <w:snapToGrid w:val="0"/>
        <w:spacing w:line="520" w:lineRule="exact"/>
        <w:rPr>
          <w:rFonts w:ascii="仿宋_GB2312" w:eastAsia="仿宋_GB2312" w:hint="eastAsia"/>
          <w:sz w:val="32"/>
          <w:szCs w:val="32"/>
        </w:rPr>
      </w:pPr>
      <w:r>
        <w:rPr>
          <w:rFonts w:ascii="仿宋_GB2312" w:eastAsia="仿宋_GB2312" w:hint="eastAsia"/>
          <w:sz w:val="32"/>
          <w:szCs w:val="32"/>
        </w:rPr>
        <w:t xml:space="preserve">    案卷抽查工作结束后，我厅将抽查结果向各地（州、市）生态环境部门反馈，并视情况对抽查成绩靠后的进行通报。</w:t>
      </w:r>
    </w:p>
    <w:p w:rsidR="00951494" w:rsidRDefault="00951494" w:rsidP="00951494">
      <w:pPr>
        <w:pStyle w:val="2"/>
        <w:keepNext w:val="0"/>
        <w:keepLines w:val="0"/>
        <w:overflowPunct w:val="0"/>
        <w:autoSpaceDE w:val="0"/>
        <w:autoSpaceDN w:val="0"/>
        <w:adjustRightInd w:val="0"/>
        <w:snapToGrid w:val="0"/>
        <w:spacing w:line="520" w:lineRule="exact"/>
        <w:ind w:firstLineChars="0" w:firstLine="0"/>
        <w:rPr>
          <w:rFonts w:eastAsia="仿宋_GB2312" w:hAnsi="仿宋_GB2312" w:cs="仿宋_GB2312" w:hint="eastAsia"/>
          <w:b w:val="0"/>
          <w:bCs w:val="0"/>
        </w:rPr>
      </w:pPr>
      <w:r>
        <w:rPr>
          <w:rFonts w:eastAsia="仿宋_GB2312" w:hAnsi="仿宋_GB2312" w:cs="仿宋_GB2312" w:hint="eastAsia"/>
          <w:b w:val="0"/>
          <w:bCs w:val="0"/>
        </w:rPr>
        <w:t xml:space="preserve">    3.“强化监督”表现（10分）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根据各地（州、市）生态环境部门抽调执法人员参加强化监督行动的数量和表现加分；存在不服从指挥调度、不遵守组织纪律等情况的，视情节扣分。派出人员被查实存在廉政问题的，本项指标得0分。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未被我厅抽调参加强化监督行动的地（州、市）生态环境部门，按其他地（州、市）生态环境部门该指标平均分得分。</w:t>
      </w:r>
    </w:p>
    <w:p w:rsidR="00951494" w:rsidRDefault="00951494" w:rsidP="00951494">
      <w:pPr>
        <w:pStyle w:val="2"/>
        <w:keepNext w:val="0"/>
        <w:keepLines w:val="0"/>
        <w:overflowPunct w:val="0"/>
        <w:autoSpaceDE w:val="0"/>
        <w:autoSpaceDN w:val="0"/>
        <w:adjustRightInd w:val="0"/>
        <w:snapToGrid w:val="0"/>
        <w:spacing w:line="520" w:lineRule="exact"/>
        <w:ind w:firstLineChars="0" w:firstLine="0"/>
        <w:rPr>
          <w:rFonts w:ascii="楷体_GB2312" w:hint="eastAsia"/>
          <w:b w:val="0"/>
          <w:bCs w:val="0"/>
        </w:rPr>
      </w:pPr>
      <w:r>
        <w:rPr>
          <w:rFonts w:eastAsia="仿宋_GB2312" w:hint="eastAsia"/>
          <w:b w:val="0"/>
          <w:bCs w:val="0"/>
        </w:rPr>
        <w:t xml:space="preserve">    </w:t>
      </w:r>
      <w:r>
        <w:rPr>
          <w:rFonts w:ascii="楷体_GB2312" w:hint="eastAsia"/>
          <w:b w:val="0"/>
          <w:bCs w:val="0"/>
        </w:rPr>
        <w:t>（三）数据来源</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各地（州、市）生态环境部门提供的大练兵总结报告；生态环境厅负责强化监督工作部门提供的相关资料与数据。</w:t>
      </w:r>
    </w:p>
    <w:p w:rsidR="00951494" w:rsidRDefault="00951494" w:rsidP="00951494">
      <w:pPr>
        <w:pStyle w:val="3"/>
        <w:overflowPunct w:val="0"/>
        <w:autoSpaceDE w:val="0"/>
        <w:autoSpaceDN w:val="0"/>
        <w:adjustRightInd w:val="0"/>
        <w:snapToGrid w:val="0"/>
        <w:spacing w:before="0" w:after="0" w:line="520" w:lineRule="exact"/>
        <w:ind w:firstLine="633"/>
        <w:rPr>
          <w:rFonts w:ascii="黑体" w:eastAsia="黑体" w:hAnsi="黑体" w:cs="黑体" w:hint="eastAsia"/>
          <w:b w:val="0"/>
          <w:bCs w:val="0"/>
        </w:rPr>
      </w:pPr>
      <w:r>
        <w:rPr>
          <w:rFonts w:ascii="黑体" w:eastAsia="黑体" w:hAnsi="黑体" w:cs="黑体" w:hint="eastAsia"/>
          <w:b w:val="0"/>
          <w:bCs w:val="0"/>
        </w:rPr>
        <w:t>三、“信息化建设与应用”指标（15分）</w:t>
      </w:r>
    </w:p>
    <w:p w:rsidR="00951494" w:rsidRDefault="00951494" w:rsidP="00951494">
      <w:pPr>
        <w:overflowPunct w:val="0"/>
        <w:autoSpaceDE w:val="0"/>
        <w:autoSpaceDN w:val="0"/>
        <w:adjustRightInd w:val="0"/>
        <w:snapToGrid w:val="0"/>
        <w:spacing w:line="520" w:lineRule="exact"/>
        <w:ind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（一）指标说明</w:t>
      </w:r>
    </w:p>
    <w:p w:rsidR="00951494" w:rsidRDefault="00951494" w:rsidP="00951494">
      <w:pPr>
        <w:pStyle w:val="2"/>
        <w:keepNext w:val="0"/>
        <w:keepLines w:val="0"/>
        <w:overflowPunct w:val="0"/>
        <w:autoSpaceDE w:val="0"/>
        <w:autoSpaceDN w:val="0"/>
        <w:adjustRightInd w:val="0"/>
        <w:snapToGrid w:val="0"/>
        <w:spacing w:line="520" w:lineRule="exact"/>
        <w:ind w:firstLine="600"/>
        <w:rPr>
          <w:rFonts w:eastAsia="仿宋_GB2312" w:hAnsi="仿宋_GB2312" w:cs="仿宋_GB2312" w:hint="eastAsia"/>
          <w:b w:val="0"/>
          <w:bCs w:val="0"/>
        </w:rPr>
      </w:pPr>
      <w:r>
        <w:rPr>
          <w:rFonts w:eastAsia="仿宋_GB2312" w:hAnsi="仿宋_GB2312" w:cs="仿宋_GB2312" w:hint="eastAsia"/>
          <w:b w:val="0"/>
          <w:bCs w:val="0"/>
          <w:spacing w:val="-10"/>
        </w:rPr>
        <w:t>评价各地移动执法系统建设和污染源自动监控执法应用情况</w:t>
      </w:r>
      <w:r>
        <w:rPr>
          <w:rFonts w:eastAsia="仿宋_GB2312" w:hAnsi="仿宋_GB2312" w:cs="仿宋_GB2312" w:hint="eastAsia"/>
          <w:b w:val="0"/>
          <w:bCs w:val="0"/>
        </w:rPr>
        <w:t>。</w:t>
      </w:r>
    </w:p>
    <w:p w:rsidR="00951494" w:rsidRDefault="00951494" w:rsidP="00951494">
      <w:pPr>
        <w:overflowPunct w:val="0"/>
        <w:autoSpaceDE w:val="0"/>
        <w:autoSpaceDN w:val="0"/>
        <w:adjustRightInd w:val="0"/>
        <w:snapToGrid w:val="0"/>
        <w:spacing w:line="520" w:lineRule="exact"/>
        <w:ind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（二）评价方法</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本项指标共计15分。其中，移动执法系统建设使用10分，</w:t>
      </w:r>
      <w:r>
        <w:rPr>
          <w:rFonts w:ascii="仿宋_GB2312" w:eastAsia="仿宋_GB2312" w:hint="eastAsia"/>
          <w:sz w:val="32"/>
          <w:szCs w:val="32"/>
        </w:rPr>
        <w:lastRenderedPageBreak/>
        <w:t>污染源自动监控执法应用5分。</w:t>
      </w:r>
    </w:p>
    <w:p w:rsidR="00951494" w:rsidRDefault="00951494" w:rsidP="00951494">
      <w:pPr>
        <w:pStyle w:val="3"/>
        <w:overflowPunct w:val="0"/>
        <w:autoSpaceDE w:val="0"/>
        <w:autoSpaceDN w:val="0"/>
        <w:adjustRightInd w:val="0"/>
        <w:snapToGrid w:val="0"/>
        <w:spacing w:before="0" w:after="0" w:line="520" w:lineRule="exact"/>
        <w:ind w:firstLine="633"/>
        <w:rPr>
          <w:rFonts w:ascii="仿宋_GB2312" w:eastAsia="仿宋_GB2312" w:hint="eastAsia"/>
          <w:b w:val="0"/>
          <w:bCs w:val="0"/>
        </w:rPr>
      </w:pPr>
      <w:r>
        <w:rPr>
          <w:rFonts w:ascii="仿宋_GB2312" w:eastAsia="仿宋_GB2312" w:hint="eastAsia"/>
          <w:b w:val="0"/>
          <w:bCs w:val="0"/>
        </w:rPr>
        <w:t>1.“移动执法系统建设使用”指标（10分）</w:t>
      </w:r>
    </w:p>
    <w:p w:rsidR="00951494" w:rsidRDefault="00951494" w:rsidP="00951494">
      <w:pPr>
        <w:spacing w:line="520" w:lineRule="exact"/>
        <w:ind w:firstLine="640"/>
        <w:rPr>
          <w:rFonts w:ascii="仿宋_GB2312" w:eastAsia="仿宋_GB2312" w:hint="eastAsia"/>
          <w:sz w:val="32"/>
          <w:szCs w:val="32"/>
        </w:rPr>
      </w:pPr>
      <w:r>
        <w:rPr>
          <w:rFonts w:ascii="仿宋_GB2312" w:eastAsia="仿宋_GB2312" w:hint="eastAsia"/>
          <w:sz w:val="32"/>
          <w:szCs w:val="32"/>
        </w:rPr>
        <w:t>本项指标满分条件包括：①按照要求完成移动执法系统建设，具备信息查询、任务管理、现场检查、稽查考核等4项基本功能，执法文书均由移动执法系统生成；②辖区内所有生态环境执法机构配备使用便携式手持移动执法终端；③辖区内生态环境执法机构均能够实时上报现场检查数据，上报现场执法检查数据机构占比不低于95%；④辖区内生态环境执法机构上传至新疆移动执法系统的日常检查次数大于或等于“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公开”数量；⑤以辖区内生态环境执法机构在编在岗执法人员为基数，每月人均上报执法检查记录数量不少于2条（疫情结束后开始计算）。</w:t>
      </w:r>
    </w:p>
    <w:p w:rsidR="00951494" w:rsidRDefault="00951494" w:rsidP="00951494">
      <w:pPr>
        <w:spacing w:line="520" w:lineRule="exact"/>
        <w:ind w:firstLine="640"/>
        <w:rPr>
          <w:rFonts w:ascii="仿宋_GB2312" w:eastAsia="仿宋_GB2312" w:hint="eastAsia"/>
          <w:sz w:val="32"/>
          <w:szCs w:val="32"/>
        </w:rPr>
      </w:pPr>
      <w:r>
        <w:rPr>
          <w:rFonts w:ascii="仿宋_GB2312" w:eastAsia="仿宋_GB2312" w:hint="eastAsia"/>
          <w:sz w:val="32"/>
          <w:szCs w:val="32"/>
        </w:rPr>
        <w:t>未达到上述要求的将酌情减分；未按要求完成移动执法系统建设或现场执法检查数据未上传至新疆移动执法系统的，本项指标不得分。</w:t>
      </w:r>
    </w:p>
    <w:p w:rsidR="00951494" w:rsidRDefault="00951494" w:rsidP="00951494">
      <w:pPr>
        <w:pStyle w:val="3"/>
        <w:overflowPunct w:val="0"/>
        <w:autoSpaceDE w:val="0"/>
        <w:autoSpaceDN w:val="0"/>
        <w:adjustRightInd w:val="0"/>
        <w:snapToGrid w:val="0"/>
        <w:spacing w:before="0" w:after="0" w:line="520" w:lineRule="exact"/>
        <w:ind w:firstLine="633"/>
        <w:rPr>
          <w:rFonts w:ascii="仿宋_GB2312" w:eastAsia="仿宋_GB2312" w:hint="eastAsia"/>
          <w:b w:val="0"/>
          <w:bCs w:val="0"/>
        </w:rPr>
      </w:pPr>
      <w:r>
        <w:rPr>
          <w:rFonts w:ascii="仿宋_GB2312" w:eastAsia="仿宋_GB2312" w:hint="eastAsia"/>
          <w:b w:val="0"/>
          <w:bCs w:val="0"/>
        </w:rPr>
        <w:t>2.“污染源自动监控执法应用”指标（5分）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本项指标满分条件包括：①本地州市重点排污单位自动监测数据有效传输率达到95%；②本地州市列入生态环境部通报的主要污染物排放严重超标名单的重点排污单位查处率达到100%；③本地州市生活垃圾焚烧发电厂（如有）触发“事后处理”电子督办的查处率达到100%；④本年度向我厅报送了污染源自动监控执法应用的典型案例，包括且不限于涉嫌“自动监测数据超标超总量”“未保证自动监测设备正常运行”“篡改、伪造监测数据”“未按规定公开自动监测数据”等违法行为的处罚案例。</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未达到上述要求的将酌情减分；辖区内重点排污单位自</w:t>
      </w:r>
      <w:r>
        <w:rPr>
          <w:rFonts w:ascii="仿宋_GB2312" w:eastAsia="仿宋_GB2312" w:hint="eastAsia"/>
          <w:sz w:val="32"/>
          <w:szCs w:val="32"/>
        </w:rPr>
        <w:lastRenderedPageBreak/>
        <w:t>动监测数据有效传输率低于90%的，本项指标不得分。</w:t>
      </w:r>
    </w:p>
    <w:p w:rsidR="00951494" w:rsidRDefault="00951494" w:rsidP="00951494">
      <w:pPr>
        <w:overflowPunct w:val="0"/>
        <w:autoSpaceDE w:val="0"/>
        <w:autoSpaceDN w:val="0"/>
        <w:adjustRightInd w:val="0"/>
        <w:snapToGrid w:val="0"/>
        <w:spacing w:line="500" w:lineRule="exact"/>
        <w:ind w:firstLine="641"/>
        <w:rPr>
          <w:rFonts w:ascii="仿宋_GB2312" w:eastAsia="仿宋_GB2312" w:hint="eastAsia"/>
          <w:sz w:val="32"/>
          <w:szCs w:val="32"/>
        </w:rPr>
      </w:pPr>
      <w:r>
        <w:rPr>
          <w:rFonts w:ascii="仿宋_GB2312" w:eastAsia="仿宋_GB2312" w:hint="eastAsia"/>
          <w:sz w:val="32"/>
          <w:szCs w:val="32"/>
        </w:rPr>
        <w:t>我厅将于7月份调度各地（州、市）生态环境部门上半年（1月1日-6月30日）移动执法系统建设使用情况和污染源自动监控执法应用情况，并将调度结果反馈各地（州、市）生态环境部门，反馈问题改进情况将作为年底指标评审时的重要参考。</w:t>
      </w:r>
    </w:p>
    <w:p w:rsidR="00951494" w:rsidRDefault="00951494" w:rsidP="00951494">
      <w:pPr>
        <w:pStyle w:val="2"/>
        <w:keepNext w:val="0"/>
        <w:keepLines w:val="0"/>
        <w:overflowPunct w:val="0"/>
        <w:autoSpaceDE w:val="0"/>
        <w:autoSpaceDN w:val="0"/>
        <w:adjustRightInd w:val="0"/>
        <w:snapToGrid w:val="0"/>
        <w:spacing w:line="500" w:lineRule="exact"/>
        <w:ind w:firstLineChars="0" w:firstLine="641"/>
        <w:rPr>
          <w:rFonts w:ascii="楷体_GB2312" w:hint="eastAsia"/>
          <w:b w:val="0"/>
          <w:bCs w:val="0"/>
        </w:rPr>
      </w:pPr>
      <w:r>
        <w:rPr>
          <w:rFonts w:ascii="楷体_GB2312" w:hint="eastAsia"/>
          <w:b w:val="0"/>
          <w:bCs w:val="0"/>
        </w:rPr>
        <w:t>（三）数据来源</w:t>
      </w:r>
    </w:p>
    <w:p w:rsidR="00951494" w:rsidRDefault="00951494" w:rsidP="00951494">
      <w:pPr>
        <w:overflowPunct w:val="0"/>
        <w:autoSpaceDE w:val="0"/>
        <w:autoSpaceDN w:val="0"/>
        <w:adjustRightInd w:val="0"/>
        <w:snapToGrid w:val="0"/>
        <w:spacing w:line="500" w:lineRule="exact"/>
        <w:ind w:firstLine="641"/>
        <w:rPr>
          <w:rFonts w:ascii="仿宋_GB2312" w:eastAsia="仿宋_GB2312" w:hint="eastAsia"/>
          <w:sz w:val="32"/>
          <w:szCs w:val="32"/>
        </w:rPr>
      </w:pPr>
      <w:r>
        <w:rPr>
          <w:rFonts w:ascii="仿宋_GB2312" w:eastAsia="仿宋_GB2312" w:hint="eastAsia"/>
          <w:sz w:val="32"/>
          <w:szCs w:val="32"/>
        </w:rPr>
        <w:t>新疆移动执法系统统计数据、污染源自动监控执法应用典型案例采纳情况和自治区污染源监控中心平台统计数据。</w:t>
      </w:r>
    </w:p>
    <w:p w:rsidR="00951494" w:rsidRDefault="00951494" w:rsidP="00951494">
      <w:pPr>
        <w:pStyle w:val="1"/>
        <w:keepNext w:val="0"/>
        <w:keepLines w:val="0"/>
        <w:overflowPunct w:val="0"/>
        <w:autoSpaceDE w:val="0"/>
        <w:autoSpaceDN w:val="0"/>
        <w:adjustRightInd w:val="0"/>
        <w:snapToGrid w:val="0"/>
        <w:spacing w:line="500" w:lineRule="exact"/>
        <w:ind w:firstLineChars="0" w:firstLine="641"/>
        <w:rPr>
          <w:rFonts w:ascii="黑体" w:hAnsi="黑体" w:cs="黑体" w:hint="eastAsia"/>
          <w:bCs w:val="0"/>
          <w:szCs w:val="32"/>
        </w:rPr>
      </w:pPr>
      <w:r>
        <w:rPr>
          <w:rFonts w:ascii="黑体" w:hAnsi="黑体" w:cs="黑体" w:hint="eastAsia"/>
          <w:bCs w:val="0"/>
          <w:szCs w:val="32"/>
        </w:rPr>
        <w:t>四、“网络知识竞赛活动表现”指标（10分）</w:t>
      </w:r>
    </w:p>
    <w:p w:rsidR="00951494" w:rsidRDefault="00951494" w:rsidP="00951494">
      <w:pPr>
        <w:pStyle w:val="2"/>
        <w:keepNext w:val="0"/>
        <w:keepLines w:val="0"/>
        <w:overflowPunct w:val="0"/>
        <w:autoSpaceDE w:val="0"/>
        <w:autoSpaceDN w:val="0"/>
        <w:adjustRightInd w:val="0"/>
        <w:snapToGrid w:val="0"/>
        <w:spacing w:line="500" w:lineRule="exact"/>
        <w:ind w:firstLineChars="0" w:firstLine="641"/>
        <w:rPr>
          <w:rFonts w:ascii="楷体_GB2312" w:hint="eastAsia"/>
          <w:b w:val="0"/>
          <w:bCs w:val="0"/>
        </w:rPr>
      </w:pPr>
      <w:r>
        <w:rPr>
          <w:rFonts w:ascii="楷体_GB2312" w:hint="eastAsia"/>
          <w:b w:val="0"/>
          <w:bCs w:val="0"/>
        </w:rPr>
        <w:t>（一）指标说明</w:t>
      </w:r>
    </w:p>
    <w:p w:rsidR="00951494" w:rsidRDefault="00951494" w:rsidP="00951494">
      <w:pPr>
        <w:overflowPunct w:val="0"/>
        <w:autoSpaceDE w:val="0"/>
        <w:autoSpaceDN w:val="0"/>
        <w:adjustRightInd w:val="0"/>
        <w:snapToGrid w:val="0"/>
        <w:spacing w:line="500" w:lineRule="exact"/>
        <w:ind w:firstLine="641"/>
        <w:rPr>
          <w:rFonts w:ascii="仿宋_GB2312" w:eastAsia="仿宋_GB2312" w:hint="eastAsia"/>
          <w:sz w:val="32"/>
          <w:szCs w:val="32"/>
        </w:rPr>
      </w:pPr>
      <w:r>
        <w:rPr>
          <w:rFonts w:ascii="仿宋_GB2312" w:eastAsia="仿宋_GB2312" w:hint="eastAsia"/>
          <w:sz w:val="32"/>
          <w:szCs w:val="32"/>
        </w:rPr>
        <w:t>评价</w:t>
      </w:r>
      <w:r>
        <w:rPr>
          <w:rFonts w:ascii="仿宋_GB2312" w:eastAsia="仿宋_GB2312" w:hAnsi="仿宋_GB2312" w:hint="eastAsia"/>
          <w:sz w:val="32"/>
          <w:szCs w:val="32"/>
        </w:rPr>
        <w:t>各地（州、市）生态环境部门组织行政区域内各级执法人员参与大练兵网络知识竞赛情况。</w:t>
      </w:r>
    </w:p>
    <w:p w:rsidR="00951494" w:rsidRDefault="00951494" w:rsidP="00951494">
      <w:pPr>
        <w:pStyle w:val="2"/>
        <w:keepNext w:val="0"/>
        <w:keepLines w:val="0"/>
        <w:overflowPunct w:val="0"/>
        <w:autoSpaceDE w:val="0"/>
        <w:autoSpaceDN w:val="0"/>
        <w:adjustRightInd w:val="0"/>
        <w:snapToGrid w:val="0"/>
        <w:spacing w:line="500" w:lineRule="exact"/>
        <w:ind w:firstLineChars="0" w:firstLine="641"/>
        <w:rPr>
          <w:rFonts w:ascii="楷体_GB2312" w:hint="eastAsia"/>
          <w:b w:val="0"/>
          <w:bCs w:val="0"/>
        </w:rPr>
      </w:pPr>
      <w:r>
        <w:rPr>
          <w:rFonts w:ascii="楷体_GB2312" w:hint="eastAsia"/>
          <w:b w:val="0"/>
          <w:bCs w:val="0"/>
        </w:rPr>
        <w:t>（二）评价方法</w:t>
      </w:r>
    </w:p>
    <w:p w:rsidR="00951494" w:rsidRDefault="00951494" w:rsidP="00951494">
      <w:pPr>
        <w:overflowPunct w:val="0"/>
        <w:autoSpaceDE w:val="0"/>
        <w:autoSpaceDN w:val="0"/>
        <w:adjustRightInd w:val="0"/>
        <w:snapToGrid w:val="0"/>
        <w:spacing w:line="500" w:lineRule="exact"/>
        <w:ind w:firstLine="641"/>
        <w:rPr>
          <w:rFonts w:ascii="仿宋_GB2312" w:eastAsia="仿宋_GB2312" w:hint="eastAsia"/>
          <w:sz w:val="32"/>
          <w:szCs w:val="32"/>
        </w:rPr>
      </w:pPr>
      <w:r>
        <w:rPr>
          <w:rFonts w:ascii="仿宋_GB2312" w:eastAsia="仿宋_GB2312" w:hint="eastAsia"/>
          <w:sz w:val="32"/>
          <w:szCs w:val="32"/>
        </w:rPr>
        <w:t>各地（州、市）生态环境部门组织各级生态环境执法人员积极参与竞赛活动的，酌情加1-5分；执法人员在竞赛活动中表现优异的，酌情加1-5分。</w:t>
      </w:r>
    </w:p>
    <w:p w:rsidR="00951494" w:rsidRDefault="00951494" w:rsidP="00951494">
      <w:pPr>
        <w:overflowPunct w:val="0"/>
        <w:autoSpaceDE w:val="0"/>
        <w:autoSpaceDN w:val="0"/>
        <w:adjustRightInd w:val="0"/>
        <w:snapToGrid w:val="0"/>
        <w:spacing w:line="500" w:lineRule="exact"/>
        <w:ind w:firstLine="641"/>
        <w:rPr>
          <w:rFonts w:ascii="仿宋_GB2312" w:eastAsia="仿宋_GB2312" w:hint="eastAsia"/>
          <w:sz w:val="32"/>
          <w:szCs w:val="32"/>
        </w:rPr>
      </w:pPr>
      <w:r>
        <w:rPr>
          <w:rFonts w:ascii="仿宋_GB2312" w:eastAsia="仿宋_GB2312" w:hint="eastAsia"/>
          <w:sz w:val="32"/>
          <w:szCs w:val="32"/>
        </w:rPr>
        <w:t>行政区域内生态环境执法人员在竞赛活动中有舞弊行为的，本项指标按0分处理，并取消舞弊者个人及其所在集体参评资格。</w:t>
      </w:r>
    </w:p>
    <w:p w:rsidR="00951494" w:rsidRDefault="00951494" w:rsidP="00951494">
      <w:pPr>
        <w:pStyle w:val="2"/>
        <w:keepNext w:val="0"/>
        <w:keepLines w:val="0"/>
        <w:overflowPunct w:val="0"/>
        <w:autoSpaceDE w:val="0"/>
        <w:autoSpaceDN w:val="0"/>
        <w:adjustRightInd w:val="0"/>
        <w:snapToGrid w:val="0"/>
        <w:spacing w:line="500" w:lineRule="exact"/>
        <w:ind w:firstLineChars="0" w:firstLine="641"/>
        <w:rPr>
          <w:rFonts w:ascii="楷体_GB2312" w:hint="eastAsia"/>
          <w:b w:val="0"/>
          <w:bCs w:val="0"/>
        </w:rPr>
      </w:pPr>
      <w:r>
        <w:rPr>
          <w:rFonts w:ascii="楷体_GB2312" w:hint="eastAsia"/>
          <w:b w:val="0"/>
          <w:bCs w:val="0"/>
        </w:rPr>
        <w:t>（三）材料来源</w:t>
      </w:r>
    </w:p>
    <w:p w:rsidR="00951494" w:rsidRDefault="00951494" w:rsidP="00951494">
      <w:pPr>
        <w:overflowPunct w:val="0"/>
        <w:autoSpaceDE w:val="0"/>
        <w:autoSpaceDN w:val="0"/>
        <w:adjustRightInd w:val="0"/>
        <w:snapToGrid w:val="0"/>
        <w:spacing w:line="500" w:lineRule="exact"/>
        <w:ind w:firstLine="641"/>
        <w:rPr>
          <w:rFonts w:ascii="仿宋_GB2312" w:eastAsia="仿宋_GB2312" w:hint="eastAsia"/>
          <w:sz w:val="32"/>
          <w:szCs w:val="32"/>
        </w:rPr>
      </w:pPr>
      <w:r>
        <w:rPr>
          <w:rFonts w:ascii="仿宋_GB2312" w:eastAsia="仿宋_GB2312" w:hint="eastAsia"/>
          <w:sz w:val="32"/>
          <w:szCs w:val="32"/>
        </w:rPr>
        <w:t>我厅统计的各地（州、市）生态环境部门全员参与情况和生态环境</w:t>
      </w:r>
      <w:proofErr w:type="gramStart"/>
      <w:r>
        <w:rPr>
          <w:rFonts w:ascii="仿宋_GB2312" w:eastAsia="仿宋_GB2312" w:hint="eastAsia"/>
          <w:sz w:val="32"/>
          <w:szCs w:val="32"/>
        </w:rPr>
        <w:t>部网络</w:t>
      </w:r>
      <w:proofErr w:type="gramEnd"/>
      <w:r>
        <w:rPr>
          <w:rFonts w:ascii="仿宋_GB2312" w:eastAsia="仿宋_GB2312" w:hint="eastAsia"/>
          <w:sz w:val="32"/>
          <w:szCs w:val="32"/>
        </w:rPr>
        <w:t>知识竞赛积分榜。</w:t>
      </w:r>
    </w:p>
    <w:p w:rsidR="00951494" w:rsidRDefault="00951494" w:rsidP="00951494">
      <w:pPr>
        <w:pStyle w:val="1"/>
        <w:keepNext w:val="0"/>
        <w:keepLines w:val="0"/>
        <w:overflowPunct w:val="0"/>
        <w:autoSpaceDE w:val="0"/>
        <w:autoSpaceDN w:val="0"/>
        <w:adjustRightInd w:val="0"/>
        <w:snapToGrid w:val="0"/>
        <w:spacing w:line="520" w:lineRule="exact"/>
        <w:ind w:firstLine="640"/>
        <w:rPr>
          <w:rFonts w:ascii="黑体" w:hAnsi="黑体" w:hint="eastAsia"/>
          <w:bCs w:val="0"/>
          <w:szCs w:val="32"/>
        </w:rPr>
      </w:pPr>
      <w:r>
        <w:rPr>
          <w:rFonts w:ascii="黑体" w:hAnsi="黑体" w:hint="eastAsia"/>
          <w:bCs w:val="0"/>
          <w:szCs w:val="32"/>
        </w:rPr>
        <w:t>五、“大练兵成绩”指标（15分）</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t>（一）指标说明</w:t>
      </w:r>
    </w:p>
    <w:p w:rsidR="00951494" w:rsidRDefault="00951494" w:rsidP="00951494">
      <w:pPr>
        <w:overflowPunct w:val="0"/>
        <w:autoSpaceDE w:val="0"/>
        <w:autoSpaceDN w:val="0"/>
        <w:adjustRightInd w:val="0"/>
        <w:snapToGrid w:val="0"/>
        <w:spacing w:line="520" w:lineRule="exact"/>
        <w:rPr>
          <w:rFonts w:ascii="仿宋_GB2312" w:eastAsia="仿宋_GB2312" w:hint="eastAsia"/>
          <w:sz w:val="32"/>
          <w:szCs w:val="32"/>
        </w:rPr>
      </w:pPr>
      <w:r>
        <w:rPr>
          <w:rFonts w:ascii="仿宋_GB2312" w:eastAsia="仿宋_GB2312" w:hint="eastAsia"/>
          <w:sz w:val="32"/>
          <w:szCs w:val="32"/>
        </w:rPr>
        <w:t xml:space="preserve">    评价各地（州、市）2020</w:t>
      </w:r>
      <w:r>
        <w:rPr>
          <w:rFonts w:ascii="仿宋_GB2312" w:eastAsia="仿宋_GB2312" w:hAnsi="仿宋_GB2312" w:hint="eastAsia"/>
          <w:sz w:val="32"/>
          <w:szCs w:val="32"/>
        </w:rPr>
        <w:t>年大练兵全员参与情况和</w:t>
      </w:r>
      <w:r>
        <w:rPr>
          <w:rFonts w:ascii="仿宋_GB2312" w:eastAsia="仿宋_GB2312" w:hint="eastAsia"/>
          <w:sz w:val="32"/>
          <w:szCs w:val="32"/>
        </w:rPr>
        <w:t>活动成绩。</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lastRenderedPageBreak/>
        <w:t>（二）评价方法</w:t>
      </w:r>
    </w:p>
    <w:p w:rsidR="00951494" w:rsidRDefault="00951494" w:rsidP="00951494">
      <w:pPr>
        <w:overflowPunct w:val="0"/>
        <w:autoSpaceDE w:val="0"/>
        <w:autoSpaceDN w:val="0"/>
        <w:adjustRightInd w:val="0"/>
        <w:snapToGrid w:val="0"/>
        <w:spacing w:line="520" w:lineRule="exact"/>
        <w:rPr>
          <w:rFonts w:ascii="仿宋_GB2312" w:eastAsia="仿宋_GB2312" w:hint="eastAsia"/>
          <w:spacing w:val="-10"/>
          <w:sz w:val="32"/>
          <w:szCs w:val="32"/>
        </w:rPr>
      </w:pPr>
      <w:r>
        <w:rPr>
          <w:rFonts w:ascii="仿宋_GB2312" w:eastAsia="仿宋_GB2312" w:hint="eastAsia"/>
          <w:spacing w:val="-10"/>
          <w:sz w:val="32"/>
          <w:szCs w:val="32"/>
        </w:rPr>
        <w:t xml:space="preserve">    本项指标共计15分。其中，全员参与5分，入选数量10分</w:t>
      </w:r>
      <w:r>
        <w:rPr>
          <w:rFonts w:ascii="仿宋_GB2312" w:eastAsia="仿宋_GB2312" w:hint="eastAsia"/>
          <w:sz w:val="32"/>
          <w:szCs w:val="32"/>
        </w:rPr>
        <w:t>。</w:t>
      </w:r>
    </w:p>
    <w:p w:rsidR="00951494" w:rsidRDefault="00951494" w:rsidP="00951494">
      <w:pPr>
        <w:pStyle w:val="3"/>
        <w:overflowPunct w:val="0"/>
        <w:autoSpaceDE w:val="0"/>
        <w:autoSpaceDN w:val="0"/>
        <w:adjustRightInd w:val="0"/>
        <w:snapToGrid w:val="0"/>
        <w:spacing w:before="0" w:after="0" w:line="520" w:lineRule="exact"/>
        <w:ind w:firstLine="633"/>
        <w:rPr>
          <w:rFonts w:ascii="仿宋_GB2312" w:eastAsia="仿宋_GB2312" w:hint="eastAsia"/>
          <w:b w:val="0"/>
          <w:bCs w:val="0"/>
        </w:rPr>
      </w:pPr>
      <w:r>
        <w:rPr>
          <w:rFonts w:ascii="仿宋_GB2312" w:eastAsia="仿宋_GB2312" w:hint="eastAsia"/>
          <w:b w:val="0"/>
          <w:bCs w:val="0"/>
        </w:rPr>
        <w:t>1.“全员参与”指标（5分）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推荐集体近三年（2017年-2019年，下同）未参与过自治区大练兵的，每个得0.25分，推荐集体近三年参与过自治区大练兵但未入选过表现突出集体的，每个得0.1分；推荐个人近三年未参与过自治区大练兵的，每个得0.25分，推荐个人近三年参与过自治区大练兵但未入选过表现突出个人的，每个得0.1分。</w:t>
      </w:r>
    </w:p>
    <w:p w:rsidR="00951494" w:rsidRDefault="00951494" w:rsidP="00951494">
      <w:pPr>
        <w:pStyle w:val="3"/>
        <w:overflowPunct w:val="0"/>
        <w:autoSpaceDE w:val="0"/>
        <w:autoSpaceDN w:val="0"/>
        <w:adjustRightInd w:val="0"/>
        <w:snapToGrid w:val="0"/>
        <w:spacing w:before="0" w:after="0" w:line="520" w:lineRule="exact"/>
        <w:ind w:firstLine="633"/>
        <w:rPr>
          <w:rFonts w:ascii="仿宋_GB2312" w:eastAsia="仿宋_GB2312" w:hint="eastAsia"/>
          <w:b w:val="0"/>
          <w:bCs w:val="0"/>
        </w:rPr>
      </w:pPr>
      <w:r>
        <w:rPr>
          <w:rFonts w:ascii="仿宋_GB2312" w:eastAsia="仿宋_GB2312" w:hint="eastAsia"/>
          <w:b w:val="0"/>
          <w:bCs w:val="0"/>
        </w:rPr>
        <w:t>2.“入选数量”指标（10分）</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根据各地（州、市）生态环境部门所有候选集体和个人取得的成绩排名、获得我厅表扬的表现突出集体和个人数量等，综合计算各地（州、市）生态环境部门得分。</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t>（三）材料来源</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2017-2020</w:t>
      </w:r>
      <w:r>
        <w:rPr>
          <w:rFonts w:ascii="仿宋_GB2312" w:eastAsia="仿宋_GB2312" w:hAnsi="仿宋_GB2312" w:hint="eastAsia"/>
          <w:sz w:val="32"/>
          <w:szCs w:val="32"/>
        </w:rPr>
        <w:t>年生态环境保护执法大练兵</w:t>
      </w:r>
      <w:r>
        <w:rPr>
          <w:rFonts w:ascii="仿宋_GB2312" w:eastAsia="仿宋_GB2312" w:hint="eastAsia"/>
          <w:sz w:val="32"/>
          <w:szCs w:val="32"/>
        </w:rPr>
        <w:t>评审结果。</w:t>
      </w:r>
    </w:p>
    <w:p w:rsidR="00951494" w:rsidRDefault="00951494" w:rsidP="00951494">
      <w:pPr>
        <w:pStyle w:val="1"/>
        <w:keepNext w:val="0"/>
        <w:keepLines w:val="0"/>
        <w:overflowPunct w:val="0"/>
        <w:autoSpaceDE w:val="0"/>
        <w:autoSpaceDN w:val="0"/>
        <w:adjustRightInd w:val="0"/>
        <w:snapToGrid w:val="0"/>
        <w:spacing w:line="520" w:lineRule="exact"/>
        <w:ind w:firstLine="640"/>
        <w:rPr>
          <w:rFonts w:ascii="黑体" w:hAnsi="黑体" w:hint="eastAsia"/>
          <w:bCs w:val="0"/>
          <w:szCs w:val="32"/>
        </w:rPr>
      </w:pPr>
      <w:bookmarkStart w:id="1" w:name="_Hlk34336524"/>
      <w:bookmarkStart w:id="2" w:name="_Hlk32485098"/>
      <w:r>
        <w:rPr>
          <w:rFonts w:ascii="黑体" w:hAnsi="黑体" w:hint="eastAsia"/>
          <w:bCs w:val="0"/>
          <w:szCs w:val="32"/>
        </w:rPr>
        <w:t>六、“创新措施”指标（附加项）</w:t>
      </w:r>
    </w:p>
    <w:bookmarkEnd w:id="1"/>
    <w:bookmarkEnd w:id="2"/>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t>（一）指标说明</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评价各地（州、市）生态环境部门加强党建与业务融合、优化执法方式、加强制度建设、提高执法能力等方面的创新措施。</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t>（二）评价方法</w:t>
      </w:r>
    </w:p>
    <w:p w:rsidR="00951494" w:rsidRDefault="00951494" w:rsidP="00951494">
      <w:pPr>
        <w:overflowPunct w:val="0"/>
        <w:autoSpaceDE w:val="0"/>
        <w:autoSpaceDN w:val="0"/>
        <w:adjustRightInd w:val="0"/>
        <w:snapToGrid w:val="0"/>
        <w:spacing w:line="520" w:lineRule="exact"/>
        <w:ind w:firstLine="640"/>
        <w:rPr>
          <w:rFonts w:ascii="仿宋_GB2312" w:eastAsia="仿宋_GB2312" w:hint="eastAsia"/>
          <w:sz w:val="32"/>
          <w:szCs w:val="32"/>
        </w:rPr>
      </w:pPr>
      <w:r>
        <w:rPr>
          <w:rFonts w:ascii="仿宋_GB2312" w:eastAsia="仿宋_GB2312" w:hint="eastAsia"/>
          <w:sz w:val="32"/>
          <w:szCs w:val="32"/>
        </w:rPr>
        <w:t>根据各地（州、市）生态环境部门创新措施的科学性、合理性、有效性评分。</w:t>
      </w:r>
    </w:p>
    <w:p w:rsidR="00951494" w:rsidRDefault="00951494" w:rsidP="00951494">
      <w:pPr>
        <w:pStyle w:val="2"/>
        <w:keepNext w:val="0"/>
        <w:keepLines w:val="0"/>
        <w:overflowPunct w:val="0"/>
        <w:autoSpaceDE w:val="0"/>
        <w:autoSpaceDN w:val="0"/>
        <w:adjustRightInd w:val="0"/>
        <w:snapToGrid w:val="0"/>
        <w:spacing w:line="520" w:lineRule="exact"/>
        <w:ind w:firstLine="640"/>
        <w:rPr>
          <w:rFonts w:ascii="楷体_GB2312" w:hint="eastAsia"/>
          <w:b w:val="0"/>
          <w:bCs w:val="0"/>
        </w:rPr>
      </w:pPr>
      <w:r>
        <w:rPr>
          <w:rFonts w:ascii="楷体_GB2312" w:hint="eastAsia"/>
          <w:b w:val="0"/>
          <w:bCs w:val="0"/>
        </w:rPr>
        <w:t>（三）材料来源</w:t>
      </w:r>
    </w:p>
    <w:p w:rsidR="00951494" w:rsidRDefault="00951494" w:rsidP="00951494">
      <w:pPr>
        <w:overflowPunct w:val="0"/>
        <w:autoSpaceDE w:val="0"/>
        <w:autoSpaceDN w:val="0"/>
        <w:adjustRightInd w:val="0"/>
        <w:snapToGrid w:val="0"/>
        <w:spacing w:line="520" w:lineRule="exact"/>
        <w:ind w:firstLine="640"/>
        <w:jc w:val="left"/>
        <w:rPr>
          <w:rFonts w:ascii="仿宋_GB2312" w:eastAsia="仿宋_GB2312" w:hint="eastAsia"/>
          <w:sz w:val="32"/>
          <w:szCs w:val="32"/>
        </w:rPr>
      </w:pPr>
      <w:r>
        <w:rPr>
          <w:rFonts w:ascii="仿宋_GB2312" w:eastAsia="仿宋_GB2312" w:hint="eastAsia"/>
          <w:spacing w:val="-8"/>
          <w:sz w:val="32"/>
          <w:szCs w:val="32"/>
        </w:rPr>
        <w:t>各地（州、市）生态环境部门提供的大练兵总结报告及支撑材料</w:t>
      </w:r>
      <w:r>
        <w:rPr>
          <w:rFonts w:ascii="仿宋_GB2312" w:eastAsia="仿宋_GB2312" w:hint="eastAsia"/>
          <w:sz w:val="32"/>
          <w:szCs w:val="32"/>
        </w:rPr>
        <w:t>。</w:t>
      </w:r>
    </w:p>
    <w:p w:rsidR="009B3AF4" w:rsidRPr="00951494" w:rsidRDefault="009B3AF4"/>
    <w:sectPr w:rsidR="009B3AF4" w:rsidRPr="00951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29A9"/>
    <w:multiLevelType w:val="singleLevel"/>
    <w:tmpl w:val="3DD629A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94"/>
    <w:rsid w:val="00951494"/>
    <w:rsid w:val="009B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94"/>
    <w:pPr>
      <w:widowControl w:val="0"/>
      <w:jc w:val="both"/>
    </w:pPr>
    <w:rPr>
      <w:rFonts w:ascii="Times New Roman" w:eastAsia="宋体" w:hAnsi="Times New Roman" w:cs="Times New Roman"/>
      <w:szCs w:val="24"/>
    </w:rPr>
  </w:style>
  <w:style w:type="paragraph" w:styleId="1">
    <w:name w:val="heading 1"/>
    <w:basedOn w:val="a"/>
    <w:next w:val="a"/>
    <w:link w:val="1Char"/>
    <w:qFormat/>
    <w:rsid w:val="00951494"/>
    <w:pPr>
      <w:keepNext/>
      <w:keepLines/>
      <w:ind w:firstLineChars="200" w:firstLine="200"/>
      <w:jc w:val="left"/>
      <w:outlineLvl w:val="0"/>
    </w:pPr>
    <w:rPr>
      <w:rFonts w:ascii="方正小标宋简体" w:eastAsia="黑体"/>
      <w:bCs/>
      <w:kern w:val="44"/>
      <w:sz w:val="32"/>
      <w:szCs w:val="44"/>
      <w:u w:color="000000"/>
    </w:rPr>
  </w:style>
  <w:style w:type="paragraph" w:styleId="2">
    <w:name w:val="heading 2"/>
    <w:basedOn w:val="a"/>
    <w:next w:val="a"/>
    <w:link w:val="2Char"/>
    <w:qFormat/>
    <w:rsid w:val="00951494"/>
    <w:pPr>
      <w:keepNext/>
      <w:keepLines/>
      <w:ind w:firstLineChars="200" w:firstLine="200"/>
      <w:outlineLvl w:val="1"/>
    </w:pPr>
    <w:rPr>
      <w:rFonts w:ascii="仿宋_GB2312" w:eastAsia="楷体_GB2312"/>
      <w:b/>
      <w:bCs/>
      <w:sz w:val="32"/>
      <w:szCs w:val="32"/>
      <w:u w:color="000000"/>
    </w:rPr>
  </w:style>
  <w:style w:type="paragraph" w:styleId="3">
    <w:name w:val="heading 3"/>
    <w:basedOn w:val="a"/>
    <w:next w:val="a"/>
    <w:link w:val="3Char"/>
    <w:qFormat/>
    <w:rsid w:val="009514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51494"/>
    <w:rPr>
      <w:rFonts w:ascii="方正小标宋简体" w:eastAsia="黑体" w:hAnsi="Times New Roman" w:cs="Times New Roman"/>
      <w:bCs/>
      <w:kern w:val="44"/>
      <w:sz w:val="32"/>
      <w:szCs w:val="44"/>
      <w:u w:color="000000"/>
    </w:rPr>
  </w:style>
  <w:style w:type="character" w:customStyle="1" w:styleId="2Char">
    <w:name w:val="标题 2 Char"/>
    <w:basedOn w:val="a0"/>
    <w:link w:val="2"/>
    <w:qFormat/>
    <w:rsid w:val="00951494"/>
    <w:rPr>
      <w:rFonts w:ascii="仿宋_GB2312" w:eastAsia="楷体_GB2312" w:hAnsi="Times New Roman" w:cs="Times New Roman"/>
      <w:b/>
      <w:bCs/>
      <w:sz w:val="32"/>
      <w:szCs w:val="32"/>
      <w:u w:color="000000"/>
    </w:rPr>
  </w:style>
  <w:style w:type="character" w:customStyle="1" w:styleId="3Char">
    <w:name w:val="标题 3 Char"/>
    <w:basedOn w:val="a0"/>
    <w:link w:val="3"/>
    <w:qFormat/>
    <w:rsid w:val="00951494"/>
    <w:rPr>
      <w:rFonts w:ascii="Times New Roman" w:eastAsia="宋体" w:hAnsi="Times New Roman" w:cs="Times New Roman"/>
      <w:b/>
      <w:bCs/>
      <w:sz w:val="32"/>
      <w:szCs w:val="32"/>
    </w:rPr>
  </w:style>
  <w:style w:type="paragraph" w:styleId="a3">
    <w:name w:val="Title"/>
    <w:basedOn w:val="a"/>
    <w:next w:val="a"/>
    <w:link w:val="Char"/>
    <w:qFormat/>
    <w:rsid w:val="00951494"/>
    <w:pPr>
      <w:jc w:val="center"/>
      <w:outlineLvl w:val="0"/>
    </w:pPr>
    <w:rPr>
      <w:rFonts w:ascii="黑体" w:eastAsia="黑体"/>
      <w:bCs/>
      <w:sz w:val="36"/>
      <w:szCs w:val="32"/>
      <w:u w:color="000000"/>
    </w:rPr>
  </w:style>
  <w:style w:type="character" w:customStyle="1" w:styleId="Char">
    <w:name w:val="标题 Char"/>
    <w:basedOn w:val="a0"/>
    <w:link w:val="a3"/>
    <w:rsid w:val="00951494"/>
    <w:rPr>
      <w:rFonts w:ascii="黑体" w:eastAsia="黑体" w:hAnsi="Times New Roman" w:cs="Times New Roman"/>
      <w:bCs/>
      <w:sz w:val="36"/>
      <w:szCs w:val="32"/>
      <w:u w:color="000000"/>
    </w:rPr>
  </w:style>
  <w:style w:type="paragraph" w:customStyle="1" w:styleId="CharChar1CharChar">
    <w:name w:val=" Char Char1 Char Char"/>
    <w:basedOn w:val="3"/>
    <w:rsid w:val="00951494"/>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94"/>
    <w:pPr>
      <w:widowControl w:val="0"/>
      <w:jc w:val="both"/>
    </w:pPr>
    <w:rPr>
      <w:rFonts w:ascii="Times New Roman" w:eastAsia="宋体" w:hAnsi="Times New Roman" w:cs="Times New Roman"/>
      <w:szCs w:val="24"/>
    </w:rPr>
  </w:style>
  <w:style w:type="paragraph" w:styleId="1">
    <w:name w:val="heading 1"/>
    <w:basedOn w:val="a"/>
    <w:next w:val="a"/>
    <w:link w:val="1Char"/>
    <w:qFormat/>
    <w:rsid w:val="00951494"/>
    <w:pPr>
      <w:keepNext/>
      <w:keepLines/>
      <w:ind w:firstLineChars="200" w:firstLine="200"/>
      <w:jc w:val="left"/>
      <w:outlineLvl w:val="0"/>
    </w:pPr>
    <w:rPr>
      <w:rFonts w:ascii="方正小标宋简体" w:eastAsia="黑体"/>
      <w:bCs/>
      <w:kern w:val="44"/>
      <w:sz w:val="32"/>
      <w:szCs w:val="44"/>
      <w:u w:color="000000"/>
    </w:rPr>
  </w:style>
  <w:style w:type="paragraph" w:styleId="2">
    <w:name w:val="heading 2"/>
    <w:basedOn w:val="a"/>
    <w:next w:val="a"/>
    <w:link w:val="2Char"/>
    <w:qFormat/>
    <w:rsid w:val="00951494"/>
    <w:pPr>
      <w:keepNext/>
      <w:keepLines/>
      <w:ind w:firstLineChars="200" w:firstLine="200"/>
      <w:outlineLvl w:val="1"/>
    </w:pPr>
    <w:rPr>
      <w:rFonts w:ascii="仿宋_GB2312" w:eastAsia="楷体_GB2312"/>
      <w:b/>
      <w:bCs/>
      <w:sz w:val="32"/>
      <w:szCs w:val="32"/>
      <w:u w:color="000000"/>
    </w:rPr>
  </w:style>
  <w:style w:type="paragraph" w:styleId="3">
    <w:name w:val="heading 3"/>
    <w:basedOn w:val="a"/>
    <w:next w:val="a"/>
    <w:link w:val="3Char"/>
    <w:qFormat/>
    <w:rsid w:val="009514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51494"/>
    <w:rPr>
      <w:rFonts w:ascii="方正小标宋简体" w:eastAsia="黑体" w:hAnsi="Times New Roman" w:cs="Times New Roman"/>
      <w:bCs/>
      <w:kern w:val="44"/>
      <w:sz w:val="32"/>
      <w:szCs w:val="44"/>
      <w:u w:color="000000"/>
    </w:rPr>
  </w:style>
  <w:style w:type="character" w:customStyle="1" w:styleId="2Char">
    <w:name w:val="标题 2 Char"/>
    <w:basedOn w:val="a0"/>
    <w:link w:val="2"/>
    <w:qFormat/>
    <w:rsid w:val="00951494"/>
    <w:rPr>
      <w:rFonts w:ascii="仿宋_GB2312" w:eastAsia="楷体_GB2312" w:hAnsi="Times New Roman" w:cs="Times New Roman"/>
      <w:b/>
      <w:bCs/>
      <w:sz w:val="32"/>
      <w:szCs w:val="32"/>
      <w:u w:color="000000"/>
    </w:rPr>
  </w:style>
  <w:style w:type="character" w:customStyle="1" w:styleId="3Char">
    <w:name w:val="标题 3 Char"/>
    <w:basedOn w:val="a0"/>
    <w:link w:val="3"/>
    <w:qFormat/>
    <w:rsid w:val="00951494"/>
    <w:rPr>
      <w:rFonts w:ascii="Times New Roman" w:eastAsia="宋体" w:hAnsi="Times New Roman" w:cs="Times New Roman"/>
      <w:b/>
      <w:bCs/>
      <w:sz w:val="32"/>
      <w:szCs w:val="32"/>
    </w:rPr>
  </w:style>
  <w:style w:type="paragraph" w:styleId="a3">
    <w:name w:val="Title"/>
    <w:basedOn w:val="a"/>
    <w:next w:val="a"/>
    <w:link w:val="Char"/>
    <w:qFormat/>
    <w:rsid w:val="00951494"/>
    <w:pPr>
      <w:jc w:val="center"/>
      <w:outlineLvl w:val="0"/>
    </w:pPr>
    <w:rPr>
      <w:rFonts w:ascii="黑体" w:eastAsia="黑体"/>
      <w:bCs/>
      <w:sz w:val="36"/>
      <w:szCs w:val="32"/>
      <w:u w:color="000000"/>
    </w:rPr>
  </w:style>
  <w:style w:type="character" w:customStyle="1" w:styleId="Char">
    <w:name w:val="标题 Char"/>
    <w:basedOn w:val="a0"/>
    <w:link w:val="a3"/>
    <w:rsid w:val="00951494"/>
    <w:rPr>
      <w:rFonts w:ascii="黑体" w:eastAsia="黑体" w:hAnsi="Times New Roman" w:cs="Times New Roman"/>
      <w:bCs/>
      <w:sz w:val="36"/>
      <w:szCs w:val="32"/>
      <w:u w:color="000000"/>
    </w:rPr>
  </w:style>
  <w:style w:type="paragraph" w:customStyle="1" w:styleId="CharChar1CharChar">
    <w:name w:val=" Char Char1 Char Char"/>
    <w:basedOn w:val="3"/>
    <w:rsid w:val="00951494"/>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wzk05</dc:creator>
  <cp:lastModifiedBy>wzk05</cp:lastModifiedBy>
  <cp:revision>1</cp:revision>
  <dcterms:created xsi:type="dcterms:W3CDTF">2020-11-25T06:56:00Z</dcterms:created>
  <dcterms:modified xsi:type="dcterms:W3CDTF">2020-11-25T06:58:00Z</dcterms:modified>
</cp:coreProperties>
</file>