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和1-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全区环境空气质量状况及排名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和1-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自治区14城市（地州市人民政府〈行政公署〉所在城市，下同）和兵团石河子、五家渠2城市空气质量状况及排名情况公开如下：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4月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全区</w:t>
      </w: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及排名</w:t>
      </w:r>
    </w:p>
    <w:p>
      <w:pPr>
        <w:tabs>
          <w:tab w:val="left" w:pos="4536"/>
        </w:tabs>
        <w:spacing w:line="560" w:lineRule="exact"/>
        <w:ind w:firstLine="641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，自治区14城市平均优良天数比例为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70.4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%，同比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12.9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轻度污染比例为1</w:t>
      </w:r>
      <w:r>
        <w:rPr>
          <w:rFonts w:ascii="仿宋" w:hAnsi="仿宋" w:eastAsia="仿宋" w:cs="Times New Roman"/>
          <w:kern w:val="0"/>
          <w:sz w:val="32"/>
          <w:szCs w:val="32"/>
        </w:rPr>
        <w:t>3.6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%，中度污染比例为6</w:t>
      </w:r>
      <w:r>
        <w:rPr>
          <w:rFonts w:ascii="仿宋" w:hAnsi="仿宋" w:eastAsia="仿宋" w:cs="Times New Roman"/>
          <w:kern w:val="0"/>
          <w:sz w:val="32"/>
          <w:szCs w:val="32"/>
        </w:rPr>
        <w:t>.2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%，重度污染比例为2</w:t>
      </w:r>
      <w:r>
        <w:rPr>
          <w:rFonts w:ascii="仿宋" w:hAnsi="仿宋" w:eastAsia="仿宋" w:cs="Times New Roman"/>
          <w:kern w:val="0"/>
          <w:sz w:val="32"/>
          <w:szCs w:val="32"/>
        </w:rPr>
        <w:t>.6%，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严重污染比例为7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平均浓度为1</w:t>
      </w:r>
      <w:r>
        <w:rPr>
          <w:rFonts w:ascii="仿宋" w:hAnsi="仿宋" w:eastAsia="仿宋" w:cs="Times New Roman"/>
          <w:kern w:val="0"/>
          <w:sz w:val="32"/>
          <w:szCs w:val="32"/>
        </w:rPr>
        <w:t>53μg/m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，与去年同期相比上升4</w:t>
      </w:r>
      <w:r>
        <w:rPr>
          <w:rFonts w:ascii="仿宋" w:hAnsi="仿宋" w:eastAsia="仿宋" w:cs="Times New Roman"/>
          <w:kern w:val="0"/>
          <w:sz w:val="32"/>
          <w:szCs w:val="32"/>
        </w:rPr>
        <w:t>0.4%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40μg/m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，同比上升2</w:t>
      </w:r>
      <w:r>
        <w:rPr>
          <w:rFonts w:ascii="仿宋" w:hAnsi="仿宋" w:eastAsia="仿宋" w:cs="Times New Roman"/>
          <w:kern w:val="0"/>
          <w:sz w:val="32"/>
          <w:szCs w:val="32"/>
        </w:rPr>
        <w:t>5.0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6μg/m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，同比上升2</w:t>
      </w:r>
      <w:r>
        <w:rPr>
          <w:rFonts w:ascii="仿宋" w:hAnsi="仿宋" w:eastAsia="仿宋" w:cs="Times New Roman"/>
          <w:kern w:val="0"/>
          <w:sz w:val="32"/>
          <w:szCs w:val="32"/>
        </w:rPr>
        <w:t>0.0%；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平均浓度为1</w:t>
      </w:r>
      <w:r>
        <w:rPr>
          <w:rFonts w:ascii="仿宋" w:hAnsi="仿宋" w:eastAsia="仿宋" w:cs="Times New Roman"/>
          <w:kern w:val="0"/>
          <w:sz w:val="32"/>
          <w:szCs w:val="32"/>
        </w:rPr>
        <w:t>08μg/m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，同比上升3</w:t>
      </w:r>
      <w:r>
        <w:rPr>
          <w:rFonts w:ascii="仿宋" w:hAnsi="仿宋" w:eastAsia="仿宋" w:cs="Times New Roman"/>
          <w:kern w:val="0"/>
          <w:sz w:val="32"/>
          <w:szCs w:val="32"/>
        </w:rPr>
        <w:t>.8%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；CO平均浓度为0.</w:t>
      </w:r>
      <w:r>
        <w:rPr>
          <w:rFonts w:ascii="仿宋" w:hAnsi="仿宋" w:eastAsia="仿宋" w:cs="Times New Roman"/>
          <w:kern w:val="0"/>
          <w:sz w:val="32"/>
          <w:szCs w:val="32"/>
        </w:rPr>
        <w:t>5mg/m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，同比持平；NO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平均浓度为1</w:t>
      </w:r>
      <w:r>
        <w:rPr>
          <w:rFonts w:ascii="仿宋" w:hAnsi="仿宋" w:eastAsia="仿宋" w:cs="Times New Roman"/>
          <w:kern w:val="0"/>
          <w:sz w:val="32"/>
          <w:szCs w:val="32"/>
        </w:rPr>
        <w:t>8μg/m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，同比下降5</w:t>
      </w:r>
      <w:r>
        <w:rPr>
          <w:rFonts w:ascii="仿宋" w:hAnsi="仿宋" w:eastAsia="仿宋" w:cs="Times New Roman"/>
          <w:kern w:val="0"/>
          <w:sz w:val="32"/>
          <w:szCs w:val="32"/>
        </w:rPr>
        <w:t>.3%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首府乌鲁木齐市平均优良天数比例为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.0%，同比下降10.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同比上升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%。乌鲁木齐市环境空气质量在自治区14城市中排名第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位，同比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，兵团石河子、五家渠2城市平均优良天数比例为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90.0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%，同比减少5.0个百分点，轻度污染比例为8.3%，严重污染比例为1.7%，未出现中度及重度污染，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首要污染物为PM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平均浓度为90μg/m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，与去年同期相比上升40.6%；PM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平均浓度为24μg/m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，同比上升20.0%；SO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平均浓度为9μg/m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，同比上升28.6%；O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平均浓度为108μg/m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，同比上升1.9%； CO平均浓度为0.6mg/m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，同比持平；NO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平均浓度为21μg/m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，同比下降19.2%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自治区14城市及兵团2城市环境空气质量综合指数及排名见表1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4月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5"/>
        <w:tblpPr w:leftFromText="180" w:rightFromText="180" w:vertAnchor="text" w:horzAnchor="margin" w:tblpXSpec="center" w:tblpY="38"/>
        <w:tblW w:w="77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179"/>
        <w:gridCol w:w="28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9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7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1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1.87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2.35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2.48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3.31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3.36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3.43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3.44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3.51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5.08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5.85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6.06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7.97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8.38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317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1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10.83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/>
    <w:p/>
    <w:p/>
    <w:p/>
    <w:p>
      <w:pPr>
        <w:tabs>
          <w:tab w:val="left" w:pos="882"/>
        </w:tabs>
        <w:jc w:val="left"/>
        <w:sectPr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2022年4月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tbl>
      <w:tblPr>
        <w:tblStyle w:val="5"/>
        <w:tblW w:w="14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15"/>
        <w:gridCol w:w="715"/>
        <w:gridCol w:w="740"/>
        <w:gridCol w:w="522"/>
        <w:gridCol w:w="522"/>
        <w:gridCol w:w="815"/>
        <w:gridCol w:w="470"/>
        <w:gridCol w:w="522"/>
        <w:gridCol w:w="775"/>
        <w:gridCol w:w="470"/>
        <w:gridCol w:w="470"/>
        <w:gridCol w:w="775"/>
        <w:gridCol w:w="470"/>
        <w:gridCol w:w="470"/>
        <w:gridCol w:w="775"/>
        <w:gridCol w:w="592"/>
        <w:gridCol w:w="620"/>
        <w:gridCol w:w="815"/>
        <w:gridCol w:w="567"/>
        <w:gridCol w:w="6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2021年4月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2022年4月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70.4%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-5.3%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34.9%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-22.6%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78.6%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96.6%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-19.2%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-37.9%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</w:tr>
    </w:tbl>
    <w:p>
      <w:pPr>
        <w:spacing w:line="360" w:lineRule="exact"/>
        <w:jc w:val="center"/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60" w:lineRule="exact"/>
        <w:ind w:firstLine="641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1-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4月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全区环境空气质量状况及排名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，自治区14城市平均优良天数比例为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.0%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SO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平均浓度为7μg/m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，同比下降12.5%；NO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平均浓度为29μg/m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，同比上升3.6%；O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平均浓度为86μg/m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，同比上升4.9%；PM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平均浓度为160μg/m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，同比上升7.4%；PM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平均浓度为58μg/m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，同比上升7.4%； CO平均浓度为1.0mg/m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，同比上升11.1%。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1-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eastAsia="zh-CN"/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，首府乌鲁木齐市优良天数比例为59.2%，同比减少1.6个百分点；PM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平均浓度分别为110</w:t>
      </w:r>
      <w:r>
        <w:rPr>
          <w:rFonts w:hint="eastAsia" w:ascii="仿宋_GB2312" w:hAnsi="仿宋_GB2312" w:eastAsia="仿宋_GB2312" w:cs="仿宋_GB2312"/>
          <w:sz w:val="32"/>
          <w:szCs w:val="28"/>
        </w:rPr>
        <w:t>μg/m</w:t>
      </w:r>
      <w:r>
        <w:rPr>
          <w:rFonts w:hint="eastAsia" w:ascii="仿宋_GB2312" w:hAnsi="仿宋_GB2312" w:eastAsia="仿宋_GB2312" w:cs="仿宋_GB2312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、71μg/m</w:t>
      </w:r>
      <w:r>
        <w:rPr>
          <w:rFonts w:hint="eastAsia" w:ascii="仿宋_GB2312" w:hAnsi="仿宋_GB2312" w:eastAsia="仿宋_GB2312" w:cs="仿宋_GB2312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，同比分别上升32.5%、6.0%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乌鲁木齐市环境空气质量在自治区14城市中排名第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位，同比下降1位。</w:t>
      </w:r>
    </w:p>
    <w:p>
      <w:pPr>
        <w:spacing w:before="156" w:beforeLines="5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兵团石河子、五家渠2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城市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平均优良天数比例为49.6%，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减少4.6个百分点。SO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平均浓度为9μg/m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，同比下降10.0%；NO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平均浓度为35μg/m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，同比下降7.9%；O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平均浓度为75μg/m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，同比下降5.1%；CO平均浓度分别为1.3mg/m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，同比持平；PM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平均浓度为157μg/m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，同比上升14.6%；PM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平均浓度为107μg/m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，同比上升12.6%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，自治区14城市及兵团2城市环境空气质量综合指数排名和环境空气质量变化程度排名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见表3，</w:t>
      </w:r>
      <w:r>
        <w:rPr>
          <w:rFonts w:hint="eastAsia" w:ascii="仿宋_GB2312" w:hAnsi="仿宋_GB2312" w:eastAsia="仿宋_GB2312" w:cs="仿宋_GB2312"/>
          <w:sz w:val="32"/>
          <w:szCs w:val="28"/>
        </w:rPr>
        <w:t>空气质量情况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见表4。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三、沙尘天气影响情况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，自治区14城市出现5次区域性沙尘天气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未出现局地性沙尘天气，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与去年同期相比，区域性沙尘天气增加3次，局地性沙尘天气减少1次。兵团2城市出现3次沙尘天气，与去年同期相比，沙尘天气增加2次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2022年1-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，自治区14城市发生</w:t>
      </w:r>
      <w:r>
        <w:rPr>
          <w:rFonts w:hint="eastAsia" w:ascii="仿宋_GB2312" w:hAnsi="仿宋_GB2312" w:eastAsia="仿宋_GB2312" w:cs="仿宋_GB2312"/>
          <w:sz w:val="32"/>
          <w:szCs w:val="28"/>
        </w:rPr>
        <w:t>11次区域性沙尘天气和5次局地性沙尘天气，与去年同期相比，区域性沙尘天气增加3次，局地性沙尘天气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减少5</w:t>
      </w:r>
      <w:r>
        <w:rPr>
          <w:rFonts w:hint="eastAsia" w:ascii="仿宋_GB2312" w:hAnsi="仿宋_GB2312" w:eastAsia="仿宋_GB2312" w:cs="仿宋_GB2312"/>
          <w:sz w:val="32"/>
          <w:szCs w:val="28"/>
        </w:rPr>
        <w:t>次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兵团2城市出现4次沙尘天气，与</w:t>
      </w:r>
      <w:r>
        <w:rPr>
          <w:rFonts w:hint="eastAsia" w:ascii="仿宋_GB2312" w:hAnsi="仿宋_GB2312" w:eastAsia="仿宋_GB2312" w:cs="仿宋_GB2312"/>
          <w:sz w:val="32"/>
          <w:szCs w:val="28"/>
        </w:rPr>
        <w:t>去年同期相比增加2次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。</w:t>
      </w:r>
    </w:p>
    <w:p>
      <w:pPr>
        <w:widowControl/>
        <w:tabs>
          <w:tab w:val="left" w:pos="2996"/>
        </w:tabs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ascii="黑体" w:hAnsi="黑体" w:eastAsia="黑体" w:cs="仿宋_GB2312"/>
          <w:kern w:val="0"/>
          <w:sz w:val="32"/>
          <w:szCs w:val="32"/>
        </w:rPr>
        <w:t>四、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自治区14城市降尘量监测结果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2022年4月，自治区14城市降尘量在1.6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164.5吨/平方千米·月之间，平均降尘量为23.2吨/平方千米·月。其中，和田市降尘量最高，阿勒泰市最低。</w:t>
      </w:r>
    </w:p>
    <w:p>
      <w:pPr>
        <w:widowControl/>
        <w:tabs>
          <w:tab w:val="left" w:pos="2996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表3  2022年1-</w:t>
      </w:r>
      <w:r>
        <w:rPr>
          <w:rFonts w:hint="eastAsia" w:ascii="仿宋_GB2312" w:eastAsia="仿宋_GB2312"/>
          <w:b/>
          <w:sz w:val="24"/>
          <w:lang w:eastAsia="zh-CN"/>
        </w:rPr>
        <w:t>4月</w:t>
      </w:r>
      <w:r>
        <w:rPr>
          <w:rFonts w:hint="eastAsia" w:ascii="仿宋_GB2312" w:eastAsia="仿宋_GB2312"/>
          <w:b/>
          <w:sz w:val="24"/>
        </w:rPr>
        <w:t>自治区14城市及兵团2城市环境空气质量指数排名</w:t>
      </w:r>
    </w:p>
    <w:tbl>
      <w:tblPr>
        <w:tblStyle w:val="5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275"/>
        <w:gridCol w:w="1418"/>
        <w:gridCol w:w="18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指数</w:t>
            </w: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同比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变化率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1.81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-21.6%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2.19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-7.2%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4.08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4.14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4.37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5.04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2.8%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5.67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3.6%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6.08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4.0%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6.40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4.2%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7.02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6.7%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7.14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8.8%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7.18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9.2%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7.50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11.7%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8.24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19.0%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9.66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26.4%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12.40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26.7%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-13.3</w:t>
            </w:r>
          </w:p>
        </w:tc>
      </w:tr>
    </w:tbl>
    <w:p>
      <w:pPr>
        <w:jc w:val="center"/>
        <w:rPr>
          <w:rFonts w:ascii="仿宋_GB2312" w:eastAsia="仿宋_GB2312"/>
          <w:b/>
          <w:sz w:val="24"/>
        </w:rPr>
      </w:pPr>
    </w:p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b/>
        </w:rPr>
      </w:pPr>
      <w:r>
        <w:rPr>
          <w:rFonts w:hint="eastAsia"/>
          <w:b/>
        </w:rPr>
        <w:t xml:space="preserve">表4         </w:t>
      </w:r>
      <w:r>
        <w:rPr>
          <w:b/>
        </w:rPr>
        <w:t xml:space="preserve">  2022年</w:t>
      </w:r>
      <w:r>
        <w:rPr>
          <w:rFonts w:hint="eastAsia"/>
          <w:b/>
        </w:rPr>
        <w:t>1-4</w:t>
      </w:r>
      <w:r>
        <w:rPr>
          <w:b/>
        </w:rPr>
        <w:t>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</w:t>
      </w:r>
      <w:r>
        <w:rPr>
          <w:b/>
        </w:rPr>
        <w:t>城市环境空气质量同期对比</w:t>
      </w:r>
      <w:r>
        <w:rPr>
          <w:rFonts w:hint="eastAsia"/>
          <w:b/>
        </w:rPr>
        <w:t>（优良比例同比变化单位为百分点）</w:t>
      </w:r>
    </w:p>
    <w:tbl>
      <w:tblPr>
        <w:tblStyle w:val="5"/>
        <w:tblW w:w="15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5"/>
        <w:gridCol w:w="742"/>
        <w:gridCol w:w="674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7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优良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天数</w:t>
            </w:r>
            <w:r>
              <w:rPr>
                <w:rFonts w:eastAsia="仿宋_GB2312"/>
                <w:kern w:val="0"/>
                <w:sz w:val="20"/>
                <w:szCs w:val="20"/>
              </w:rPr>
              <w:t>比例(AQI)</w:t>
            </w:r>
          </w:p>
        </w:tc>
        <w:tc>
          <w:tcPr>
            <w:tcW w:w="2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2021年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1-4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2022年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1-4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1-4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8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7.4%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7.4%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60.8%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59.2%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-1.6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32.5%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20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-40.9%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-58.3%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3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37.9%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6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18.9%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5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98.3%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83.2%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76.4%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-6.8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23.4%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-3.6%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-45.5%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54.2%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49.6%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-4.6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157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14.6%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12.6%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-7.9%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55.8%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-5.8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144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19.0%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10.1%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-8.6%</w:t>
            </w:r>
          </w:p>
        </w:tc>
      </w:tr>
    </w:tbl>
    <w:p>
      <w:pPr>
        <w:spacing w:line="360" w:lineRule="exact"/>
        <w:jc w:val="left"/>
        <w:rPr>
          <w:rFonts w:ascii="仿宋_GB2312" w:hAnsi="Times New Roman" w:eastAsia="仿宋_GB2312" w:cs="Times New Roman"/>
          <w:b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GFkYWZiNGVhNzZiNjgyYmRiZGNiMzA0ZTk5Y2EifQ=="/>
  </w:docVars>
  <w:rsids>
    <w:rsidRoot w:val="00F26770"/>
    <w:rsid w:val="00031896"/>
    <w:rsid w:val="00101BF8"/>
    <w:rsid w:val="00162C33"/>
    <w:rsid w:val="00190B08"/>
    <w:rsid w:val="001A3DA3"/>
    <w:rsid w:val="002137F8"/>
    <w:rsid w:val="002373E5"/>
    <w:rsid w:val="0025016B"/>
    <w:rsid w:val="00336BD6"/>
    <w:rsid w:val="00356A52"/>
    <w:rsid w:val="00412AE7"/>
    <w:rsid w:val="004202AB"/>
    <w:rsid w:val="00441E4A"/>
    <w:rsid w:val="00442F8A"/>
    <w:rsid w:val="00444112"/>
    <w:rsid w:val="0046316F"/>
    <w:rsid w:val="00494420"/>
    <w:rsid w:val="004C0AD7"/>
    <w:rsid w:val="004C718C"/>
    <w:rsid w:val="00500DF4"/>
    <w:rsid w:val="00527181"/>
    <w:rsid w:val="00533F46"/>
    <w:rsid w:val="00551DEB"/>
    <w:rsid w:val="0058560B"/>
    <w:rsid w:val="005A359A"/>
    <w:rsid w:val="005F7775"/>
    <w:rsid w:val="00624118"/>
    <w:rsid w:val="00747FCC"/>
    <w:rsid w:val="007610F1"/>
    <w:rsid w:val="008461F9"/>
    <w:rsid w:val="008C7F59"/>
    <w:rsid w:val="00971368"/>
    <w:rsid w:val="00980959"/>
    <w:rsid w:val="009B6803"/>
    <w:rsid w:val="009E7696"/>
    <w:rsid w:val="00A304DC"/>
    <w:rsid w:val="00A845F1"/>
    <w:rsid w:val="00AC5F0B"/>
    <w:rsid w:val="00B02E68"/>
    <w:rsid w:val="00B7227F"/>
    <w:rsid w:val="00BA0D12"/>
    <w:rsid w:val="00BB72C0"/>
    <w:rsid w:val="00C050BB"/>
    <w:rsid w:val="00C5284D"/>
    <w:rsid w:val="00C77B10"/>
    <w:rsid w:val="00D50A74"/>
    <w:rsid w:val="00E53193"/>
    <w:rsid w:val="00E764C6"/>
    <w:rsid w:val="00E97103"/>
    <w:rsid w:val="00EA2254"/>
    <w:rsid w:val="00ED55F7"/>
    <w:rsid w:val="00ED7E6D"/>
    <w:rsid w:val="00F03E8A"/>
    <w:rsid w:val="00F232BC"/>
    <w:rsid w:val="00F26770"/>
    <w:rsid w:val="00F65784"/>
    <w:rsid w:val="00F854DE"/>
    <w:rsid w:val="00FA06EB"/>
    <w:rsid w:val="00FA7DD0"/>
    <w:rsid w:val="01CD4898"/>
    <w:rsid w:val="020531A4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D73B3F"/>
    <w:rsid w:val="0DE0091F"/>
    <w:rsid w:val="0E032C8D"/>
    <w:rsid w:val="0E3530E4"/>
    <w:rsid w:val="0E9F0EE3"/>
    <w:rsid w:val="0EA23313"/>
    <w:rsid w:val="0F1B22C1"/>
    <w:rsid w:val="0FC93926"/>
    <w:rsid w:val="103E6B37"/>
    <w:rsid w:val="10424163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9A3ED7"/>
    <w:rsid w:val="15D363BA"/>
    <w:rsid w:val="15F15AC1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3D027FA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24409A"/>
    <w:rsid w:val="2B470F6F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6757AB"/>
    <w:rsid w:val="358B1119"/>
    <w:rsid w:val="35EC766C"/>
    <w:rsid w:val="360C4B70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50088D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F509AC"/>
    <w:rsid w:val="4E1F3891"/>
    <w:rsid w:val="4E3B00D7"/>
    <w:rsid w:val="4E741245"/>
    <w:rsid w:val="4E8E275A"/>
    <w:rsid w:val="4F0E56B8"/>
    <w:rsid w:val="4F65798B"/>
    <w:rsid w:val="4F6A5633"/>
    <w:rsid w:val="4F950C90"/>
    <w:rsid w:val="4F977B08"/>
    <w:rsid w:val="4FE14DC9"/>
    <w:rsid w:val="502F1712"/>
    <w:rsid w:val="50A03EE0"/>
    <w:rsid w:val="5114796A"/>
    <w:rsid w:val="512D7F44"/>
    <w:rsid w:val="516440E3"/>
    <w:rsid w:val="51BB53A5"/>
    <w:rsid w:val="51C07DF4"/>
    <w:rsid w:val="51CD2D45"/>
    <w:rsid w:val="52302EEA"/>
    <w:rsid w:val="5289697C"/>
    <w:rsid w:val="52C72941"/>
    <w:rsid w:val="530E2CA4"/>
    <w:rsid w:val="5410636A"/>
    <w:rsid w:val="547C02D6"/>
    <w:rsid w:val="54B12B16"/>
    <w:rsid w:val="54CC6570"/>
    <w:rsid w:val="551556C2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B7F5B1E"/>
    <w:rsid w:val="5B831714"/>
    <w:rsid w:val="5BAC35E9"/>
    <w:rsid w:val="5C141B8B"/>
    <w:rsid w:val="5C336880"/>
    <w:rsid w:val="5C6041F4"/>
    <w:rsid w:val="5C66337D"/>
    <w:rsid w:val="5C770BDB"/>
    <w:rsid w:val="5C7D1D33"/>
    <w:rsid w:val="5D8F0CED"/>
    <w:rsid w:val="5DA92E4E"/>
    <w:rsid w:val="5DB15B8E"/>
    <w:rsid w:val="5DC654FB"/>
    <w:rsid w:val="5E3E6885"/>
    <w:rsid w:val="5E895E64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22F3EA3"/>
    <w:rsid w:val="6304645D"/>
    <w:rsid w:val="632443A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86D26AE"/>
    <w:rsid w:val="69673D75"/>
    <w:rsid w:val="698D0765"/>
    <w:rsid w:val="6A6A740E"/>
    <w:rsid w:val="6A6B5C4D"/>
    <w:rsid w:val="6A731E8A"/>
    <w:rsid w:val="6A777633"/>
    <w:rsid w:val="6A8F3D9A"/>
    <w:rsid w:val="6ACB695F"/>
    <w:rsid w:val="6AE663EC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ED27B98"/>
    <w:rsid w:val="6F0B53A9"/>
    <w:rsid w:val="6F2B74F5"/>
    <w:rsid w:val="6F6B0C20"/>
    <w:rsid w:val="6F73068A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9B030F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1168E5"/>
    <w:rsid w:val="7DFD7C87"/>
    <w:rsid w:val="7DFF6F04"/>
    <w:rsid w:val="7F1A5A64"/>
    <w:rsid w:val="7F1B7142"/>
    <w:rsid w:val="7F3341A7"/>
    <w:rsid w:val="7F4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3020</Words>
  <Characters>5783</Characters>
  <Lines>54</Lines>
  <Paragraphs>15</Paragraphs>
  <TotalTime>1</TotalTime>
  <ScaleCrop>false</ScaleCrop>
  <LinksUpToDate>false</LinksUpToDate>
  <CharactersWithSpaces>6318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2021-10-18T04:14:00Z</dcterms:created>
  <dc:creator>祁珊</dc:creator>
  <cp:lastModifiedBy>AA封存记忆i</cp:lastModifiedBy>
  <dcterms:modified xsi:type="dcterms:W3CDTF">2022-05-10T11:56:49Z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CE9838D980214E9E85412148D07EDE6F</vt:lpwstr>
  </property>
</Properties>
</file>