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lang w:val="en-US" w:eastAsia="zh-CN"/>
        </w:rPr>
      </w:pPr>
    </w:p>
    <w:p>
      <w:pPr>
        <w:bidi w:val="0"/>
        <w:rPr>
          <w:lang w:val="en-US" w:eastAsia="zh-CN"/>
        </w:rPr>
      </w:pPr>
    </w:p>
    <w:p>
      <w:pPr>
        <w:bidi w:val="0"/>
        <w:rPr>
          <w:lang w:val="en-US" w:eastAsia="zh-CN"/>
        </w:rPr>
      </w:pPr>
    </w:p>
    <w:p>
      <w:pPr>
        <w:bidi w:val="0"/>
        <w:rPr>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lang w:val="en-US" w:eastAsia="zh-CN"/>
        </w:rPr>
        <w:tab/>
      </w:r>
      <w:r>
        <w:rPr>
          <w:rFonts w:hint="eastAsia" w:ascii="方正小标宋简体" w:hAnsi="方正小标宋简体" w:eastAsia="方正小标宋简体" w:cs="方正小标宋简体"/>
          <w:sz w:val="44"/>
          <w:szCs w:val="44"/>
        </w:rPr>
        <w:t>2019年</w:t>
      </w:r>
      <w:r>
        <w:rPr>
          <w:rFonts w:hint="eastAsia" w:ascii="方正小标宋简体" w:hAnsi="方正小标宋简体" w:eastAsia="方正小标宋简体" w:cs="方正小标宋简体"/>
          <w:sz w:val="44"/>
          <w:szCs w:val="44"/>
          <w:lang w:val="en-US" w:eastAsia="zh-CN"/>
        </w:rPr>
        <w:t>12</w:t>
      </w:r>
      <w:r>
        <w:rPr>
          <w:rFonts w:hint="eastAsia" w:ascii="方正小标宋简体" w:hAnsi="方正小标宋简体" w:eastAsia="方正小标宋简体" w:cs="方正小标宋简体"/>
          <w:sz w:val="44"/>
          <w:szCs w:val="44"/>
        </w:rPr>
        <w:t>月自治区14城市及兵团2城市</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环境空气质量状况及排名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按照《关于印发&lt;自治区打赢蓝天保卫战三年行动计划（2018-2020年）&gt;的通知》（新政办发〔2018〕66号）的信息公开要求，现将2019年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月自治区14城市（地州市人民政府〈行政公署〉所在城市，下同）和兵团石河子、五家渠2城市空气质量状况及排名情况公开如下：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r>
        <w:rPr>
          <w:rFonts w:hint="eastAsia" w:ascii="黑体" w:hAnsi="黑体" w:eastAsia="黑体" w:cs="黑体"/>
          <w:kern w:val="0"/>
          <w:sz w:val="32"/>
          <w:szCs w:val="32"/>
        </w:rPr>
        <w:t>一、空气质量状况及变化</w:t>
      </w:r>
    </w:p>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rPr>
          <w:rFonts w:ascii="仿宋" w:hAnsi="仿宋" w:eastAsia="仿宋" w:cs="Times New Roman"/>
          <w:color w:val="FF0000"/>
          <w:kern w:val="0"/>
          <w:sz w:val="32"/>
          <w:szCs w:val="32"/>
        </w:rPr>
      </w:pPr>
      <w:r>
        <w:rPr>
          <w:rFonts w:ascii="仿宋" w:hAnsi="仿宋" w:eastAsia="仿宋" w:cs="Times New Roman"/>
          <w:kern w:val="0"/>
          <w:sz w:val="32"/>
          <w:szCs w:val="32"/>
        </w:rPr>
        <w:t>2019年12月</w:t>
      </w:r>
      <w:r>
        <w:rPr>
          <w:rFonts w:hint="eastAsia" w:ascii="仿宋" w:hAnsi="仿宋" w:eastAsia="仿宋" w:cs="Times New Roman"/>
          <w:kern w:val="0"/>
          <w:sz w:val="32"/>
          <w:szCs w:val="32"/>
        </w:rPr>
        <w:t>，自治区14城市平均优良天数比例为</w:t>
      </w:r>
      <w:r>
        <w:rPr>
          <w:rFonts w:ascii="仿宋" w:hAnsi="仿宋" w:eastAsia="仿宋" w:cs="Times New Roman"/>
          <w:kern w:val="0"/>
          <w:sz w:val="32"/>
          <w:szCs w:val="32"/>
        </w:rPr>
        <w:t>53.9</w:t>
      </w:r>
      <w:r>
        <w:rPr>
          <w:rFonts w:hint="eastAsia" w:ascii="仿宋" w:hAnsi="仿宋" w:eastAsia="仿宋" w:cs="Times New Roman"/>
          <w:kern w:val="0"/>
          <w:sz w:val="32"/>
          <w:szCs w:val="32"/>
        </w:rPr>
        <w:t>%，轻度污染比例为26.3%，中度污染比例为12.9%，重度污染比例</w:t>
      </w:r>
      <w:r>
        <w:rPr>
          <w:rFonts w:hint="eastAsia" w:ascii="仿宋" w:hAnsi="仿宋" w:eastAsia="仿宋" w:cs="Times New Roman"/>
          <w:color w:val="000000" w:themeColor="text1"/>
          <w:kern w:val="0"/>
          <w:sz w:val="32"/>
          <w:szCs w:val="32"/>
        </w:rPr>
        <w:t>为6.9%，未出现严重污染天气，首要污染物为PM</w:t>
      </w:r>
      <w:r>
        <w:rPr>
          <w:rFonts w:hint="eastAsia" w:ascii="仿宋" w:hAnsi="仿宋" w:eastAsia="仿宋" w:cs="Times New Roman"/>
          <w:color w:val="000000" w:themeColor="text1"/>
          <w:kern w:val="0"/>
          <w:sz w:val="32"/>
          <w:szCs w:val="32"/>
          <w:vertAlign w:val="subscript"/>
        </w:rPr>
        <w:t>10</w:t>
      </w:r>
      <w:r>
        <w:rPr>
          <w:rFonts w:hint="eastAsia" w:ascii="仿宋" w:hAnsi="仿宋" w:eastAsia="仿宋" w:cs="Times New Roman"/>
          <w:color w:val="000000" w:themeColor="text1"/>
          <w:kern w:val="0"/>
          <w:sz w:val="32"/>
          <w:szCs w:val="32"/>
        </w:rPr>
        <w:t>和PM</w:t>
      </w:r>
      <w:r>
        <w:rPr>
          <w:rFonts w:hint="eastAsia" w:ascii="仿宋" w:hAnsi="仿宋" w:eastAsia="仿宋" w:cs="Times New Roman"/>
          <w:color w:val="000000" w:themeColor="text1"/>
          <w:kern w:val="0"/>
          <w:sz w:val="32"/>
          <w:szCs w:val="32"/>
          <w:vertAlign w:val="subscript"/>
        </w:rPr>
        <w:t>2.5</w:t>
      </w:r>
      <w:r>
        <w:rPr>
          <w:rFonts w:hint="eastAsia" w:ascii="仿宋" w:hAnsi="仿宋" w:eastAsia="仿宋" w:cs="Times New Roman"/>
          <w:color w:val="000000" w:themeColor="text1"/>
          <w:kern w:val="0"/>
          <w:sz w:val="32"/>
          <w:szCs w:val="32"/>
        </w:rPr>
        <w:t>。</w:t>
      </w:r>
      <w:r>
        <w:rPr>
          <w:rFonts w:hint="eastAsia" w:ascii="仿宋" w:hAnsi="仿宋" w:eastAsia="仿宋"/>
          <w:color w:val="000000" w:themeColor="text1"/>
          <w:kern w:val="0"/>
          <w:sz w:val="32"/>
          <w:szCs w:val="32"/>
        </w:rPr>
        <w:t>与去年同期相比，平均</w:t>
      </w:r>
      <w:r>
        <w:rPr>
          <w:rFonts w:hint="eastAsia" w:ascii="仿宋" w:hAnsi="仿宋" w:eastAsia="仿宋" w:cs="Times New Roman"/>
          <w:color w:val="000000" w:themeColor="text1"/>
          <w:kern w:val="0"/>
          <w:sz w:val="32"/>
          <w:szCs w:val="32"/>
        </w:rPr>
        <w:t>优良天数比例增加13.1个百分点，轻度污染比例减少1.4个百分点，中度污染比例减少5.6</w:t>
      </w:r>
      <w:r>
        <w:rPr>
          <w:rFonts w:ascii="仿宋" w:hAnsi="仿宋" w:eastAsia="仿宋" w:cs="Times New Roman"/>
          <w:color w:val="000000" w:themeColor="text1"/>
          <w:kern w:val="0"/>
          <w:sz w:val="32"/>
          <w:szCs w:val="32"/>
        </w:rPr>
        <w:t>个百分点</w:t>
      </w:r>
      <w:r>
        <w:rPr>
          <w:rFonts w:hint="eastAsia" w:ascii="仿宋" w:hAnsi="仿宋" w:eastAsia="仿宋" w:cs="Times New Roman"/>
          <w:color w:val="000000" w:themeColor="text1"/>
          <w:kern w:val="0"/>
          <w:sz w:val="32"/>
          <w:szCs w:val="32"/>
        </w:rPr>
        <w:t>，重度污染比例减少0.5个百分点，严重污染比例减少5.6个百分点，环境空气质量较去年同期明显好转。</w:t>
      </w:r>
    </w:p>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rPr>
          <w:rFonts w:ascii="仿宋" w:hAnsi="仿宋" w:eastAsia="仿宋" w:cs="Times New Roman"/>
          <w:kern w:val="0"/>
          <w:sz w:val="32"/>
          <w:szCs w:val="32"/>
        </w:rPr>
      </w:pPr>
      <w:r>
        <w:rPr>
          <w:rFonts w:ascii="仿宋" w:hAnsi="仿宋" w:eastAsia="仿宋" w:cs="Times New Roman"/>
          <w:kern w:val="0"/>
          <w:sz w:val="32"/>
          <w:szCs w:val="32"/>
        </w:rPr>
        <w:t>兵团石河子</w:t>
      </w:r>
      <w:r>
        <w:rPr>
          <w:rFonts w:hint="eastAsia" w:ascii="仿宋" w:hAnsi="仿宋" w:eastAsia="仿宋" w:cs="Times New Roman"/>
          <w:kern w:val="0"/>
          <w:sz w:val="32"/>
          <w:szCs w:val="32"/>
        </w:rPr>
        <w:t>、</w:t>
      </w:r>
      <w:r>
        <w:rPr>
          <w:rFonts w:ascii="仿宋" w:hAnsi="仿宋" w:eastAsia="仿宋" w:cs="Times New Roman"/>
          <w:kern w:val="0"/>
          <w:sz w:val="32"/>
          <w:szCs w:val="32"/>
        </w:rPr>
        <w:t>五家渠</w:t>
      </w:r>
      <w:r>
        <w:rPr>
          <w:rFonts w:hint="eastAsia" w:ascii="仿宋" w:hAnsi="仿宋" w:eastAsia="仿宋" w:cs="Times New Roman"/>
          <w:kern w:val="0"/>
          <w:sz w:val="32"/>
          <w:szCs w:val="32"/>
        </w:rPr>
        <w:t>2城市平均优良天数比例为14.5%，轻度污染比例为32.2%，中度污染比例为4.9%，重度污染比例为40.3%，严重污染比例为8.1%，首要污染物主要为</w:t>
      </w:r>
      <w:r>
        <w:rPr>
          <w:rFonts w:hint="eastAsia" w:ascii="仿宋" w:hAnsi="仿宋" w:eastAsia="仿宋" w:cs="Times New Roman"/>
          <w:color w:val="000000" w:themeColor="text1"/>
          <w:kern w:val="0"/>
          <w:sz w:val="32"/>
          <w:szCs w:val="32"/>
        </w:rPr>
        <w:t>PM</w:t>
      </w:r>
      <w:r>
        <w:rPr>
          <w:rFonts w:hint="eastAsia" w:ascii="仿宋" w:hAnsi="仿宋" w:eastAsia="仿宋" w:cs="Times New Roman"/>
          <w:color w:val="000000" w:themeColor="text1"/>
          <w:kern w:val="0"/>
          <w:sz w:val="32"/>
          <w:szCs w:val="32"/>
          <w:vertAlign w:val="subscript"/>
        </w:rPr>
        <w:t>2.5</w:t>
      </w:r>
      <w:r>
        <w:rPr>
          <w:rFonts w:hint="eastAsia" w:ascii="仿宋" w:hAnsi="仿宋" w:eastAsia="仿宋" w:cs="Times New Roman"/>
          <w:kern w:val="0"/>
          <w:sz w:val="32"/>
          <w:szCs w:val="32"/>
        </w:rPr>
        <w:t>。</w:t>
      </w:r>
      <w:r>
        <w:rPr>
          <w:rFonts w:hint="eastAsia" w:ascii="仿宋" w:hAnsi="仿宋" w:eastAsia="仿宋"/>
          <w:kern w:val="0"/>
          <w:sz w:val="32"/>
          <w:szCs w:val="32"/>
        </w:rPr>
        <w:t>与去年同期相比</w:t>
      </w:r>
      <w:r>
        <w:rPr>
          <w:rFonts w:hint="eastAsia" w:ascii="仿宋" w:hAnsi="仿宋" w:eastAsia="仿宋" w:cs="Times New Roman"/>
          <w:kern w:val="0"/>
          <w:sz w:val="32"/>
          <w:szCs w:val="32"/>
        </w:rPr>
        <w:t>，平均优良天数比例增加3.2个百分点，轻度污染比例增加17.8个百分点，中度污染比例减少27.4个百分点，重度污染比例增加12.9个百分点，严重污染比例减少6.5个百分点，</w:t>
      </w:r>
      <w:r>
        <w:rPr>
          <w:rFonts w:hint="eastAsia" w:ascii="仿宋" w:hAnsi="仿宋" w:eastAsia="仿宋" w:cs="Times New Roman"/>
          <w:color w:val="000000" w:themeColor="text1"/>
          <w:kern w:val="0"/>
          <w:sz w:val="32"/>
          <w:szCs w:val="32"/>
        </w:rPr>
        <w:t>环境空气质量较去年同期略有好转</w:t>
      </w:r>
      <w:r>
        <w:rPr>
          <w:rFonts w:hint="eastAsia" w:ascii="仿宋" w:hAnsi="仿宋" w:eastAsia="仿宋" w:cs="Times New Roman"/>
          <w:kern w:val="0"/>
          <w:sz w:val="32"/>
          <w:szCs w:val="32"/>
        </w:rPr>
        <w:t>。</w:t>
      </w:r>
    </w:p>
    <w:p>
      <w:pPr>
        <w:keepNext w:val="0"/>
        <w:keepLines w:val="0"/>
        <w:pageBreakBefore w:val="0"/>
        <w:tabs>
          <w:tab w:val="left" w:pos="4536"/>
        </w:tabs>
        <w:kinsoku/>
        <w:wordWrap/>
        <w:overflowPunct/>
        <w:topLinePunct w:val="0"/>
        <w:autoSpaceDE/>
        <w:autoSpaceDN/>
        <w:bidi w:val="0"/>
        <w:adjustRightInd/>
        <w:snapToGrid/>
        <w:spacing w:line="560" w:lineRule="exact"/>
        <w:ind w:firstLine="641"/>
        <w:textAlignment w:val="auto"/>
        <w:rPr>
          <w:rFonts w:ascii="仿宋" w:hAnsi="仿宋" w:eastAsia="仿宋" w:cs="Times New Roman"/>
          <w:kern w:val="0"/>
          <w:sz w:val="32"/>
          <w:szCs w:val="32"/>
        </w:rPr>
      </w:pPr>
      <w:r>
        <w:rPr>
          <w:rFonts w:ascii="仿宋" w:hAnsi="仿宋" w:eastAsia="仿宋" w:cs="Times New Roman"/>
          <w:kern w:val="0"/>
          <w:sz w:val="32"/>
          <w:szCs w:val="32"/>
        </w:rPr>
        <w:t>2019年12月</w:t>
      </w:r>
      <w:r>
        <w:rPr>
          <w:rFonts w:hint="eastAsia" w:ascii="仿宋" w:hAnsi="仿宋" w:eastAsia="仿宋" w:cs="Times New Roman"/>
          <w:kern w:val="0"/>
          <w:sz w:val="32"/>
          <w:szCs w:val="32"/>
        </w:rPr>
        <w:t>，自治区14城市NO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45μg/m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，与去年同期相比上升</w:t>
      </w:r>
      <w:r>
        <w:rPr>
          <w:rFonts w:ascii="仿宋" w:hAnsi="仿宋" w:eastAsia="仿宋" w:cs="Times New Roman"/>
          <w:kern w:val="0"/>
          <w:sz w:val="32"/>
          <w:szCs w:val="32"/>
        </w:rPr>
        <w:t>25.0</w:t>
      </w:r>
      <w:r>
        <w:rPr>
          <w:rFonts w:hint="eastAsia" w:ascii="仿宋" w:hAnsi="仿宋" w:eastAsia="仿宋" w:cs="Times New Roman"/>
          <w:kern w:val="0"/>
          <w:sz w:val="32"/>
          <w:szCs w:val="32"/>
        </w:rPr>
        <w:t>%；CO平均浓度为1.7</w:t>
      </w:r>
      <w:r>
        <w:rPr>
          <w:rFonts w:ascii="仿宋" w:hAnsi="仿宋" w:eastAsia="仿宋" w:cs="Times New Roman"/>
          <w:kern w:val="0"/>
          <w:sz w:val="32"/>
          <w:szCs w:val="32"/>
        </w:rPr>
        <w:t>mg/m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，同比上升6.2</w:t>
      </w:r>
      <w:r>
        <w:rPr>
          <w:rFonts w:ascii="仿宋" w:hAnsi="仿宋" w:eastAsia="仿宋" w:cs="Times New Roman"/>
          <w:kern w:val="0"/>
          <w:sz w:val="32"/>
          <w:szCs w:val="32"/>
        </w:rPr>
        <w:t>%</w:t>
      </w:r>
      <w:r>
        <w:rPr>
          <w:rFonts w:hint="eastAsia" w:ascii="仿宋" w:hAnsi="仿宋" w:eastAsia="仿宋" w:cs="Times New Roman"/>
          <w:kern w:val="0"/>
          <w:sz w:val="32"/>
          <w:szCs w:val="32"/>
        </w:rPr>
        <w:t>；PM</w:t>
      </w:r>
      <w:r>
        <w:rPr>
          <w:rFonts w:hint="eastAsia" w:ascii="仿宋" w:hAnsi="仿宋" w:eastAsia="仿宋" w:cs="Times New Roman"/>
          <w:kern w:val="0"/>
          <w:sz w:val="32"/>
          <w:szCs w:val="32"/>
          <w:vertAlign w:val="subscript"/>
        </w:rPr>
        <w:t>2.5</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74μg/m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，同比上升4.2%；O</w:t>
      </w:r>
      <w:r>
        <w:rPr>
          <w:rFonts w:hint="eastAsia" w:ascii="仿宋" w:hAnsi="仿宋" w:eastAsia="仿宋" w:cs="Times New Roman"/>
          <w:kern w:val="0"/>
          <w:sz w:val="32"/>
          <w:szCs w:val="32"/>
          <w:vertAlign w:val="subscript"/>
        </w:rPr>
        <w:t>3</w:t>
      </w:r>
      <w:r>
        <w:rPr>
          <w:rFonts w:hint="eastAsia" w:ascii="仿宋" w:hAnsi="仿宋" w:eastAsia="仿宋" w:cs="Times New Roman"/>
          <w:kern w:val="0"/>
          <w:sz w:val="32"/>
          <w:szCs w:val="32"/>
        </w:rPr>
        <w:t>日最大8小时平均浓度为</w:t>
      </w:r>
      <w:r>
        <w:rPr>
          <w:rFonts w:ascii="仿宋" w:hAnsi="仿宋" w:eastAsia="仿宋" w:cs="Times New Roman"/>
          <w:kern w:val="0"/>
          <w:sz w:val="32"/>
          <w:szCs w:val="32"/>
        </w:rPr>
        <w:t>48μg/m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，同比上升2.1%；SO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12μg/m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，同比下降7.7%；PM</w:t>
      </w:r>
      <w:r>
        <w:rPr>
          <w:rFonts w:hint="eastAsia" w:ascii="仿宋" w:hAnsi="仿宋" w:eastAsia="仿宋" w:cs="Times New Roman"/>
          <w:kern w:val="0"/>
          <w:sz w:val="32"/>
          <w:szCs w:val="32"/>
          <w:vertAlign w:val="subscript"/>
        </w:rPr>
        <w:t>10</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123μg/m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，同比下降33.5%。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兵团2城市PM</w:t>
      </w:r>
      <w:r>
        <w:rPr>
          <w:rFonts w:hint="eastAsia" w:ascii="仿宋" w:hAnsi="仿宋" w:eastAsia="仿宋" w:cs="Times New Roman"/>
          <w:kern w:val="0"/>
          <w:sz w:val="32"/>
          <w:szCs w:val="32"/>
          <w:vertAlign w:val="subscript"/>
        </w:rPr>
        <w:t>2.5</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146μg/m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，与去年同期相比下降6.4%；SO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12μg/m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，同比下降7.7%；O</w:t>
      </w:r>
      <w:r>
        <w:rPr>
          <w:rFonts w:hint="eastAsia" w:ascii="仿宋" w:hAnsi="仿宋" w:eastAsia="仿宋" w:cs="Times New Roman"/>
          <w:kern w:val="0"/>
          <w:sz w:val="32"/>
          <w:szCs w:val="32"/>
          <w:vertAlign w:val="subscript"/>
        </w:rPr>
        <w:t>3</w:t>
      </w:r>
      <w:r>
        <w:rPr>
          <w:rFonts w:hint="eastAsia" w:ascii="仿宋" w:hAnsi="仿宋" w:eastAsia="仿宋" w:cs="Times New Roman"/>
          <w:kern w:val="0"/>
          <w:sz w:val="32"/>
          <w:szCs w:val="32"/>
        </w:rPr>
        <w:t>日最大8小时平均浓度为</w:t>
      </w:r>
      <w:r>
        <w:rPr>
          <w:rFonts w:ascii="仿宋" w:hAnsi="仿宋" w:eastAsia="仿宋" w:cs="Times New Roman"/>
          <w:kern w:val="0"/>
          <w:sz w:val="32"/>
          <w:szCs w:val="32"/>
        </w:rPr>
        <w:t>30μg/m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w:t>
      </w:r>
      <w:r>
        <w:rPr>
          <w:rFonts w:ascii="仿宋" w:hAnsi="仿宋" w:eastAsia="仿宋" w:cs="Times New Roman"/>
          <w:kern w:val="0"/>
          <w:sz w:val="32"/>
          <w:szCs w:val="32"/>
        </w:rPr>
        <w:t>9.1</w:t>
      </w:r>
      <w:r>
        <w:rPr>
          <w:rFonts w:hint="eastAsia" w:ascii="仿宋" w:hAnsi="仿宋" w:eastAsia="仿宋" w:cs="Times New Roman"/>
          <w:kern w:val="0"/>
          <w:sz w:val="32"/>
          <w:szCs w:val="32"/>
        </w:rPr>
        <w:t>%；NO</w:t>
      </w:r>
      <w:r>
        <w:rPr>
          <w:rFonts w:hint="eastAsia" w:ascii="仿宋" w:hAnsi="仿宋" w:eastAsia="仿宋" w:cs="Times New Roman"/>
          <w:kern w:val="0"/>
          <w:sz w:val="32"/>
          <w:szCs w:val="32"/>
          <w:vertAlign w:val="subscript"/>
        </w:rPr>
        <w:t>2</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51μg/m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，同比下降10.5%；CO平均浓度为1.8</w:t>
      </w:r>
      <w:r>
        <w:rPr>
          <w:rFonts w:ascii="仿宋" w:hAnsi="仿宋" w:eastAsia="仿宋" w:cs="Times New Roman"/>
          <w:kern w:val="0"/>
          <w:sz w:val="32"/>
          <w:szCs w:val="32"/>
        </w:rPr>
        <w:t>mg/m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，同比下降14.3%；PM</w:t>
      </w:r>
      <w:r>
        <w:rPr>
          <w:rFonts w:hint="eastAsia" w:ascii="仿宋" w:hAnsi="仿宋" w:eastAsia="仿宋" w:cs="Times New Roman"/>
          <w:kern w:val="0"/>
          <w:sz w:val="32"/>
          <w:szCs w:val="32"/>
          <w:vertAlign w:val="subscript"/>
        </w:rPr>
        <w:t>10</w:t>
      </w:r>
      <w:r>
        <w:rPr>
          <w:rFonts w:hint="eastAsia" w:ascii="仿宋" w:hAnsi="仿宋" w:eastAsia="仿宋" w:cs="Times New Roman"/>
          <w:kern w:val="0"/>
          <w:sz w:val="32"/>
          <w:szCs w:val="32"/>
        </w:rPr>
        <w:t>平均浓度为</w:t>
      </w:r>
      <w:r>
        <w:rPr>
          <w:rFonts w:ascii="仿宋" w:hAnsi="仿宋" w:eastAsia="仿宋" w:cs="Times New Roman"/>
          <w:kern w:val="0"/>
          <w:sz w:val="32"/>
          <w:szCs w:val="32"/>
        </w:rPr>
        <w:t>196μg/m</w:t>
      </w:r>
      <w:r>
        <w:rPr>
          <w:rFonts w:ascii="仿宋" w:hAnsi="仿宋" w:eastAsia="仿宋" w:cs="Times New Roman"/>
          <w:kern w:val="0"/>
          <w:sz w:val="32"/>
          <w:szCs w:val="32"/>
          <w:vertAlign w:val="superscript"/>
        </w:rPr>
        <w:t>3</w:t>
      </w:r>
      <w:r>
        <w:rPr>
          <w:rFonts w:hint="eastAsia" w:ascii="仿宋" w:hAnsi="仿宋" w:eastAsia="仿宋" w:cs="Times New Roman"/>
          <w:kern w:val="0"/>
          <w:sz w:val="32"/>
          <w:szCs w:val="32"/>
        </w:rPr>
        <w:t>，同比</w:t>
      </w:r>
      <w:r>
        <w:rPr>
          <w:rFonts w:hint="eastAsia" w:ascii="仿宋" w:hAnsi="仿宋" w:eastAsia="仿宋"/>
          <w:kern w:val="0"/>
          <w:sz w:val="32"/>
          <w:szCs w:val="32"/>
        </w:rPr>
        <w:t>下降29.0</w:t>
      </w:r>
      <w:r>
        <w:rPr>
          <w:rFonts w:hint="eastAsia" w:ascii="仿宋" w:hAnsi="仿宋" w:eastAsia="仿宋" w:cs="Times New Roman"/>
          <w:kern w:val="0"/>
          <w:sz w:val="32"/>
          <w:szCs w:val="32"/>
        </w:rPr>
        <w:t>%（见表</w:t>
      </w:r>
      <w:r>
        <w:rPr>
          <w:rFonts w:ascii="仿宋" w:hAnsi="仿宋" w:eastAsia="仿宋" w:cs="Times New Roman"/>
          <w:kern w:val="0"/>
          <w:sz w:val="32"/>
          <w:szCs w:val="32"/>
        </w:rPr>
        <w:t>1</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olor w:val="0000FF"/>
          <w:kern w:val="0"/>
          <w:sz w:val="32"/>
          <w:szCs w:val="32"/>
        </w:rPr>
        <w:sectPr>
          <w:pgSz w:w="11906" w:h="16838"/>
          <w:pgMar w:top="1134" w:right="1803" w:bottom="1134" w:left="1803" w:header="851" w:footer="992" w:gutter="0"/>
          <w:cols w:space="425" w:num="1"/>
          <w:docGrid w:type="lines" w:linePitch="312" w:charSpace="0"/>
        </w:sectPr>
      </w:pPr>
      <w:r>
        <w:rPr>
          <w:rFonts w:ascii="仿宋" w:hAnsi="仿宋" w:eastAsia="仿宋" w:cs="Times New Roman"/>
          <w:kern w:val="0"/>
          <w:sz w:val="32"/>
          <w:szCs w:val="32"/>
        </w:rPr>
        <w:t>2019年12月</w:t>
      </w:r>
      <w:r>
        <w:rPr>
          <w:rFonts w:hint="eastAsia" w:ascii="仿宋" w:hAnsi="仿宋" w:eastAsia="仿宋" w:cs="Times New Roman"/>
          <w:kern w:val="0"/>
          <w:sz w:val="32"/>
          <w:szCs w:val="32"/>
        </w:rPr>
        <w:t>，自治区14城市未</w:t>
      </w:r>
      <w:r>
        <w:rPr>
          <w:rFonts w:ascii="仿宋" w:hAnsi="仿宋" w:eastAsia="仿宋" w:cs="Times New Roman"/>
          <w:kern w:val="0"/>
          <w:sz w:val="32"/>
          <w:szCs w:val="32"/>
        </w:rPr>
        <w:t>出现</w:t>
      </w:r>
      <w:r>
        <w:rPr>
          <w:rFonts w:hint="eastAsia" w:ascii="仿宋" w:hAnsi="仿宋" w:eastAsia="仿宋" w:cs="Times New Roman"/>
          <w:kern w:val="0"/>
          <w:sz w:val="32"/>
          <w:szCs w:val="32"/>
        </w:rPr>
        <w:t>沙尘天气，与</w:t>
      </w:r>
      <w:r>
        <w:rPr>
          <w:rFonts w:hint="eastAsia" w:ascii="仿宋" w:hAnsi="仿宋" w:eastAsia="仿宋"/>
          <w:kern w:val="0"/>
          <w:sz w:val="32"/>
          <w:szCs w:val="32"/>
        </w:rPr>
        <w:t>去年同期相比，区域性沙尘天气减少2次，</w:t>
      </w:r>
      <w:r>
        <w:rPr>
          <w:rFonts w:hint="eastAsia" w:ascii="仿宋" w:hAnsi="仿宋" w:eastAsia="仿宋" w:cs="Times New Roman"/>
          <w:kern w:val="0"/>
          <w:sz w:val="32"/>
          <w:szCs w:val="32"/>
        </w:rPr>
        <w:t>局地性沙尘天气减少3次。</w:t>
      </w:r>
      <w:r>
        <w:rPr>
          <w:rFonts w:hint="eastAsia" w:ascii="仿宋" w:hAnsi="仿宋" w:eastAsia="仿宋"/>
          <w:kern w:val="0"/>
          <w:sz w:val="32"/>
          <w:szCs w:val="32"/>
        </w:rPr>
        <w:t>兵团2城市未出现沙尘天气，同比减少1次。</w:t>
      </w:r>
    </w:p>
    <w:p>
      <w:pPr>
        <w:spacing w:line="36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表1    2019年12月自治区14城市及兵团2城市空气质量情况</w:t>
      </w:r>
    </w:p>
    <w:p/>
    <w:tbl>
      <w:tblPr>
        <w:tblStyle w:val="8"/>
        <w:tblW w:w="15065" w:type="dxa"/>
        <w:jc w:val="center"/>
        <w:tblLayout w:type="autofit"/>
        <w:tblCellMar>
          <w:top w:w="0" w:type="dxa"/>
          <w:left w:w="108" w:type="dxa"/>
          <w:bottom w:w="0" w:type="dxa"/>
          <w:right w:w="108" w:type="dxa"/>
        </w:tblCellMar>
      </w:tblPr>
      <w:tblGrid>
        <w:gridCol w:w="1264"/>
        <w:gridCol w:w="727"/>
        <w:gridCol w:w="727"/>
        <w:gridCol w:w="753"/>
        <w:gridCol w:w="544"/>
        <w:gridCol w:w="544"/>
        <w:gridCol w:w="775"/>
        <w:gridCol w:w="544"/>
        <w:gridCol w:w="544"/>
        <w:gridCol w:w="775"/>
        <w:gridCol w:w="498"/>
        <w:gridCol w:w="498"/>
        <w:gridCol w:w="775"/>
        <w:gridCol w:w="498"/>
        <w:gridCol w:w="498"/>
        <w:gridCol w:w="775"/>
        <w:gridCol w:w="694"/>
        <w:gridCol w:w="694"/>
        <w:gridCol w:w="775"/>
        <w:gridCol w:w="694"/>
        <w:gridCol w:w="694"/>
        <w:gridCol w:w="775"/>
      </w:tblGrid>
      <w:tr>
        <w:tblPrEx>
          <w:tblCellMar>
            <w:top w:w="0" w:type="dxa"/>
            <w:left w:w="108" w:type="dxa"/>
            <w:bottom w:w="0" w:type="dxa"/>
            <w:right w:w="108" w:type="dxa"/>
          </w:tblCellMar>
        </w:tblPrEx>
        <w:trPr>
          <w:trHeight w:val="203" w:hRule="atLeast"/>
          <w:tblHeader/>
          <w:jc w:val="center"/>
        </w:trPr>
        <w:tc>
          <w:tcPr>
            <w:tcW w:w="0" w:type="auto"/>
            <w:vMerge w:val="restart"/>
            <w:tcBorders>
              <w:top w:val="single" w:color="auto" w:sz="12" w:space="0"/>
              <w:right w:val="single" w:color="auto" w:sz="4" w:space="0"/>
            </w:tcBorders>
            <w:shd w:val="clear" w:color="auto" w:fill="auto"/>
            <w:noWrap/>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城市</w:t>
            </w:r>
          </w:p>
        </w:tc>
        <w:tc>
          <w:tcPr>
            <w:tcW w:w="2375" w:type="dxa"/>
            <w:gridSpan w:val="3"/>
            <w:tcBorders>
              <w:top w:val="single" w:color="auto" w:sz="12"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优良</w:t>
            </w:r>
            <w:r>
              <w:rPr>
                <w:rFonts w:hint="eastAsia" w:ascii="仿宋" w:hAnsi="仿宋" w:eastAsia="仿宋" w:cs="Times New Roman"/>
                <w:kern w:val="0"/>
                <w:sz w:val="18"/>
                <w:szCs w:val="20"/>
              </w:rPr>
              <w:t>天数</w:t>
            </w:r>
            <w:r>
              <w:rPr>
                <w:rFonts w:ascii="仿宋" w:hAnsi="仿宋" w:eastAsia="仿宋" w:cs="Times New Roman"/>
                <w:kern w:val="0"/>
                <w:sz w:val="18"/>
                <w:szCs w:val="20"/>
              </w:rPr>
              <w:t>比例(AQI)</w:t>
            </w:r>
          </w:p>
        </w:tc>
        <w:tc>
          <w:tcPr>
            <w:tcW w:w="0" w:type="auto"/>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PM</w:t>
            </w:r>
            <w:r>
              <w:rPr>
                <w:rFonts w:ascii="仿宋" w:hAnsi="仿宋" w:eastAsia="仿宋" w:cs="Times New Roman"/>
                <w:kern w:val="0"/>
                <w:sz w:val="18"/>
                <w:szCs w:val="20"/>
                <w:vertAlign w:val="subscript"/>
              </w:rPr>
              <w:t>10</w:t>
            </w:r>
            <w:r>
              <w:rPr>
                <w:rFonts w:hint="eastAsia" w:ascii="仿宋" w:hAnsi="仿宋" w:eastAsia="仿宋" w:cs="Times New Roman"/>
                <w:kern w:val="0"/>
                <w:sz w:val="18"/>
                <w:szCs w:val="20"/>
              </w:rPr>
              <w:t>（</w:t>
            </w:r>
            <w:r>
              <w:rPr>
                <w:rFonts w:ascii="仿宋" w:hAnsi="仿宋" w:eastAsia="仿宋" w:cs="Times New Roman"/>
                <w:kern w:val="0"/>
                <w:sz w:val="18"/>
                <w:szCs w:val="20"/>
              </w:rPr>
              <w:t>μ</w:t>
            </w:r>
            <w:r>
              <w:rPr>
                <w:rFonts w:hint="eastAsia" w:ascii="仿宋" w:hAnsi="仿宋" w:eastAsia="仿宋" w:cs="Times New Roman"/>
                <w:kern w:val="0"/>
                <w:sz w:val="18"/>
                <w:szCs w:val="20"/>
              </w:rPr>
              <w:t>g</w:t>
            </w:r>
            <w:r>
              <w:rPr>
                <w:rFonts w:ascii="仿宋" w:hAnsi="仿宋" w:eastAsia="仿宋" w:cs="Times New Roman"/>
                <w:kern w:val="0"/>
                <w:sz w:val="18"/>
                <w:szCs w:val="20"/>
              </w:rPr>
              <w:t>/m</w:t>
            </w:r>
            <w:r>
              <w:rPr>
                <w:rFonts w:ascii="仿宋" w:hAnsi="仿宋" w:eastAsia="仿宋" w:cs="Times New Roman"/>
                <w:kern w:val="0"/>
                <w:sz w:val="18"/>
                <w:szCs w:val="20"/>
                <w:vertAlign w:val="superscript"/>
              </w:rPr>
              <w:t>3</w:t>
            </w:r>
            <w:r>
              <w:rPr>
                <w:rFonts w:hint="eastAsia" w:ascii="仿宋" w:hAnsi="仿宋" w:eastAsia="仿宋" w:cs="Times New Roman"/>
                <w:kern w:val="0"/>
                <w:sz w:val="18"/>
                <w:szCs w:val="20"/>
              </w:rPr>
              <w:t>）</w:t>
            </w:r>
          </w:p>
        </w:tc>
        <w:tc>
          <w:tcPr>
            <w:tcW w:w="0" w:type="auto"/>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PM</w:t>
            </w:r>
            <w:r>
              <w:rPr>
                <w:rFonts w:ascii="仿宋" w:hAnsi="仿宋" w:eastAsia="仿宋" w:cs="Times New Roman"/>
                <w:kern w:val="0"/>
                <w:sz w:val="18"/>
                <w:szCs w:val="20"/>
                <w:vertAlign w:val="subscript"/>
              </w:rPr>
              <w:t>2.5</w:t>
            </w:r>
            <w:r>
              <w:rPr>
                <w:rFonts w:hint="eastAsia" w:ascii="仿宋" w:hAnsi="仿宋" w:eastAsia="仿宋" w:cs="Times New Roman"/>
                <w:kern w:val="0"/>
                <w:sz w:val="18"/>
                <w:szCs w:val="20"/>
              </w:rPr>
              <w:t>（</w:t>
            </w:r>
            <w:r>
              <w:rPr>
                <w:rFonts w:ascii="仿宋" w:hAnsi="仿宋" w:eastAsia="仿宋" w:cs="Times New Roman"/>
                <w:kern w:val="0"/>
                <w:sz w:val="18"/>
                <w:szCs w:val="20"/>
              </w:rPr>
              <w:t>μ</w:t>
            </w:r>
            <w:r>
              <w:rPr>
                <w:rFonts w:hint="eastAsia" w:ascii="仿宋" w:hAnsi="仿宋" w:eastAsia="仿宋" w:cs="Times New Roman"/>
                <w:kern w:val="0"/>
                <w:sz w:val="18"/>
                <w:szCs w:val="20"/>
              </w:rPr>
              <w:t>g</w:t>
            </w:r>
            <w:r>
              <w:rPr>
                <w:rFonts w:ascii="仿宋" w:hAnsi="仿宋" w:eastAsia="仿宋" w:cs="Times New Roman"/>
                <w:kern w:val="0"/>
                <w:sz w:val="18"/>
                <w:szCs w:val="20"/>
              </w:rPr>
              <w:t>/m</w:t>
            </w:r>
            <w:r>
              <w:rPr>
                <w:rFonts w:ascii="仿宋" w:hAnsi="仿宋" w:eastAsia="仿宋" w:cs="Times New Roman"/>
                <w:kern w:val="0"/>
                <w:sz w:val="18"/>
                <w:szCs w:val="20"/>
                <w:vertAlign w:val="superscript"/>
              </w:rPr>
              <w:t>3</w:t>
            </w:r>
            <w:r>
              <w:rPr>
                <w:rFonts w:hint="eastAsia" w:ascii="仿宋" w:hAnsi="仿宋" w:eastAsia="仿宋" w:cs="Times New Roman"/>
                <w:kern w:val="0"/>
                <w:sz w:val="18"/>
                <w:szCs w:val="20"/>
              </w:rPr>
              <w:t>）</w:t>
            </w:r>
          </w:p>
        </w:tc>
        <w:tc>
          <w:tcPr>
            <w:tcW w:w="0" w:type="auto"/>
            <w:gridSpan w:val="3"/>
            <w:tcBorders>
              <w:top w:val="single" w:color="auto" w:sz="12"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SO</w:t>
            </w:r>
            <w:r>
              <w:rPr>
                <w:rFonts w:ascii="仿宋" w:hAnsi="仿宋" w:eastAsia="仿宋" w:cs="Times New Roman"/>
                <w:kern w:val="0"/>
                <w:sz w:val="18"/>
                <w:szCs w:val="20"/>
                <w:vertAlign w:val="subscript"/>
              </w:rPr>
              <w:t>2</w:t>
            </w:r>
            <w:r>
              <w:rPr>
                <w:rFonts w:hint="eastAsia" w:ascii="仿宋" w:hAnsi="仿宋" w:eastAsia="仿宋" w:cs="Times New Roman"/>
                <w:kern w:val="0"/>
                <w:sz w:val="18"/>
                <w:szCs w:val="20"/>
              </w:rPr>
              <w:t>（</w:t>
            </w:r>
            <w:r>
              <w:rPr>
                <w:rFonts w:ascii="仿宋" w:hAnsi="仿宋" w:eastAsia="仿宋" w:cs="Times New Roman"/>
                <w:kern w:val="0"/>
                <w:sz w:val="18"/>
                <w:szCs w:val="20"/>
              </w:rPr>
              <w:t>μ</w:t>
            </w:r>
            <w:r>
              <w:rPr>
                <w:rFonts w:hint="eastAsia" w:ascii="仿宋" w:hAnsi="仿宋" w:eastAsia="仿宋" w:cs="Times New Roman"/>
                <w:kern w:val="0"/>
                <w:sz w:val="18"/>
                <w:szCs w:val="20"/>
              </w:rPr>
              <w:t>g</w:t>
            </w:r>
            <w:r>
              <w:rPr>
                <w:rFonts w:ascii="仿宋" w:hAnsi="仿宋" w:eastAsia="仿宋" w:cs="Times New Roman"/>
                <w:kern w:val="0"/>
                <w:sz w:val="18"/>
                <w:szCs w:val="20"/>
              </w:rPr>
              <w:t>/m</w:t>
            </w:r>
            <w:r>
              <w:rPr>
                <w:rFonts w:ascii="仿宋" w:hAnsi="仿宋" w:eastAsia="仿宋" w:cs="Times New Roman"/>
                <w:kern w:val="0"/>
                <w:sz w:val="18"/>
                <w:szCs w:val="20"/>
                <w:vertAlign w:val="superscript"/>
              </w:rPr>
              <w:t>3</w:t>
            </w:r>
            <w:r>
              <w:rPr>
                <w:rFonts w:hint="eastAsia" w:ascii="仿宋" w:hAnsi="仿宋" w:eastAsia="仿宋" w:cs="Times New Roman"/>
                <w:kern w:val="0"/>
                <w:sz w:val="18"/>
                <w:szCs w:val="20"/>
              </w:rPr>
              <w:t>）</w:t>
            </w:r>
          </w:p>
        </w:tc>
        <w:tc>
          <w:tcPr>
            <w:tcW w:w="0" w:type="auto"/>
            <w:gridSpan w:val="3"/>
            <w:tcBorders>
              <w:top w:val="single" w:color="auto" w:sz="12"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NO</w:t>
            </w:r>
            <w:r>
              <w:rPr>
                <w:rFonts w:ascii="仿宋" w:hAnsi="仿宋" w:eastAsia="仿宋" w:cs="Times New Roman"/>
                <w:kern w:val="0"/>
                <w:sz w:val="18"/>
                <w:szCs w:val="20"/>
                <w:vertAlign w:val="subscript"/>
              </w:rPr>
              <w:t>2</w:t>
            </w:r>
            <w:r>
              <w:rPr>
                <w:rFonts w:hint="eastAsia" w:ascii="仿宋" w:hAnsi="仿宋" w:eastAsia="仿宋" w:cs="Times New Roman"/>
                <w:kern w:val="0"/>
                <w:sz w:val="18"/>
                <w:szCs w:val="20"/>
              </w:rPr>
              <w:t>（</w:t>
            </w:r>
            <w:r>
              <w:rPr>
                <w:rFonts w:ascii="仿宋" w:hAnsi="仿宋" w:eastAsia="仿宋" w:cs="Times New Roman"/>
                <w:kern w:val="0"/>
                <w:sz w:val="18"/>
                <w:szCs w:val="20"/>
              </w:rPr>
              <w:t>μ</w:t>
            </w:r>
            <w:r>
              <w:rPr>
                <w:rFonts w:hint="eastAsia" w:ascii="仿宋" w:hAnsi="仿宋" w:eastAsia="仿宋" w:cs="Times New Roman"/>
                <w:kern w:val="0"/>
                <w:sz w:val="18"/>
                <w:szCs w:val="20"/>
              </w:rPr>
              <w:t>g</w:t>
            </w:r>
            <w:r>
              <w:rPr>
                <w:rFonts w:ascii="仿宋" w:hAnsi="仿宋" w:eastAsia="仿宋" w:cs="Times New Roman"/>
                <w:kern w:val="0"/>
                <w:sz w:val="18"/>
                <w:szCs w:val="20"/>
              </w:rPr>
              <w:t>/m</w:t>
            </w:r>
            <w:r>
              <w:rPr>
                <w:rFonts w:ascii="仿宋" w:hAnsi="仿宋" w:eastAsia="仿宋" w:cs="Times New Roman"/>
                <w:kern w:val="0"/>
                <w:sz w:val="18"/>
                <w:szCs w:val="20"/>
                <w:vertAlign w:val="superscript"/>
              </w:rPr>
              <w:t>3</w:t>
            </w:r>
            <w:r>
              <w:rPr>
                <w:rFonts w:hint="eastAsia" w:ascii="仿宋" w:hAnsi="仿宋" w:eastAsia="仿宋" w:cs="Times New Roman"/>
                <w:kern w:val="0"/>
                <w:sz w:val="18"/>
                <w:szCs w:val="20"/>
              </w:rPr>
              <w:t>）</w:t>
            </w:r>
          </w:p>
        </w:tc>
        <w:tc>
          <w:tcPr>
            <w:tcW w:w="0" w:type="auto"/>
            <w:gridSpan w:val="3"/>
            <w:tcBorders>
              <w:top w:val="single" w:color="auto" w:sz="12"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CO</w:t>
            </w:r>
            <w:r>
              <w:rPr>
                <w:rFonts w:hint="eastAsia" w:ascii="仿宋" w:hAnsi="仿宋" w:eastAsia="仿宋" w:cs="Times New Roman"/>
                <w:kern w:val="0"/>
                <w:sz w:val="18"/>
                <w:szCs w:val="20"/>
              </w:rPr>
              <w:t>（</w:t>
            </w:r>
            <w:r>
              <w:rPr>
                <w:rFonts w:ascii="仿宋" w:hAnsi="仿宋" w:eastAsia="仿宋" w:cs="Times New Roman"/>
                <w:kern w:val="0"/>
                <w:sz w:val="18"/>
                <w:szCs w:val="20"/>
              </w:rPr>
              <w:t>m</w:t>
            </w:r>
            <w:r>
              <w:rPr>
                <w:rFonts w:hint="eastAsia" w:ascii="仿宋" w:hAnsi="仿宋" w:eastAsia="仿宋" w:cs="Times New Roman"/>
                <w:kern w:val="0"/>
                <w:sz w:val="18"/>
                <w:szCs w:val="20"/>
              </w:rPr>
              <w:t>g</w:t>
            </w:r>
            <w:r>
              <w:rPr>
                <w:rFonts w:ascii="仿宋" w:hAnsi="仿宋" w:eastAsia="仿宋" w:cs="Times New Roman"/>
                <w:kern w:val="0"/>
                <w:sz w:val="18"/>
                <w:szCs w:val="20"/>
              </w:rPr>
              <w:t>/m</w:t>
            </w:r>
            <w:r>
              <w:rPr>
                <w:rFonts w:ascii="仿宋" w:hAnsi="仿宋" w:eastAsia="仿宋" w:cs="Times New Roman"/>
                <w:kern w:val="0"/>
                <w:sz w:val="18"/>
                <w:szCs w:val="20"/>
                <w:vertAlign w:val="superscript"/>
              </w:rPr>
              <w:t>3</w:t>
            </w:r>
            <w:r>
              <w:rPr>
                <w:rFonts w:hint="eastAsia" w:ascii="仿宋" w:hAnsi="仿宋" w:eastAsia="仿宋" w:cs="Times New Roman"/>
                <w:kern w:val="0"/>
                <w:sz w:val="18"/>
                <w:szCs w:val="20"/>
              </w:rPr>
              <w:t>）</w:t>
            </w:r>
          </w:p>
        </w:tc>
        <w:tc>
          <w:tcPr>
            <w:tcW w:w="0" w:type="auto"/>
            <w:gridSpan w:val="3"/>
            <w:tcBorders>
              <w:top w:val="single" w:color="auto" w:sz="12" w:space="0"/>
              <w:left w:val="single" w:color="auto" w:sz="4" w:space="0"/>
              <w:bottom w:val="single" w:color="auto" w:sz="4" w:space="0"/>
            </w:tcBorders>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O</w:t>
            </w:r>
            <w:r>
              <w:rPr>
                <w:rFonts w:ascii="仿宋" w:hAnsi="仿宋" w:eastAsia="仿宋" w:cs="Times New Roman"/>
                <w:kern w:val="0"/>
                <w:sz w:val="18"/>
                <w:szCs w:val="20"/>
                <w:vertAlign w:val="subscript"/>
              </w:rPr>
              <w:t>3</w:t>
            </w:r>
            <w:r>
              <w:rPr>
                <w:rFonts w:ascii="仿宋" w:hAnsi="仿宋" w:eastAsia="仿宋" w:cs="Times New Roman"/>
                <w:kern w:val="0"/>
                <w:sz w:val="18"/>
                <w:szCs w:val="20"/>
              </w:rPr>
              <w:t>-8h</w:t>
            </w:r>
            <w:r>
              <w:rPr>
                <w:rFonts w:hint="eastAsia" w:ascii="仿宋" w:hAnsi="仿宋" w:eastAsia="仿宋" w:cs="Times New Roman"/>
                <w:kern w:val="0"/>
                <w:sz w:val="18"/>
                <w:szCs w:val="20"/>
              </w:rPr>
              <w:t>（</w:t>
            </w:r>
            <w:r>
              <w:rPr>
                <w:rFonts w:ascii="仿宋" w:hAnsi="仿宋" w:eastAsia="仿宋" w:cs="Times New Roman"/>
                <w:kern w:val="0"/>
                <w:sz w:val="18"/>
                <w:szCs w:val="20"/>
              </w:rPr>
              <w:t>μ</w:t>
            </w:r>
            <w:r>
              <w:rPr>
                <w:rFonts w:hint="eastAsia" w:ascii="仿宋" w:hAnsi="仿宋" w:eastAsia="仿宋" w:cs="Times New Roman"/>
                <w:kern w:val="0"/>
                <w:sz w:val="18"/>
                <w:szCs w:val="20"/>
              </w:rPr>
              <w:t>g</w:t>
            </w:r>
            <w:r>
              <w:rPr>
                <w:rFonts w:ascii="仿宋" w:hAnsi="仿宋" w:eastAsia="仿宋" w:cs="Times New Roman"/>
                <w:kern w:val="0"/>
                <w:sz w:val="18"/>
                <w:szCs w:val="20"/>
              </w:rPr>
              <w:t>/m</w:t>
            </w:r>
            <w:r>
              <w:rPr>
                <w:rFonts w:ascii="仿宋" w:hAnsi="仿宋" w:eastAsia="仿宋" w:cs="Times New Roman"/>
                <w:kern w:val="0"/>
                <w:sz w:val="18"/>
                <w:szCs w:val="20"/>
                <w:vertAlign w:val="superscript"/>
              </w:rPr>
              <w:t>3</w:t>
            </w:r>
            <w:r>
              <w:rPr>
                <w:rFonts w:hint="eastAsia" w:ascii="仿宋" w:hAnsi="仿宋" w:eastAsia="仿宋" w:cs="Times New Roman"/>
                <w:kern w:val="0"/>
                <w:sz w:val="18"/>
                <w:szCs w:val="20"/>
              </w:rPr>
              <w:t>）</w:t>
            </w:r>
          </w:p>
        </w:tc>
      </w:tr>
      <w:tr>
        <w:tblPrEx>
          <w:tblCellMar>
            <w:top w:w="0" w:type="dxa"/>
            <w:left w:w="108" w:type="dxa"/>
            <w:bottom w:w="0" w:type="dxa"/>
            <w:right w:w="108" w:type="dxa"/>
          </w:tblCellMar>
        </w:tblPrEx>
        <w:trPr>
          <w:trHeight w:val="214" w:hRule="atLeast"/>
          <w:tblHeader/>
          <w:jc w:val="center"/>
        </w:trPr>
        <w:tc>
          <w:tcPr>
            <w:tcW w:w="0" w:type="auto"/>
            <w:vMerge w:val="continue"/>
            <w:tcBorders>
              <w:bottom w:val="single" w:color="auto" w:sz="12" w:space="0"/>
              <w:right w:val="single" w:color="auto" w:sz="4" w:space="0"/>
            </w:tcBorders>
            <w:shd w:val="clear" w:color="auto" w:fill="auto"/>
            <w:noWrap/>
            <w:vAlign w:val="center"/>
          </w:tcPr>
          <w:p>
            <w:pPr>
              <w:widowControl/>
              <w:adjustRightInd w:val="0"/>
              <w:snapToGrid w:val="0"/>
              <w:spacing w:line="240" w:lineRule="atLeast"/>
              <w:jc w:val="center"/>
              <w:rPr>
                <w:rFonts w:ascii="仿宋" w:hAnsi="仿宋" w:eastAsia="仿宋" w:cs="Times New Roman"/>
                <w:kern w:val="0"/>
                <w:sz w:val="18"/>
                <w:szCs w:val="20"/>
              </w:rPr>
            </w:pPr>
          </w:p>
        </w:tc>
        <w:tc>
          <w:tcPr>
            <w:tcW w:w="0" w:type="auto"/>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2018年</w:t>
            </w:r>
          </w:p>
        </w:tc>
        <w:tc>
          <w:tcPr>
            <w:tcW w:w="0" w:type="auto"/>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2019年</w:t>
            </w:r>
          </w:p>
        </w:tc>
        <w:tc>
          <w:tcPr>
            <w:tcW w:w="745" w:type="dxa"/>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变化(百分点</w:t>
            </w:r>
            <w:r>
              <w:rPr>
                <w:rFonts w:ascii="仿宋" w:hAnsi="仿宋" w:eastAsia="仿宋" w:cs="Times New Roman"/>
                <w:kern w:val="0"/>
                <w:sz w:val="18"/>
                <w:szCs w:val="20"/>
              </w:rPr>
              <w:t>)</w:t>
            </w:r>
          </w:p>
        </w:tc>
        <w:tc>
          <w:tcPr>
            <w:tcW w:w="0" w:type="auto"/>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8</w:t>
            </w:r>
            <w:r>
              <w:rPr>
                <w:rFonts w:hint="eastAsia" w:ascii="仿宋" w:hAnsi="仿宋" w:eastAsia="仿宋" w:cs="Times New Roman"/>
                <w:kern w:val="0"/>
                <w:sz w:val="18"/>
                <w:szCs w:val="20"/>
              </w:rPr>
              <w:t>年</w:t>
            </w:r>
          </w:p>
        </w:tc>
        <w:tc>
          <w:tcPr>
            <w:tcW w:w="0" w:type="auto"/>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9</w:t>
            </w:r>
            <w:r>
              <w:rPr>
                <w:rFonts w:hint="eastAsia" w:ascii="仿宋" w:hAnsi="仿宋" w:eastAsia="仿宋" w:cs="Times New Roman"/>
                <w:kern w:val="0"/>
                <w:sz w:val="18"/>
                <w:szCs w:val="20"/>
              </w:rPr>
              <w:t>年</w:t>
            </w:r>
          </w:p>
        </w:tc>
        <w:tc>
          <w:tcPr>
            <w:tcW w:w="0" w:type="auto"/>
            <w:tcBorders>
              <w:top w:val="single" w:color="auto" w:sz="4" w:space="0"/>
              <w:left w:val="single" w:color="auto" w:sz="4" w:space="0"/>
              <w:bottom w:val="single" w:color="auto" w:sz="12" w:space="0"/>
              <w:right w:val="single" w:color="auto" w:sz="4"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w:t>
            </w:r>
          </w:p>
        </w:tc>
        <w:tc>
          <w:tcPr>
            <w:tcW w:w="0" w:type="auto"/>
            <w:tcBorders>
              <w:left w:val="single" w:color="auto" w:sz="4" w:space="0"/>
              <w:bottom w:val="single" w:color="auto" w:sz="12" w:space="0"/>
              <w:right w:val="single" w:color="auto" w:sz="8"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8</w:t>
            </w:r>
            <w:r>
              <w:rPr>
                <w:rFonts w:hint="eastAsia" w:ascii="仿宋" w:hAnsi="仿宋" w:eastAsia="仿宋" w:cs="Times New Roman"/>
                <w:kern w:val="0"/>
                <w:sz w:val="18"/>
                <w:szCs w:val="20"/>
              </w:rPr>
              <w:t>年</w:t>
            </w:r>
          </w:p>
        </w:tc>
        <w:tc>
          <w:tcPr>
            <w:tcW w:w="0" w:type="auto"/>
            <w:tcBorders>
              <w:bottom w:val="single" w:color="auto" w:sz="12" w:space="0"/>
              <w:right w:val="single" w:color="auto" w:sz="8"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9</w:t>
            </w:r>
            <w:r>
              <w:rPr>
                <w:rFonts w:hint="eastAsia" w:ascii="仿宋" w:hAnsi="仿宋" w:eastAsia="仿宋" w:cs="Times New Roman"/>
                <w:kern w:val="0"/>
                <w:sz w:val="18"/>
                <w:szCs w:val="20"/>
              </w:rPr>
              <w:t>年</w:t>
            </w:r>
          </w:p>
        </w:tc>
        <w:tc>
          <w:tcPr>
            <w:tcW w:w="0" w:type="auto"/>
            <w:tcBorders>
              <w:bottom w:val="single" w:color="auto" w:sz="12" w:space="0"/>
              <w:right w:val="single" w:color="auto" w:sz="8"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w:t>
            </w:r>
          </w:p>
        </w:tc>
        <w:tc>
          <w:tcPr>
            <w:tcW w:w="0" w:type="auto"/>
            <w:tcBorders>
              <w:bottom w:val="single" w:color="auto" w:sz="12" w:space="0"/>
              <w:right w:val="single" w:color="auto" w:sz="8"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8</w:t>
            </w:r>
            <w:r>
              <w:rPr>
                <w:rFonts w:hint="eastAsia" w:ascii="仿宋" w:hAnsi="仿宋" w:eastAsia="仿宋" w:cs="Times New Roman"/>
                <w:kern w:val="0"/>
                <w:sz w:val="18"/>
                <w:szCs w:val="20"/>
              </w:rPr>
              <w:t>年</w:t>
            </w:r>
          </w:p>
        </w:tc>
        <w:tc>
          <w:tcPr>
            <w:tcW w:w="0" w:type="auto"/>
            <w:tcBorders>
              <w:bottom w:val="single" w:color="auto" w:sz="12" w:space="0"/>
              <w:right w:val="single" w:color="auto" w:sz="8"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9</w:t>
            </w:r>
            <w:r>
              <w:rPr>
                <w:rFonts w:hint="eastAsia" w:ascii="仿宋" w:hAnsi="仿宋" w:eastAsia="仿宋" w:cs="Times New Roman"/>
                <w:kern w:val="0"/>
                <w:sz w:val="18"/>
                <w:szCs w:val="20"/>
              </w:rPr>
              <w:t>年</w:t>
            </w:r>
          </w:p>
        </w:tc>
        <w:tc>
          <w:tcPr>
            <w:tcW w:w="0" w:type="auto"/>
            <w:tcBorders>
              <w:bottom w:val="single" w:color="auto" w:sz="12" w:space="0"/>
              <w:right w:val="single" w:color="auto" w:sz="8"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w:t>
            </w:r>
          </w:p>
        </w:tc>
        <w:tc>
          <w:tcPr>
            <w:tcW w:w="0" w:type="auto"/>
            <w:tcBorders>
              <w:bottom w:val="single" w:color="auto" w:sz="12" w:space="0"/>
              <w:right w:val="single" w:color="auto" w:sz="8"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8</w:t>
            </w:r>
            <w:r>
              <w:rPr>
                <w:rFonts w:hint="eastAsia" w:ascii="仿宋" w:hAnsi="仿宋" w:eastAsia="仿宋" w:cs="Times New Roman"/>
                <w:kern w:val="0"/>
                <w:sz w:val="18"/>
                <w:szCs w:val="20"/>
              </w:rPr>
              <w:t>年</w:t>
            </w:r>
          </w:p>
        </w:tc>
        <w:tc>
          <w:tcPr>
            <w:tcW w:w="0" w:type="auto"/>
            <w:tcBorders>
              <w:bottom w:val="single" w:color="auto" w:sz="12" w:space="0"/>
              <w:right w:val="single" w:color="auto" w:sz="8" w:space="0"/>
            </w:tcBorders>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hint="eastAsia" w:ascii="仿宋" w:hAnsi="仿宋" w:eastAsia="仿宋" w:cs="Times New Roman"/>
                <w:kern w:val="0"/>
                <w:sz w:val="18"/>
                <w:szCs w:val="20"/>
              </w:rPr>
              <w:t>201</w:t>
            </w:r>
            <w:r>
              <w:rPr>
                <w:rFonts w:ascii="仿宋" w:hAnsi="仿宋" w:eastAsia="仿宋" w:cs="Times New Roman"/>
                <w:kern w:val="0"/>
                <w:sz w:val="18"/>
                <w:szCs w:val="20"/>
              </w:rPr>
              <w:t>9</w:t>
            </w:r>
            <w:r>
              <w:rPr>
                <w:rFonts w:hint="eastAsia" w:ascii="仿宋" w:hAnsi="仿宋" w:eastAsia="仿宋" w:cs="Times New Roman"/>
                <w:kern w:val="0"/>
                <w:sz w:val="18"/>
                <w:szCs w:val="20"/>
              </w:rPr>
              <w:t>年</w:t>
            </w:r>
          </w:p>
        </w:tc>
        <w:tc>
          <w:tcPr>
            <w:tcW w:w="0" w:type="auto"/>
            <w:tcBorders>
              <w:bottom w:val="single" w:color="auto" w:sz="12" w:space="0"/>
              <w:right w:val="single" w:color="auto" w:sz="8" w:space="0"/>
            </w:tcBorders>
            <w:vAlign w:val="center"/>
          </w:tcPr>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ascii="仿宋" w:hAnsi="仿宋" w:eastAsia="仿宋" w:cs="Times New Roman"/>
                <w:kern w:val="0"/>
                <w:sz w:val="18"/>
                <w:szCs w:val="20"/>
              </w:rPr>
              <w:t>2018年</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ascii="仿宋" w:hAnsi="仿宋" w:eastAsia="仿宋" w:cs="Times New Roman"/>
                <w:kern w:val="0"/>
                <w:sz w:val="18"/>
                <w:szCs w:val="20"/>
              </w:rPr>
              <w:t>2019年</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ascii="仿宋" w:hAnsi="仿宋" w:eastAsia="仿宋" w:cs="Times New Roman"/>
                <w:kern w:val="0"/>
                <w:sz w:val="18"/>
                <w:szCs w:val="20"/>
              </w:rPr>
              <w:t>2018年</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widowControl/>
              <w:adjustRightInd w:val="0"/>
              <w:snapToGrid w:val="0"/>
              <w:spacing w:line="240" w:lineRule="atLeast"/>
              <w:ind w:left="-107" w:leftChars="-51"/>
              <w:jc w:val="center"/>
              <w:rPr>
                <w:rFonts w:ascii="仿宋" w:hAnsi="仿宋" w:eastAsia="仿宋" w:cs="Times New Roman"/>
                <w:kern w:val="0"/>
                <w:sz w:val="18"/>
                <w:szCs w:val="20"/>
              </w:rPr>
            </w:pPr>
            <w:r>
              <w:rPr>
                <w:rFonts w:ascii="仿宋" w:hAnsi="仿宋" w:eastAsia="仿宋" w:cs="Times New Roman"/>
                <w:kern w:val="0"/>
                <w:sz w:val="18"/>
                <w:szCs w:val="20"/>
              </w:rPr>
              <w:t>2019年</w:t>
            </w:r>
          </w:p>
        </w:tc>
        <w:tc>
          <w:tcPr>
            <w:tcW w:w="0" w:type="auto"/>
            <w:tcBorders>
              <w:top w:val="single" w:color="auto" w:sz="4" w:space="0"/>
              <w:left w:val="nil"/>
              <w:bottom w:val="single" w:color="auto" w:sz="12" w:space="0"/>
            </w:tcBorders>
            <w:shd w:val="clear" w:color="auto" w:fill="auto"/>
            <w:noWrap/>
            <w:vAlign w:val="center"/>
          </w:tcPr>
          <w:p>
            <w:pPr>
              <w:widowControl/>
              <w:adjustRightInd w:val="0"/>
              <w:snapToGrid w:val="0"/>
              <w:spacing w:line="240" w:lineRule="atLeast"/>
              <w:jc w:val="center"/>
              <w:rPr>
                <w:rFonts w:ascii="仿宋" w:hAnsi="仿宋" w:eastAsia="仿宋" w:cs="Times New Roman"/>
                <w:kern w:val="0"/>
                <w:sz w:val="18"/>
                <w:szCs w:val="20"/>
              </w:rPr>
            </w:pPr>
            <w:r>
              <w:rPr>
                <w:rFonts w:ascii="仿宋" w:hAnsi="仿宋" w:eastAsia="仿宋" w:cs="Times New Roman"/>
                <w:kern w:val="0"/>
                <w:sz w:val="18"/>
                <w:szCs w:val="20"/>
              </w:rPr>
              <w:t>同比</w:t>
            </w:r>
          </w:p>
          <w:p>
            <w:pPr>
              <w:widowControl/>
              <w:adjustRightInd w:val="0"/>
              <w:snapToGrid w:val="0"/>
              <w:spacing w:line="240" w:lineRule="atLeast"/>
              <w:jc w:val="center"/>
              <w:rPr>
                <w:rFonts w:ascii="仿宋" w:hAnsi="仿宋" w:eastAsia="仿宋" w:cs="Times New Roman"/>
                <w:kern w:val="0"/>
                <w:sz w:val="18"/>
                <w:szCs w:val="20"/>
              </w:rPr>
            </w:pPr>
            <w:r>
              <w:rPr>
                <w:rFonts w:hint="eastAsia" w:ascii="仿宋" w:hAnsi="仿宋" w:eastAsia="仿宋" w:cs="Times New Roman"/>
                <w:kern w:val="0"/>
                <w:sz w:val="18"/>
                <w:szCs w:val="20"/>
              </w:rPr>
              <w:t>变化</w:t>
            </w:r>
          </w:p>
        </w:tc>
      </w:tr>
      <w:tr>
        <w:tblPrEx>
          <w:tblCellMar>
            <w:top w:w="0" w:type="dxa"/>
            <w:left w:w="108" w:type="dxa"/>
            <w:bottom w:w="0" w:type="dxa"/>
            <w:right w:w="108" w:type="dxa"/>
          </w:tblCellMar>
        </w:tblPrEx>
        <w:trPr>
          <w:trHeight w:val="213" w:hRule="atLeast"/>
          <w:tblHeader/>
          <w:jc w:val="center"/>
        </w:trPr>
        <w:tc>
          <w:tcPr>
            <w:tcW w:w="0" w:type="auto"/>
            <w:tcBorders>
              <w:top w:val="single" w:color="auto" w:sz="12" w:space="0"/>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乌鲁木齐市</w:t>
            </w:r>
          </w:p>
        </w:tc>
        <w:tc>
          <w:tcPr>
            <w:tcW w:w="0" w:type="auto"/>
            <w:tcBorders>
              <w:top w:val="single" w:color="auto" w:sz="12"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sz w:val="20"/>
                <w:szCs w:val="20"/>
              </w:rPr>
              <w:t>25.8%</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38.7%</w:t>
            </w:r>
          </w:p>
        </w:tc>
        <w:tc>
          <w:tcPr>
            <w:tcW w:w="745" w:type="dxa"/>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12.9</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213 </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116 </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-45.5%</w:t>
            </w:r>
          </w:p>
        </w:tc>
        <w:tc>
          <w:tcPr>
            <w:tcW w:w="0" w:type="auto"/>
            <w:tcBorders>
              <w:top w:val="single" w:color="auto" w:sz="12" w:space="0"/>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115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107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-7.0%</w:t>
            </w:r>
          </w:p>
        </w:tc>
        <w:tc>
          <w:tcPr>
            <w:tcW w:w="0" w:type="auto"/>
            <w:tcBorders>
              <w:top w:val="single" w:color="auto" w:sz="12" w:space="0"/>
              <w:bottom w:val="single" w:color="auto" w:sz="8" w:space="0"/>
              <w:right w:val="single" w:color="auto" w:sz="8" w:space="0"/>
            </w:tcBorders>
            <w:vAlign w:val="center"/>
          </w:tcPr>
          <w:p>
            <w:pPr>
              <w:widowControl/>
              <w:jc w:val="center"/>
              <w:rPr>
                <w:color w:val="000000"/>
                <w:kern w:val="0"/>
                <w:sz w:val="20"/>
                <w:szCs w:val="20"/>
              </w:rPr>
            </w:pPr>
            <w:r>
              <w:rPr>
                <w:rFonts w:hint="eastAsia"/>
                <w:color w:val="000000"/>
                <w:sz w:val="20"/>
                <w:szCs w:val="20"/>
              </w:rPr>
              <w:t xml:space="preserve">11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8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-27.3%</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64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58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-9.4%</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1.9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1.9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0</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29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28 </w:t>
            </w:r>
          </w:p>
        </w:tc>
        <w:tc>
          <w:tcPr>
            <w:tcW w:w="0" w:type="auto"/>
            <w:tcBorders>
              <w:top w:val="single" w:color="auto" w:sz="12" w:space="0"/>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-3.4%</w:t>
            </w:r>
          </w:p>
        </w:tc>
      </w:tr>
      <w:tr>
        <w:tblPrEx>
          <w:tblCellMar>
            <w:top w:w="0" w:type="dxa"/>
            <w:left w:w="108" w:type="dxa"/>
            <w:bottom w:w="0" w:type="dxa"/>
            <w:right w:w="108" w:type="dxa"/>
          </w:tblCellMar>
        </w:tblPrEx>
        <w:trPr>
          <w:trHeight w:val="76"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阿勒泰市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100%</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16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-6.3%</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8.3%</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-41.7%</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27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68.8%</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1.0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-30.0%</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43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43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0</w:t>
            </w:r>
          </w:p>
        </w:tc>
      </w:tr>
      <w:tr>
        <w:tblPrEx>
          <w:tblCellMar>
            <w:top w:w="0" w:type="dxa"/>
            <w:left w:w="108" w:type="dxa"/>
            <w:bottom w:w="0" w:type="dxa"/>
            <w:right w:w="108" w:type="dxa"/>
          </w:tblCellMar>
        </w:tblPrEx>
        <w:trPr>
          <w:trHeight w:val="217"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塔城市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93.5%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100%</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6.5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65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27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-58.5%</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10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-33.3%</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-20.0%</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23.1%</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1.1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-18.2%</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62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58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-6.5%</w:t>
            </w:r>
          </w:p>
        </w:tc>
      </w:tr>
      <w:tr>
        <w:tblPrEx>
          <w:tblCellMar>
            <w:top w:w="0" w:type="dxa"/>
            <w:left w:w="108" w:type="dxa"/>
            <w:bottom w:w="0" w:type="dxa"/>
            <w:right w:w="108" w:type="dxa"/>
          </w:tblCellMar>
        </w:tblPrEx>
        <w:trPr>
          <w:trHeight w:val="220"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博乐市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87.1%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100%</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12.9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78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-22.0%</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-4.5%</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10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-23.1%</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28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36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28.6%</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1.1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1.2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9.1%</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54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35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-35.2%</w:t>
            </w:r>
          </w:p>
        </w:tc>
      </w:tr>
      <w:tr>
        <w:tblPrEx>
          <w:tblCellMar>
            <w:top w:w="0" w:type="dxa"/>
            <w:left w:w="108" w:type="dxa"/>
            <w:bottom w:w="0" w:type="dxa"/>
            <w:right w:w="108" w:type="dxa"/>
          </w:tblCellMar>
        </w:tblPrEx>
        <w:trPr>
          <w:trHeight w:val="239"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克拉玛依市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61.3%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70.9%</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9.6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112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87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-22.3%</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59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60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1.7%</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-28.6%</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35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39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11.4%</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1.2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1.0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-16.7%</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46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40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-13.0%</w:t>
            </w:r>
          </w:p>
        </w:tc>
      </w:tr>
      <w:tr>
        <w:tblPrEx>
          <w:tblCellMar>
            <w:top w:w="0" w:type="dxa"/>
            <w:left w:w="108" w:type="dxa"/>
            <w:bottom w:w="0" w:type="dxa"/>
            <w:right w:w="108" w:type="dxa"/>
          </w:tblCellMar>
        </w:tblPrEx>
        <w:trPr>
          <w:trHeight w:val="184"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伊宁市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35.5%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32.3%</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115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119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3.5%</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94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93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-1.1%</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31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28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-9.7%</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51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13.7%</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3.2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3.4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6.2%</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36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34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-5.6%</w:t>
            </w:r>
          </w:p>
        </w:tc>
      </w:tr>
      <w:tr>
        <w:tblPrEx>
          <w:tblCellMar>
            <w:top w:w="0" w:type="dxa"/>
            <w:left w:w="108" w:type="dxa"/>
            <w:bottom w:w="0" w:type="dxa"/>
            <w:right w:w="108" w:type="dxa"/>
          </w:tblCellMar>
        </w:tblPrEx>
        <w:trPr>
          <w:trHeight w:val="144"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昌吉市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19.4%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19.4%</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235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175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-25.5%</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124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116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-6.5%</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10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-44.4%</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-18.2%</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1.9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1.8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-5.3%</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34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24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-29.4%</w:t>
            </w:r>
          </w:p>
        </w:tc>
      </w:tr>
      <w:tr>
        <w:tblPrEx>
          <w:tblCellMar>
            <w:top w:w="0" w:type="dxa"/>
            <w:left w:w="108" w:type="dxa"/>
            <w:bottom w:w="0" w:type="dxa"/>
            <w:right w:w="108" w:type="dxa"/>
          </w:tblCellMar>
        </w:tblPrEx>
        <w:trPr>
          <w:trHeight w:val="269"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吐鲁番市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6.5%</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301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189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-37.2%</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87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108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24.1%</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0</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37.8%</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2.5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2.7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8.0%</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33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34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3.0%</w:t>
            </w:r>
          </w:p>
        </w:tc>
      </w:tr>
      <w:tr>
        <w:tblPrEx>
          <w:tblCellMar>
            <w:top w:w="0" w:type="dxa"/>
            <w:left w:w="108" w:type="dxa"/>
            <w:bottom w:w="0" w:type="dxa"/>
            <w:right w:w="108" w:type="dxa"/>
          </w:tblCellMar>
        </w:tblPrEx>
        <w:trPr>
          <w:trHeight w:val="214"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哈密市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90.3%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93.5%</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76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100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31.6%</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49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4.3%</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0</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34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23.5%</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1.6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1.2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-25.0%</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33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54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63.6%</w:t>
            </w:r>
          </w:p>
        </w:tc>
      </w:tr>
      <w:tr>
        <w:tblPrEx>
          <w:tblCellMar>
            <w:top w:w="0" w:type="dxa"/>
            <w:left w:w="108" w:type="dxa"/>
            <w:bottom w:w="0" w:type="dxa"/>
            <w:right w:w="108" w:type="dxa"/>
          </w:tblCellMar>
        </w:tblPrEx>
        <w:trPr>
          <w:trHeight w:val="188"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库尔勒市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83.9%</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51.6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226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116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-48.7%</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50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-10.7%</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-33.3%</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23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33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43.5%</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0.8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12.5%</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55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62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12.7%</w:t>
            </w:r>
          </w:p>
        </w:tc>
      </w:tr>
      <w:tr>
        <w:tblPrEx>
          <w:tblCellMar>
            <w:top w:w="0" w:type="dxa"/>
            <w:left w:w="108" w:type="dxa"/>
            <w:bottom w:w="0" w:type="dxa"/>
            <w:right w:w="108" w:type="dxa"/>
          </w:tblCellMar>
        </w:tblPrEx>
        <w:trPr>
          <w:trHeight w:val="148"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阿克苏市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29.0%</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29.0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318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162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-49.1%</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87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82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-5.7%</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10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20.0%</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41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36.6%</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1.3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1.7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30.8%</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54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57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5.6%</w:t>
            </w:r>
          </w:p>
        </w:tc>
      </w:tr>
      <w:tr>
        <w:tblPrEx>
          <w:tblCellMar>
            <w:top w:w="0" w:type="dxa"/>
            <w:left w:w="108" w:type="dxa"/>
            <w:bottom w:w="0" w:type="dxa"/>
            <w:right w:w="108" w:type="dxa"/>
          </w:tblCellMar>
        </w:tblPrEx>
        <w:trPr>
          <w:trHeight w:val="259"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阿图什市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71.0%</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71.0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224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122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-45.5%</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68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0</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7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16.7%</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223%</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1.3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44.4%</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57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66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15.8%</w:t>
            </w:r>
          </w:p>
        </w:tc>
      </w:tr>
      <w:tr>
        <w:tblPrEx>
          <w:tblCellMar>
            <w:top w:w="0" w:type="dxa"/>
            <w:left w:w="108" w:type="dxa"/>
            <w:bottom w:w="0" w:type="dxa"/>
            <w:right w:w="108" w:type="dxa"/>
          </w:tblCellMar>
        </w:tblPrEx>
        <w:trPr>
          <w:trHeight w:val="218" w:hRule="atLeast"/>
          <w:tblHeader/>
          <w:jc w:val="center"/>
        </w:trPr>
        <w:tc>
          <w:tcPr>
            <w:tcW w:w="0" w:type="auto"/>
            <w:tcBorders>
              <w:top w:val="nil"/>
              <w:bottom w:val="single" w:color="auto" w:sz="8"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喀什市</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341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207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-39.3%</w:t>
            </w:r>
          </w:p>
        </w:tc>
        <w:tc>
          <w:tcPr>
            <w:tcW w:w="0" w:type="auto"/>
            <w:tcBorders>
              <w:top w:val="nil"/>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112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19.6%</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11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15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36.4%</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46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64 </w:t>
            </w:r>
          </w:p>
        </w:tc>
        <w:tc>
          <w:tcPr>
            <w:tcW w:w="0" w:type="auto"/>
            <w:tcBorders>
              <w:top w:val="nil"/>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39.1%</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2.2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2.9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31.8%</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68 </w:t>
            </w:r>
          </w:p>
        </w:tc>
        <w:tc>
          <w:tcPr>
            <w:tcW w:w="0" w:type="auto"/>
            <w:tcBorders>
              <w:top w:val="nil"/>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67 </w:t>
            </w:r>
          </w:p>
        </w:tc>
        <w:tc>
          <w:tcPr>
            <w:tcW w:w="0" w:type="auto"/>
            <w:tcBorders>
              <w:top w:val="nil"/>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-1.5%</w:t>
            </w:r>
          </w:p>
        </w:tc>
      </w:tr>
      <w:tr>
        <w:tblPrEx>
          <w:tblCellMar>
            <w:top w:w="0" w:type="dxa"/>
            <w:left w:w="108" w:type="dxa"/>
            <w:bottom w:w="0" w:type="dxa"/>
            <w:right w:w="108" w:type="dxa"/>
          </w:tblCellMar>
        </w:tblPrEx>
        <w:trPr>
          <w:trHeight w:val="192" w:hRule="atLeast"/>
          <w:tblHeader/>
          <w:jc w:val="center"/>
        </w:trPr>
        <w:tc>
          <w:tcPr>
            <w:tcW w:w="0" w:type="auto"/>
            <w:tcBorders>
              <w:top w:val="nil"/>
              <w:bottom w:val="single" w:color="auto" w:sz="12" w:space="0"/>
              <w:right w:val="single" w:color="auto" w:sz="4" w:space="0"/>
            </w:tcBorders>
            <w:shd w:val="clear" w:color="auto" w:fill="auto"/>
            <w:noWrap/>
            <w:vAlign w:val="center"/>
          </w:tcPr>
          <w:p>
            <w:pPr>
              <w:jc w:val="center"/>
              <w:rPr>
                <w:rFonts w:ascii="仿宋" w:hAnsi="仿宋" w:eastAsia="仿宋" w:cs="宋体"/>
                <w:sz w:val="18"/>
                <w:szCs w:val="20"/>
              </w:rPr>
            </w:pPr>
            <w:r>
              <w:rPr>
                <w:rFonts w:hint="eastAsia" w:ascii="仿宋" w:hAnsi="仿宋" w:eastAsia="仿宋"/>
                <w:sz w:val="18"/>
                <w:szCs w:val="20"/>
              </w:rPr>
              <w:t>和田市</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22.6%</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6.5%</w:t>
            </w:r>
          </w:p>
        </w:tc>
        <w:tc>
          <w:tcPr>
            <w:tcW w:w="745" w:type="dxa"/>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-16.1</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253 </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215 </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-15.0%</w:t>
            </w:r>
          </w:p>
        </w:tc>
        <w:tc>
          <w:tcPr>
            <w:tcW w:w="0" w:type="auto"/>
            <w:tcBorders>
              <w:top w:val="nil"/>
              <w:left w:val="single" w:color="auto" w:sz="4"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70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108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54.3%</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27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32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18.5%</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41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48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17.1%</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1.7 </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2.1 </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23.5%</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52 </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70 </w:t>
            </w:r>
          </w:p>
        </w:tc>
        <w:tc>
          <w:tcPr>
            <w:tcW w:w="0" w:type="auto"/>
            <w:tcBorders>
              <w:top w:val="nil"/>
              <w:left w:val="nil"/>
              <w:bottom w:val="single" w:color="auto" w:sz="12" w:space="0"/>
            </w:tcBorders>
            <w:shd w:val="clear" w:color="auto" w:fill="auto"/>
            <w:noWrap/>
            <w:vAlign w:val="center"/>
          </w:tcPr>
          <w:p>
            <w:pPr>
              <w:jc w:val="center"/>
              <w:rPr>
                <w:color w:val="000000"/>
                <w:sz w:val="20"/>
                <w:szCs w:val="20"/>
              </w:rPr>
            </w:pPr>
            <w:r>
              <w:rPr>
                <w:rFonts w:hint="eastAsia"/>
                <w:color w:val="000000"/>
                <w:sz w:val="20"/>
                <w:szCs w:val="20"/>
              </w:rPr>
              <w:t>34.6%</w:t>
            </w:r>
          </w:p>
        </w:tc>
      </w:tr>
      <w:tr>
        <w:tblPrEx>
          <w:tblCellMar>
            <w:top w:w="0" w:type="dxa"/>
            <w:left w:w="108" w:type="dxa"/>
            <w:bottom w:w="0" w:type="dxa"/>
            <w:right w:w="108" w:type="dxa"/>
          </w:tblCellMar>
        </w:tblPrEx>
        <w:trPr>
          <w:trHeight w:val="241" w:hRule="atLeast"/>
          <w:tblHeader/>
          <w:jc w:val="center"/>
        </w:trPr>
        <w:tc>
          <w:tcPr>
            <w:tcW w:w="0" w:type="auto"/>
            <w:tcBorders>
              <w:top w:val="single" w:color="auto" w:sz="12" w:space="0"/>
              <w:bottom w:val="single" w:color="auto" w:sz="12" w:space="0"/>
              <w:right w:val="single" w:color="auto" w:sz="4" w:space="0"/>
            </w:tcBorders>
            <w:shd w:val="clear" w:color="auto" w:fill="auto"/>
            <w:noWrap/>
            <w:vAlign w:val="center"/>
          </w:tcPr>
          <w:p>
            <w:pPr>
              <w:adjustRightInd w:val="0"/>
              <w:snapToGrid w:val="0"/>
              <w:spacing w:line="240" w:lineRule="atLeast"/>
              <w:ind w:left="-122" w:leftChars="-58"/>
              <w:jc w:val="center"/>
              <w:rPr>
                <w:rFonts w:ascii="仿宋" w:hAnsi="仿宋" w:eastAsia="仿宋" w:cs="Times New Roman"/>
                <w:sz w:val="18"/>
                <w:szCs w:val="20"/>
              </w:rPr>
            </w:pPr>
            <w:r>
              <w:rPr>
                <w:rFonts w:hint="eastAsia" w:ascii="仿宋" w:hAnsi="仿宋" w:eastAsia="仿宋"/>
                <w:sz w:val="18"/>
                <w:szCs w:val="20"/>
              </w:rPr>
              <w:t>自治区14城市</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40.8%</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53.9%</w:t>
            </w:r>
          </w:p>
        </w:tc>
        <w:tc>
          <w:tcPr>
            <w:tcW w:w="745" w:type="dxa"/>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13.1</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185 </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123 </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-33.5%</w:t>
            </w:r>
          </w:p>
        </w:tc>
        <w:tc>
          <w:tcPr>
            <w:tcW w:w="0" w:type="auto"/>
            <w:tcBorders>
              <w:top w:val="single" w:color="auto" w:sz="12" w:space="0"/>
              <w:left w:val="single" w:color="auto" w:sz="4"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71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74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4.2%</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13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12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-7.7%</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36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45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25.0%</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1.6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1.7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6.2%</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47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48 </w:t>
            </w:r>
          </w:p>
        </w:tc>
        <w:tc>
          <w:tcPr>
            <w:tcW w:w="0" w:type="auto"/>
            <w:tcBorders>
              <w:top w:val="single" w:color="auto" w:sz="12" w:space="0"/>
              <w:left w:val="nil"/>
              <w:bottom w:val="single" w:color="auto" w:sz="12" w:space="0"/>
            </w:tcBorders>
            <w:shd w:val="clear" w:color="auto" w:fill="auto"/>
            <w:noWrap/>
            <w:vAlign w:val="center"/>
          </w:tcPr>
          <w:p>
            <w:pPr>
              <w:jc w:val="center"/>
              <w:rPr>
                <w:color w:val="000000"/>
                <w:sz w:val="20"/>
                <w:szCs w:val="20"/>
              </w:rPr>
            </w:pPr>
            <w:r>
              <w:rPr>
                <w:rFonts w:hint="eastAsia"/>
                <w:color w:val="000000"/>
                <w:sz w:val="20"/>
                <w:szCs w:val="20"/>
              </w:rPr>
              <w:t>2.1%</w:t>
            </w:r>
          </w:p>
        </w:tc>
      </w:tr>
      <w:tr>
        <w:tblPrEx>
          <w:tblCellMar>
            <w:top w:w="0" w:type="dxa"/>
            <w:left w:w="108" w:type="dxa"/>
            <w:bottom w:w="0" w:type="dxa"/>
            <w:right w:w="108" w:type="dxa"/>
          </w:tblCellMar>
        </w:tblPrEx>
        <w:trPr>
          <w:trHeight w:val="192" w:hRule="atLeast"/>
          <w:tblHeader/>
          <w:jc w:val="center"/>
        </w:trPr>
        <w:tc>
          <w:tcPr>
            <w:tcW w:w="0" w:type="auto"/>
            <w:tcBorders>
              <w:top w:val="single" w:color="auto" w:sz="12" w:space="0"/>
              <w:bottom w:val="single" w:color="auto" w:sz="8" w:space="0"/>
              <w:right w:val="single" w:color="auto" w:sz="4" w:space="0"/>
            </w:tcBorders>
            <w:shd w:val="clear" w:color="auto" w:fill="auto"/>
            <w:noWrap/>
            <w:vAlign w:val="center"/>
          </w:tcPr>
          <w:p>
            <w:pPr>
              <w:jc w:val="center"/>
              <w:rPr>
                <w:rFonts w:ascii="仿宋" w:hAnsi="仿宋" w:eastAsia="仿宋"/>
                <w:sz w:val="18"/>
                <w:szCs w:val="20"/>
              </w:rPr>
            </w:pPr>
            <w:r>
              <w:rPr>
                <w:rFonts w:hint="eastAsia" w:ascii="仿宋" w:hAnsi="仿宋" w:eastAsia="仿宋"/>
                <w:sz w:val="18"/>
                <w:szCs w:val="20"/>
              </w:rPr>
              <w:t>石河子市</w:t>
            </w:r>
          </w:p>
        </w:tc>
        <w:tc>
          <w:tcPr>
            <w:tcW w:w="0" w:type="auto"/>
            <w:tcBorders>
              <w:top w:val="single" w:color="auto" w:sz="12" w:space="0"/>
              <w:left w:val="single" w:color="auto" w:sz="4" w:space="0"/>
              <w:bottom w:val="single" w:color="auto" w:sz="4" w:space="0"/>
              <w:right w:val="single" w:color="auto" w:sz="4" w:space="0"/>
            </w:tcBorders>
            <w:vAlign w:val="center"/>
          </w:tcPr>
          <w:p>
            <w:pPr>
              <w:widowControl/>
              <w:jc w:val="center"/>
              <w:rPr>
                <w:color w:val="000000"/>
                <w:kern w:val="0"/>
                <w:sz w:val="20"/>
                <w:szCs w:val="20"/>
              </w:rPr>
            </w:pPr>
            <w:r>
              <w:rPr>
                <w:rFonts w:hint="eastAsia"/>
                <w:color w:val="000000"/>
                <w:sz w:val="20"/>
                <w:szCs w:val="20"/>
              </w:rPr>
              <w:t>16.1%</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12.9%</w:t>
            </w:r>
          </w:p>
        </w:tc>
        <w:tc>
          <w:tcPr>
            <w:tcW w:w="745" w:type="dxa"/>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-3.2</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207 </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 xml:space="preserve">170 </w:t>
            </w:r>
          </w:p>
        </w:tc>
        <w:tc>
          <w:tcPr>
            <w:tcW w:w="0" w:type="auto"/>
            <w:tcBorders>
              <w:top w:val="single" w:color="auto" w:sz="12"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-17.9%</w:t>
            </w:r>
          </w:p>
        </w:tc>
        <w:tc>
          <w:tcPr>
            <w:tcW w:w="0" w:type="auto"/>
            <w:tcBorders>
              <w:top w:val="single" w:color="auto" w:sz="12" w:space="0"/>
              <w:left w:val="single" w:color="auto" w:sz="4"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135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135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0</w:t>
            </w:r>
          </w:p>
        </w:tc>
        <w:tc>
          <w:tcPr>
            <w:tcW w:w="0" w:type="auto"/>
            <w:tcBorders>
              <w:top w:val="single" w:color="auto" w:sz="12" w:space="0"/>
              <w:bottom w:val="single" w:color="auto" w:sz="8" w:space="0"/>
              <w:right w:val="single" w:color="auto" w:sz="8" w:space="0"/>
            </w:tcBorders>
            <w:vAlign w:val="center"/>
          </w:tcPr>
          <w:p>
            <w:pPr>
              <w:widowControl/>
              <w:jc w:val="center"/>
              <w:rPr>
                <w:color w:val="000000"/>
                <w:kern w:val="0"/>
                <w:sz w:val="20"/>
                <w:szCs w:val="20"/>
              </w:rPr>
            </w:pPr>
            <w:r>
              <w:rPr>
                <w:rFonts w:hint="eastAsia"/>
                <w:color w:val="000000"/>
                <w:sz w:val="20"/>
                <w:szCs w:val="20"/>
              </w:rPr>
              <w:t xml:space="preserve">16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14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-12.5%</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54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 xml:space="preserve">51 </w:t>
            </w:r>
          </w:p>
        </w:tc>
        <w:tc>
          <w:tcPr>
            <w:tcW w:w="0" w:type="auto"/>
            <w:tcBorders>
              <w:top w:val="single" w:color="auto" w:sz="12" w:space="0"/>
              <w:bottom w:val="single" w:color="auto" w:sz="8" w:space="0"/>
              <w:right w:val="single" w:color="auto" w:sz="8" w:space="0"/>
            </w:tcBorders>
            <w:vAlign w:val="center"/>
          </w:tcPr>
          <w:p>
            <w:pPr>
              <w:jc w:val="center"/>
              <w:rPr>
                <w:color w:val="000000"/>
                <w:sz w:val="20"/>
                <w:szCs w:val="20"/>
              </w:rPr>
            </w:pPr>
            <w:r>
              <w:rPr>
                <w:rFonts w:hint="eastAsia"/>
                <w:color w:val="000000"/>
                <w:sz w:val="20"/>
                <w:szCs w:val="20"/>
              </w:rPr>
              <w:t>-5.6%</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1.7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1.5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-11.8%</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31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33 </w:t>
            </w:r>
          </w:p>
        </w:tc>
        <w:tc>
          <w:tcPr>
            <w:tcW w:w="0" w:type="auto"/>
            <w:tcBorders>
              <w:top w:val="single" w:color="auto" w:sz="12" w:space="0"/>
              <w:left w:val="nil"/>
              <w:bottom w:val="single" w:color="auto" w:sz="8" w:space="0"/>
            </w:tcBorders>
            <w:shd w:val="clear" w:color="auto" w:fill="auto"/>
            <w:noWrap/>
            <w:vAlign w:val="center"/>
          </w:tcPr>
          <w:p>
            <w:pPr>
              <w:jc w:val="center"/>
              <w:rPr>
                <w:color w:val="000000"/>
                <w:sz w:val="20"/>
                <w:szCs w:val="20"/>
              </w:rPr>
            </w:pPr>
            <w:r>
              <w:rPr>
                <w:rFonts w:hint="eastAsia"/>
                <w:color w:val="000000"/>
                <w:sz w:val="20"/>
                <w:szCs w:val="20"/>
              </w:rPr>
              <w:t>6.5%</w:t>
            </w:r>
          </w:p>
        </w:tc>
      </w:tr>
      <w:tr>
        <w:tblPrEx>
          <w:tblCellMar>
            <w:top w:w="0" w:type="dxa"/>
            <w:left w:w="108" w:type="dxa"/>
            <w:bottom w:w="0" w:type="dxa"/>
            <w:right w:w="108" w:type="dxa"/>
          </w:tblCellMar>
        </w:tblPrEx>
        <w:trPr>
          <w:trHeight w:val="192" w:hRule="atLeast"/>
          <w:tblHeader/>
          <w:jc w:val="center"/>
        </w:trPr>
        <w:tc>
          <w:tcPr>
            <w:tcW w:w="0" w:type="auto"/>
            <w:tcBorders>
              <w:top w:val="nil"/>
              <w:bottom w:val="single" w:color="auto" w:sz="12" w:space="0"/>
              <w:right w:val="single" w:color="auto" w:sz="4" w:space="0"/>
            </w:tcBorders>
            <w:shd w:val="clear" w:color="auto" w:fill="auto"/>
            <w:noWrap/>
            <w:vAlign w:val="center"/>
          </w:tcPr>
          <w:p>
            <w:pPr>
              <w:jc w:val="center"/>
              <w:rPr>
                <w:rFonts w:ascii="仿宋" w:hAnsi="仿宋" w:eastAsia="仿宋"/>
                <w:sz w:val="18"/>
                <w:szCs w:val="20"/>
              </w:rPr>
            </w:pPr>
            <w:r>
              <w:rPr>
                <w:rFonts w:hint="eastAsia" w:ascii="仿宋" w:hAnsi="仿宋" w:eastAsia="仿宋"/>
                <w:sz w:val="18"/>
                <w:szCs w:val="20"/>
              </w:rPr>
              <w:t>五家渠市</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6.5%</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16.1%</w:t>
            </w:r>
          </w:p>
        </w:tc>
        <w:tc>
          <w:tcPr>
            <w:tcW w:w="745" w:type="dxa"/>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9.6</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344 </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222 </w:t>
            </w:r>
          </w:p>
        </w:tc>
        <w:tc>
          <w:tcPr>
            <w:tcW w:w="0" w:type="auto"/>
            <w:tcBorders>
              <w:top w:val="single" w:color="auto" w:sz="4"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-35.5%</w:t>
            </w:r>
          </w:p>
        </w:tc>
        <w:tc>
          <w:tcPr>
            <w:tcW w:w="0" w:type="auto"/>
            <w:tcBorders>
              <w:top w:val="nil"/>
              <w:left w:val="single" w:color="auto" w:sz="4"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177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157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-11.3%</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10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10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0</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59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51 </w:t>
            </w:r>
          </w:p>
        </w:tc>
        <w:tc>
          <w:tcPr>
            <w:tcW w:w="0" w:type="auto"/>
            <w:tcBorders>
              <w:top w:val="nil"/>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-13.6%</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2.4 </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2.0 </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-16.7%</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34 </w:t>
            </w:r>
          </w:p>
        </w:tc>
        <w:tc>
          <w:tcPr>
            <w:tcW w:w="0" w:type="auto"/>
            <w:tcBorders>
              <w:top w:val="nil"/>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26 </w:t>
            </w:r>
          </w:p>
        </w:tc>
        <w:tc>
          <w:tcPr>
            <w:tcW w:w="0" w:type="auto"/>
            <w:tcBorders>
              <w:top w:val="nil"/>
              <w:left w:val="nil"/>
              <w:bottom w:val="single" w:color="auto" w:sz="12" w:space="0"/>
            </w:tcBorders>
            <w:shd w:val="clear" w:color="auto" w:fill="auto"/>
            <w:noWrap/>
            <w:vAlign w:val="center"/>
          </w:tcPr>
          <w:p>
            <w:pPr>
              <w:jc w:val="center"/>
              <w:rPr>
                <w:color w:val="000000"/>
                <w:sz w:val="20"/>
                <w:szCs w:val="20"/>
              </w:rPr>
            </w:pPr>
            <w:r>
              <w:rPr>
                <w:rFonts w:hint="eastAsia"/>
                <w:color w:val="000000"/>
                <w:sz w:val="20"/>
                <w:szCs w:val="20"/>
              </w:rPr>
              <w:t>-23.5%</w:t>
            </w:r>
          </w:p>
        </w:tc>
      </w:tr>
      <w:tr>
        <w:tblPrEx>
          <w:tblCellMar>
            <w:top w:w="0" w:type="dxa"/>
            <w:left w:w="108" w:type="dxa"/>
            <w:bottom w:w="0" w:type="dxa"/>
            <w:right w:w="108" w:type="dxa"/>
          </w:tblCellMar>
        </w:tblPrEx>
        <w:trPr>
          <w:trHeight w:val="241" w:hRule="atLeast"/>
          <w:tblHeader/>
          <w:jc w:val="center"/>
        </w:trPr>
        <w:tc>
          <w:tcPr>
            <w:tcW w:w="0" w:type="auto"/>
            <w:tcBorders>
              <w:top w:val="single" w:color="auto" w:sz="12" w:space="0"/>
              <w:bottom w:val="single" w:color="auto" w:sz="12" w:space="0"/>
              <w:right w:val="single" w:color="auto" w:sz="4" w:space="0"/>
            </w:tcBorders>
            <w:shd w:val="clear" w:color="auto" w:fill="auto"/>
            <w:noWrap/>
            <w:vAlign w:val="center"/>
          </w:tcPr>
          <w:p>
            <w:pPr>
              <w:adjustRightInd w:val="0"/>
              <w:snapToGrid w:val="0"/>
              <w:spacing w:line="240" w:lineRule="atLeast"/>
              <w:jc w:val="center"/>
              <w:rPr>
                <w:rFonts w:ascii="仿宋" w:hAnsi="仿宋" w:eastAsia="仿宋"/>
                <w:sz w:val="18"/>
                <w:szCs w:val="20"/>
              </w:rPr>
            </w:pPr>
            <w:r>
              <w:rPr>
                <w:rFonts w:hint="eastAsia" w:ascii="仿宋" w:hAnsi="仿宋" w:eastAsia="仿宋"/>
                <w:sz w:val="18"/>
                <w:szCs w:val="20"/>
              </w:rPr>
              <w:t>兵团2城市</w:t>
            </w:r>
          </w:p>
        </w:tc>
        <w:tc>
          <w:tcPr>
            <w:tcW w:w="0" w:type="auto"/>
            <w:tcBorders>
              <w:top w:val="single" w:color="auto" w:sz="12"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11.3%</w:t>
            </w:r>
          </w:p>
        </w:tc>
        <w:tc>
          <w:tcPr>
            <w:tcW w:w="0" w:type="auto"/>
            <w:tcBorders>
              <w:top w:val="single" w:color="auto" w:sz="12"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14.5%</w:t>
            </w:r>
          </w:p>
        </w:tc>
        <w:tc>
          <w:tcPr>
            <w:tcW w:w="745" w:type="dxa"/>
            <w:tcBorders>
              <w:top w:val="single" w:color="auto" w:sz="12"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3.2</w:t>
            </w:r>
          </w:p>
        </w:tc>
        <w:tc>
          <w:tcPr>
            <w:tcW w:w="0" w:type="auto"/>
            <w:tcBorders>
              <w:top w:val="single" w:color="auto" w:sz="12"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276 </w:t>
            </w:r>
          </w:p>
        </w:tc>
        <w:tc>
          <w:tcPr>
            <w:tcW w:w="0" w:type="auto"/>
            <w:tcBorders>
              <w:top w:val="single" w:color="auto" w:sz="12"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 xml:space="preserve">196 </w:t>
            </w:r>
          </w:p>
        </w:tc>
        <w:tc>
          <w:tcPr>
            <w:tcW w:w="0" w:type="auto"/>
            <w:tcBorders>
              <w:top w:val="single" w:color="auto" w:sz="12" w:space="0"/>
              <w:left w:val="single" w:color="auto" w:sz="4" w:space="0"/>
              <w:bottom w:val="single" w:color="auto" w:sz="12" w:space="0"/>
              <w:right w:val="single" w:color="auto" w:sz="4" w:space="0"/>
            </w:tcBorders>
            <w:vAlign w:val="center"/>
          </w:tcPr>
          <w:p>
            <w:pPr>
              <w:jc w:val="center"/>
              <w:rPr>
                <w:color w:val="000000"/>
                <w:sz w:val="20"/>
                <w:szCs w:val="20"/>
              </w:rPr>
            </w:pPr>
            <w:r>
              <w:rPr>
                <w:rFonts w:hint="eastAsia"/>
                <w:color w:val="000000"/>
                <w:sz w:val="20"/>
                <w:szCs w:val="20"/>
              </w:rPr>
              <w:t>-29.0%</w:t>
            </w:r>
          </w:p>
        </w:tc>
        <w:tc>
          <w:tcPr>
            <w:tcW w:w="0" w:type="auto"/>
            <w:tcBorders>
              <w:top w:val="single" w:color="auto" w:sz="12" w:space="0"/>
              <w:left w:val="single" w:color="auto" w:sz="4"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156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146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-6.4%</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13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12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-7.7%</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57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 xml:space="preserve">51 </w:t>
            </w:r>
          </w:p>
        </w:tc>
        <w:tc>
          <w:tcPr>
            <w:tcW w:w="0" w:type="auto"/>
            <w:tcBorders>
              <w:top w:val="single" w:color="auto" w:sz="12" w:space="0"/>
              <w:bottom w:val="single" w:color="auto" w:sz="12" w:space="0"/>
              <w:right w:val="single" w:color="auto" w:sz="8" w:space="0"/>
            </w:tcBorders>
            <w:vAlign w:val="center"/>
          </w:tcPr>
          <w:p>
            <w:pPr>
              <w:jc w:val="center"/>
              <w:rPr>
                <w:color w:val="000000"/>
                <w:sz w:val="20"/>
                <w:szCs w:val="20"/>
              </w:rPr>
            </w:pPr>
            <w:r>
              <w:rPr>
                <w:rFonts w:hint="eastAsia"/>
                <w:color w:val="000000"/>
                <w:sz w:val="20"/>
                <w:szCs w:val="20"/>
              </w:rPr>
              <w:t>-10.5%</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2.1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1.8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-14.3%</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33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jc w:val="center"/>
              <w:rPr>
                <w:color w:val="000000"/>
                <w:sz w:val="20"/>
                <w:szCs w:val="20"/>
              </w:rPr>
            </w:pPr>
            <w:r>
              <w:rPr>
                <w:rFonts w:hint="eastAsia"/>
                <w:color w:val="000000"/>
                <w:sz w:val="20"/>
                <w:szCs w:val="20"/>
              </w:rPr>
              <w:t xml:space="preserve">30 </w:t>
            </w:r>
          </w:p>
        </w:tc>
        <w:tc>
          <w:tcPr>
            <w:tcW w:w="0" w:type="auto"/>
            <w:tcBorders>
              <w:top w:val="single" w:color="auto" w:sz="12" w:space="0"/>
              <w:left w:val="nil"/>
              <w:bottom w:val="single" w:color="auto" w:sz="12" w:space="0"/>
            </w:tcBorders>
            <w:shd w:val="clear" w:color="auto" w:fill="auto"/>
            <w:noWrap/>
            <w:vAlign w:val="center"/>
          </w:tcPr>
          <w:p>
            <w:pPr>
              <w:jc w:val="center"/>
              <w:rPr>
                <w:color w:val="000000"/>
                <w:sz w:val="20"/>
                <w:szCs w:val="20"/>
              </w:rPr>
            </w:pPr>
            <w:r>
              <w:rPr>
                <w:rFonts w:hint="eastAsia"/>
                <w:color w:val="000000"/>
                <w:sz w:val="20"/>
                <w:szCs w:val="20"/>
              </w:rPr>
              <w:t>-9.1%</w:t>
            </w:r>
          </w:p>
        </w:tc>
      </w:tr>
    </w:tbl>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sectPr>
          <w:pgSz w:w="16838" w:h="11906" w:orient="landscape"/>
          <w:pgMar w:top="1803" w:right="1134" w:bottom="1803" w:left="1134"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b/>
          <w:sz w:val="32"/>
          <w:szCs w:val="32"/>
        </w:rPr>
      </w:pPr>
      <w:r>
        <w:rPr>
          <w:rFonts w:hint="eastAsia" w:ascii="黑体" w:hAnsi="黑体" w:eastAsia="黑体" w:cs="黑体"/>
          <w:kern w:val="0"/>
          <w:sz w:val="32"/>
          <w:szCs w:val="32"/>
        </w:rPr>
        <w:t>二、排名情况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2019年12月，自治区14城市及兵团2城市环境空气质量变化程度排名依次为塔城市、库尔勒市、五家渠市、阿克苏市、乌鲁木齐市、昌吉市、阿图什市、博乐市、石河子市、克拉玛依市、喀什市、吐鲁番市、伊宁市、阿勒泰市、哈密市、和田市。其中伊宁市、阿勒泰市、哈密市、和田市等4城市环境空气质量综合指数有所上升，空气质量同比恶化；其余12城市环境空气质量综合指数同比均下降，空气质量同比好转。阿勒泰市、哈密市、和田市等3城市升幅均超过3%（见表2）。</w:t>
      </w:r>
    </w:p>
    <w:p>
      <w:pPr>
        <w:jc w:val="center"/>
        <w:rPr>
          <w:rFonts w:hint="eastAsia" w:ascii="方正小标宋简体" w:hAnsi="方正小标宋简体" w:eastAsia="方正小标宋简体" w:cs="方正小标宋简体"/>
          <w:b/>
          <w:sz w:val="32"/>
          <w:szCs w:val="32"/>
        </w:rPr>
      </w:pPr>
    </w:p>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表2    2019年12月自治区14城市及兵团2城市</w:t>
      </w:r>
    </w:p>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空气质量指数排名</w:t>
      </w:r>
      <w:bookmarkStart w:id="0" w:name="_GoBack"/>
      <w:bookmarkEnd w:id="0"/>
    </w:p>
    <w:tbl>
      <w:tblPr>
        <w:tblStyle w:val="8"/>
        <w:tblpPr w:leftFromText="180" w:rightFromText="180" w:vertAnchor="text" w:horzAnchor="margin" w:tblpXSpec="center" w:tblpY="38"/>
        <w:tblW w:w="7551" w:type="dxa"/>
        <w:tblInd w:w="-124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2550"/>
        <w:gridCol w:w="29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057" w:type="dxa"/>
            <w:vMerge w:val="restart"/>
            <w:tcBorders>
              <w:top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排名</w:t>
            </w:r>
          </w:p>
        </w:tc>
        <w:tc>
          <w:tcPr>
            <w:tcW w:w="5494" w:type="dxa"/>
            <w:gridSpan w:val="2"/>
            <w:tcBorders>
              <w:top w:val="single" w:color="auto" w:sz="18"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环境空气质量综合指数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57" w:type="dxa"/>
            <w:vMerge w:val="continue"/>
            <w:tcBorders>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1"/>
                <w:szCs w:val="21"/>
              </w:rPr>
            </w:pPr>
          </w:p>
        </w:tc>
        <w:tc>
          <w:tcPr>
            <w:tcW w:w="2550"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城市</w:t>
            </w:r>
          </w:p>
        </w:tc>
        <w:tc>
          <w:tcPr>
            <w:tcW w:w="2944"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tcBorders>
              <w:top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2550" w:type="dxa"/>
            <w:tcBorders>
              <w:top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塔城市</w:t>
            </w:r>
          </w:p>
        </w:tc>
        <w:tc>
          <w:tcPr>
            <w:tcW w:w="2944" w:type="dxa"/>
            <w:tcBorders>
              <w:top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阿勒泰市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1.98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博乐市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4.18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库尔勒市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4.71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克拉玛依市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4.73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哈密市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4.98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阿图什市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5.73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乌鲁木齐市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7.21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阿克苏市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7.27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昌吉市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7.97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伊宁市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7.99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吐鲁番市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8.69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石河子市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8.70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和田市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9.11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05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2550"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喀什市</w:t>
            </w:r>
          </w:p>
        </w:tc>
        <w:tc>
          <w:tcPr>
            <w:tcW w:w="2944" w:type="dxa"/>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10.01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057" w:type="dxa"/>
            <w:tcBorders>
              <w:bottom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2550" w:type="dxa"/>
            <w:tcBorders>
              <w:bottom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五家渠市</w:t>
            </w:r>
          </w:p>
        </w:tc>
        <w:tc>
          <w:tcPr>
            <w:tcW w:w="2944" w:type="dxa"/>
            <w:tcBorders>
              <w:bottom w:val="single" w:color="auto" w:sz="18" w:space="0"/>
            </w:tcBorders>
            <w:vAlign w:val="bottom"/>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10.13 </w:t>
            </w:r>
          </w:p>
        </w:tc>
      </w:tr>
    </w:tbl>
    <w:p>
      <w:pPr>
        <w:spacing w:line="360" w:lineRule="exact"/>
        <w:jc w:val="left"/>
        <w:rPr>
          <w:rFonts w:asciiTheme="minorEastAsia" w:hAnsiTheme="minorEastAsia"/>
        </w:rPr>
      </w:pPr>
    </w:p>
    <w:p>
      <w:pPr>
        <w:spacing w:line="360" w:lineRule="exact"/>
        <w:jc w:val="left"/>
        <w:rPr>
          <w:rFonts w:asciiTheme="minorEastAsia" w:hAnsiTheme="minorEastAsia"/>
        </w:rPr>
      </w:pPr>
    </w:p>
    <w:p>
      <w:pPr>
        <w:spacing w:line="360" w:lineRule="exact"/>
        <w:jc w:val="left"/>
        <w:rPr>
          <w:rFonts w:asciiTheme="minorEastAsia" w:hAnsiTheme="minorEastAsia"/>
        </w:rPr>
      </w:pPr>
    </w:p>
    <w:p>
      <w:pPr>
        <w:spacing w:line="360" w:lineRule="exact"/>
        <w:jc w:val="left"/>
        <w:rPr>
          <w:rFonts w:asciiTheme="minorEastAsia" w:hAnsiTheme="minorEastAsia"/>
        </w:rPr>
      </w:pPr>
    </w:p>
    <w:p>
      <w:pPr>
        <w:spacing w:line="360" w:lineRule="exact"/>
        <w:jc w:val="left"/>
        <w:rPr>
          <w:rFonts w:asciiTheme="minorEastAsia" w:hAnsiTheme="minorEastAsia"/>
        </w:rPr>
      </w:pPr>
    </w:p>
    <w:p>
      <w:pPr>
        <w:spacing w:line="360" w:lineRule="exact"/>
        <w:jc w:val="left"/>
        <w:rPr>
          <w:rFonts w:asciiTheme="minorEastAsia" w:hAnsiTheme="minorEastAsia"/>
        </w:rPr>
      </w:pPr>
    </w:p>
    <w:p>
      <w:pPr>
        <w:spacing w:line="360" w:lineRule="exact"/>
        <w:jc w:val="left"/>
        <w:rPr>
          <w:rFonts w:asciiTheme="minorEastAsia" w:hAnsiTheme="minorEastAsia"/>
        </w:rPr>
      </w:pPr>
    </w:p>
    <w:p>
      <w:pPr>
        <w:tabs>
          <w:tab w:val="left" w:pos="1712"/>
        </w:tabs>
        <w:spacing w:line="360" w:lineRule="exact"/>
        <w:jc w:val="left"/>
        <w:rPr>
          <w:rFonts w:asciiTheme="minorEastAsia" w:hAnsiTheme="minorEastAsia"/>
        </w:rPr>
      </w:pPr>
      <w:r>
        <w:rPr>
          <w:rFonts w:hint="eastAsia" w:asciiTheme="minorEastAsia" w:hAnsiTheme="minorEastAsia"/>
          <w:lang w:eastAsia="zh-CN"/>
        </w:rPr>
        <w:tab/>
      </w:r>
    </w:p>
    <w:p>
      <w:pPr>
        <w:spacing w:line="3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备注：1.环境空气质量综合指数越低，空气质量越好。</w:t>
      </w:r>
    </w:p>
    <w:p>
      <w:pPr>
        <w:spacing w:line="360" w:lineRule="exact"/>
        <w:ind w:left="1278" w:leftChars="456" w:hanging="320" w:hanging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2.综合指数同比变化率是指环境空气质量综合指数与去年同期对比的变幅。</w:t>
      </w:r>
    </w:p>
    <w:p>
      <w:pPr>
        <w:spacing w:line="360" w:lineRule="exact"/>
        <w:ind w:firstLine="960"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3.综合指数同比变化率＞0表示空气质量同比恶化</w:t>
      </w:r>
    </w:p>
    <w:p>
      <w:pPr>
        <w:spacing w:line="360"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综合指数同比变化率＝0表示空气质量同比持平</w:t>
      </w:r>
    </w:p>
    <w:p>
      <w:pPr>
        <w:spacing w:line="360"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综合指数同比变化率＜0表示空气质量同比改善。</w:t>
      </w:r>
    </w:p>
    <w:p>
      <w:pPr>
        <w:spacing w:line="360" w:lineRule="exact"/>
        <w:ind w:firstLine="840" w:firstLineChars="350"/>
        <w:jc w:val="left"/>
        <w:rPr>
          <w:rFonts w:ascii="仿宋" w:hAnsi="仿宋" w:eastAsia="仿宋"/>
          <w:sz w:val="24"/>
        </w:rPr>
      </w:pPr>
    </w:p>
    <w:p>
      <w:pPr>
        <w:widowControl/>
        <w:spacing w:line="540" w:lineRule="exact"/>
        <w:ind w:firstLine="640" w:firstLineChars="200"/>
        <w:jc w:val="left"/>
        <w:rPr>
          <w:rFonts w:ascii="仿宋" w:hAnsi="仿宋" w:eastAsia="仿宋" w:cs="Times New Roman"/>
          <w:kern w:val="0"/>
          <w:sz w:val="32"/>
          <w:szCs w:val="32"/>
        </w:rPr>
      </w:pPr>
    </w:p>
    <w:p>
      <w:pPr>
        <w:widowControl/>
        <w:spacing w:line="540" w:lineRule="exact"/>
        <w:ind w:firstLine="640" w:firstLineChars="200"/>
        <w:jc w:val="left"/>
        <w:rPr>
          <w:rFonts w:ascii="仿宋" w:hAnsi="仿宋" w:eastAsia="仿宋" w:cs="Times New Roman"/>
          <w:kern w:val="0"/>
          <w:sz w:val="32"/>
          <w:szCs w:val="32"/>
        </w:rPr>
      </w:pPr>
    </w:p>
    <w:p>
      <w:pPr>
        <w:widowControl/>
        <w:jc w:val="left"/>
        <w:rPr>
          <w:rFonts w:ascii="仿宋" w:hAnsi="仿宋" w:eastAsia="仿宋" w:cs="Times New Roman"/>
          <w:b/>
          <w:sz w:val="24"/>
          <w:szCs w:val="24"/>
        </w:rPr>
      </w:pPr>
    </w:p>
    <w:sectPr>
      <w:pgSz w:w="11906" w:h="16838"/>
      <w:pgMar w:top="1134" w:right="1803"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867"/>
    <w:rsid w:val="00000E8A"/>
    <w:rsid w:val="00004FE2"/>
    <w:rsid w:val="00005D74"/>
    <w:rsid w:val="00014AFF"/>
    <w:rsid w:val="000253C4"/>
    <w:rsid w:val="0003433D"/>
    <w:rsid w:val="00042D53"/>
    <w:rsid w:val="00046BFC"/>
    <w:rsid w:val="00054706"/>
    <w:rsid w:val="00066014"/>
    <w:rsid w:val="00083EA5"/>
    <w:rsid w:val="00086321"/>
    <w:rsid w:val="000A0258"/>
    <w:rsid w:val="000A2F0F"/>
    <w:rsid w:val="000A7D77"/>
    <w:rsid w:val="000B01A7"/>
    <w:rsid w:val="000C0930"/>
    <w:rsid w:val="000E5CF0"/>
    <w:rsid w:val="000F08DC"/>
    <w:rsid w:val="00102293"/>
    <w:rsid w:val="00103AD8"/>
    <w:rsid w:val="00107F1A"/>
    <w:rsid w:val="001104EF"/>
    <w:rsid w:val="00110D1C"/>
    <w:rsid w:val="00114C4F"/>
    <w:rsid w:val="00120A38"/>
    <w:rsid w:val="00124074"/>
    <w:rsid w:val="00136095"/>
    <w:rsid w:val="00136676"/>
    <w:rsid w:val="00140AF8"/>
    <w:rsid w:val="00141715"/>
    <w:rsid w:val="00141CC9"/>
    <w:rsid w:val="00143281"/>
    <w:rsid w:val="00143D64"/>
    <w:rsid w:val="001455EA"/>
    <w:rsid w:val="00150993"/>
    <w:rsid w:val="00150EBB"/>
    <w:rsid w:val="00152854"/>
    <w:rsid w:val="00152E76"/>
    <w:rsid w:val="0015589A"/>
    <w:rsid w:val="00155DA7"/>
    <w:rsid w:val="00170CDB"/>
    <w:rsid w:val="00173C30"/>
    <w:rsid w:val="00197D01"/>
    <w:rsid w:val="001A04C6"/>
    <w:rsid w:val="001B134C"/>
    <w:rsid w:val="001B1CE4"/>
    <w:rsid w:val="001B241E"/>
    <w:rsid w:val="001B7853"/>
    <w:rsid w:val="001C01F1"/>
    <w:rsid w:val="001C4D11"/>
    <w:rsid w:val="001C6A24"/>
    <w:rsid w:val="001D72C4"/>
    <w:rsid w:val="001E25B1"/>
    <w:rsid w:val="001E25D1"/>
    <w:rsid w:val="001E2B3B"/>
    <w:rsid w:val="001E3A44"/>
    <w:rsid w:val="001F0867"/>
    <w:rsid w:val="001F5B27"/>
    <w:rsid w:val="001F7857"/>
    <w:rsid w:val="002065B4"/>
    <w:rsid w:val="0021262A"/>
    <w:rsid w:val="00230B85"/>
    <w:rsid w:val="00232F7E"/>
    <w:rsid w:val="00261EBA"/>
    <w:rsid w:val="002634DF"/>
    <w:rsid w:val="00267B11"/>
    <w:rsid w:val="00282107"/>
    <w:rsid w:val="002A09BF"/>
    <w:rsid w:val="002A13BE"/>
    <w:rsid w:val="002A14BC"/>
    <w:rsid w:val="002B1369"/>
    <w:rsid w:val="002B2DC1"/>
    <w:rsid w:val="002B550C"/>
    <w:rsid w:val="002B707A"/>
    <w:rsid w:val="002B77DE"/>
    <w:rsid w:val="002C0F6A"/>
    <w:rsid w:val="002C16E7"/>
    <w:rsid w:val="002C2160"/>
    <w:rsid w:val="002C5B39"/>
    <w:rsid w:val="002D1268"/>
    <w:rsid w:val="002D3810"/>
    <w:rsid w:val="002D55BF"/>
    <w:rsid w:val="002D5D32"/>
    <w:rsid w:val="002E0BD7"/>
    <w:rsid w:val="002E27EB"/>
    <w:rsid w:val="002E3FEF"/>
    <w:rsid w:val="002E6546"/>
    <w:rsid w:val="00301759"/>
    <w:rsid w:val="0031239B"/>
    <w:rsid w:val="003125BC"/>
    <w:rsid w:val="00317843"/>
    <w:rsid w:val="00326D9C"/>
    <w:rsid w:val="00330505"/>
    <w:rsid w:val="00330B39"/>
    <w:rsid w:val="00335AE5"/>
    <w:rsid w:val="00336BFD"/>
    <w:rsid w:val="00340570"/>
    <w:rsid w:val="00344D71"/>
    <w:rsid w:val="00357627"/>
    <w:rsid w:val="00361D63"/>
    <w:rsid w:val="003652E7"/>
    <w:rsid w:val="003703C2"/>
    <w:rsid w:val="00373E27"/>
    <w:rsid w:val="003743EC"/>
    <w:rsid w:val="0038280A"/>
    <w:rsid w:val="003837C3"/>
    <w:rsid w:val="00383EE4"/>
    <w:rsid w:val="003851A9"/>
    <w:rsid w:val="0039013F"/>
    <w:rsid w:val="00393E6B"/>
    <w:rsid w:val="003A5604"/>
    <w:rsid w:val="003A5B70"/>
    <w:rsid w:val="003B0FAC"/>
    <w:rsid w:val="003B21DB"/>
    <w:rsid w:val="003C5AAC"/>
    <w:rsid w:val="003D4E24"/>
    <w:rsid w:val="003D6AF1"/>
    <w:rsid w:val="003F20BE"/>
    <w:rsid w:val="003F7E48"/>
    <w:rsid w:val="00400B53"/>
    <w:rsid w:val="00406900"/>
    <w:rsid w:val="00411D05"/>
    <w:rsid w:val="0042112B"/>
    <w:rsid w:val="00424EE4"/>
    <w:rsid w:val="00435032"/>
    <w:rsid w:val="00436C11"/>
    <w:rsid w:val="00437576"/>
    <w:rsid w:val="0043776E"/>
    <w:rsid w:val="004404AB"/>
    <w:rsid w:val="0044617F"/>
    <w:rsid w:val="00454EDE"/>
    <w:rsid w:val="00456F41"/>
    <w:rsid w:val="00461862"/>
    <w:rsid w:val="00470D82"/>
    <w:rsid w:val="00477D16"/>
    <w:rsid w:val="00491FC1"/>
    <w:rsid w:val="0049266B"/>
    <w:rsid w:val="004A06A7"/>
    <w:rsid w:val="004A1720"/>
    <w:rsid w:val="004A46A4"/>
    <w:rsid w:val="004B4DB8"/>
    <w:rsid w:val="004B51DF"/>
    <w:rsid w:val="004B55CF"/>
    <w:rsid w:val="004B6A51"/>
    <w:rsid w:val="004C1F94"/>
    <w:rsid w:val="004C26F7"/>
    <w:rsid w:val="004E285B"/>
    <w:rsid w:val="004F09C9"/>
    <w:rsid w:val="004F1AAD"/>
    <w:rsid w:val="004F39B4"/>
    <w:rsid w:val="004F4EE5"/>
    <w:rsid w:val="004F52F4"/>
    <w:rsid w:val="004F7208"/>
    <w:rsid w:val="004F73C9"/>
    <w:rsid w:val="005036D3"/>
    <w:rsid w:val="005215BF"/>
    <w:rsid w:val="0052462B"/>
    <w:rsid w:val="00526827"/>
    <w:rsid w:val="0052738E"/>
    <w:rsid w:val="00541BBB"/>
    <w:rsid w:val="0054246D"/>
    <w:rsid w:val="00546DD9"/>
    <w:rsid w:val="00550EF0"/>
    <w:rsid w:val="005554A0"/>
    <w:rsid w:val="00555C99"/>
    <w:rsid w:val="00586156"/>
    <w:rsid w:val="00593470"/>
    <w:rsid w:val="005945DE"/>
    <w:rsid w:val="005958F0"/>
    <w:rsid w:val="005A51FF"/>
    <w:rsid w:val="005B3C6E"/>
    <w:rsid w:val="005C06E8"/>
    <w:rsid w:val="005C1DCA"/>
    <w:rsid w:val="005D2418"/>
    <w:rsid w:val="005D29DE"/>
    <w:rsid w:val="005D2AB6"/>
    <w:rsid w:val="005D3F70"/>
    <w:rsid w:val="005D4301"/>
    <w:rsid w:val="005E7B38"/>
    <w:rsid w:val="005F1A2E"/>
    <w:rsid w:val="005F44CB"/>
    <w:rsid w:val="005F4DB9"/>
    <w:rsid w:val="00601BFB"/>
    <w:rsid w:val="00606031"/>
    <w:rsid w:val="00620899"/>
    <w:rsid w:val="00623991"/>
    <w:rsid w:val="006241F5"/>
    <w:rsid w:val="00626339"/>
    <w:rsid w:val="0063797B"/>
    <w:rsid w:val="00641C5F"/>
    <w:rsid w:val="00641FAB"/>
    <w:rsid w:val="00644D81"/>
    <w:rsid w:val="00650B47"/>
    <w:rsid w:val="00662769"/>
    <w:rsid w:val="0066722C"/>
    <w:rsid w:val="006704DC"/>
    <w:rsid w:val="00671A9C"/>
    <w:rsid w:val="00672BF3"/>
    <w:rsid w:val="00687AC1"/>
    <w:rsid w:val="00691282"/>
    <w:rsid w:val="00692AEF"/>
    <w:rsid w:val="006A540D"/>
    <w:rsid w:val="006A6FA4"/>
    <w:rsid w:val="006B0DD9"/>
    <w:rsid w:val="006C1595"/>
    <w:rsid w:val="006C1EF6"/>
    <w:rsid w:val="006C7BD9"/>
    <w:rsid w:val="006D0819"/>
    <w:rsid w:val="006D4DB6"/>
    <w:rsid w:val="006E1197"/>
    <w:rsid w:val="006E1BF4"/>
    <w:rsid w:val="006E4A64"/>
    <w:rsid w:val="006E7DE3"/>
    <w:rsid w:val="006E7E87"/>
    <w:rsid w:val="006F296E"/>
    <w:rsid w:val="006F3496"/>
    <w:rsid w:val="00702EAA"/>
    <w:rsid w:val="00705292"/>
    <w:rsid w:val="00711FE4"/>
    <w:rsid w:val="007149DD"/>
    <w:rsid w:val="0071623A"/>
    <w:rsid w:val="00721821"/>
    <w:rsid w:val="007259A8"/>
    <w:rsid w:val="00725A2A"/>
    <w:rsid w:val="00732875"/>
    <w:rsid w:val="00736D60"/>
    <w:rsid w:val="00744A95"/>
    <w:rsid w:val="007470CD"/>
    <w:rsid w:val="0074773B"/>
    <w:rsid w:val="00756F98"/>
    <w:rsid w:val="00757FEC"/>
    <w:rsid w:val="00764E83"/>
    <w:rsid w:val="00770171"/>
    <w:rsid w:val="00773380"/>
    <w:rsid w:val="00784C52"/>
    <w:rsid w:val="00784D8C"/>
    <w:rsid w:val="00786A32"/>
    <w:rsid w:val="0079750F"/>
    <w:rsid w:val="007A7DBE"/>
    <w:rsid w:val="007B25ED"/>
    <w:rsid w:val="007C0324"/>
    <w:rsid w:val="007C3453"/>
    <w:rsid w:val="007C43E7"/>
    <w:rsid w:val="007C505C"/>
    <w:rsid w:val="007C563E"/>
    <w:rsid w:val="007C6218"/>
    <w:rsid w:val="007D1BDF"/>
    <w:rsid w:val="007D325F"/>
    <w:rsid w:val="007D6AEA"/>
    <w:rsid w:val="007D76A1"/>
    <w:rsid w:val="007E5C3F"/>
    <w:rsid w:val="007F2D62"/>
    <w:rsid w:val="007F641A"/>
    <w:rsid w:val="008051BE"/>
    <w:rsid w:val="00806383"/>
    <w:rsid w:val="0082219F"/>
    <w:rsid w:val="008229D8"/>
    <w:rsid w:val="00836D23"/>
    <w:rsid w:val="00842C3F"/>
    <w:rsid w:val="0084407C"/>
    <w:rsid w:val="00844579"/>
    <w:rsid w:val="00853ED6"/>
    <w:rsid w:val="008574B2"/>
    <w:rsid w:val="00873445"/>
    <w:rsid w:val="008747D4"/>
    <w:rsid w:val="0088039E"/>
    <w:rsid w:val="008828A9"/>
    <w:rsid w:val="0088632A"/>
    <w:rsid w:val="00887D5F"/>
    <w:rsid w:val="008904DA"/>
    <w:rsid w:val="008A03A8"/>
    <w:rsid w:val="008A6F20"/>
    <w:rsid w:val="008A73A8"/>
    <w:rsid w:val="008B4331"/>
    <w:rsid w:val="008B5A5E"/>
    <w:rsid w:val="008B6D73"/>
    <w:rsid w:val="008C0FD2"/>
    <w:rsid w:val="008C5199"/>
    <w:rsid w:val="008C7D7D"/>
    <w:rsid w:val="008D2129"/>
    <w:rsid w:val="008D3EC0"/>
    <w:rsid w:val="008E76F2"/>
    <w:rsid w:val="008F32B2"/>
    <w:rsid w:val="008F44FB"/>
    <w:rsid w:val="00902869"/>
    <w:rsid w:val="0090418C"/>
    <w:rsid w:val="0090484B"/>
    <w:rsid w:val="00905785"/>
    <w:rsid w:val="0090651B"/>
    <w:rsid w:val="0090749F"/>
    <w:rsid w:val="00910808"/>
    <w:rsid w:val="00916FCE"/>
    <w:rsid w:val="00933227"/>
    <w:rsid w:val="009353DF"/>
    <w:rsid w:val="0094335F"/>
    <w:rsid w:val="00944F97"/>
    <w:rsid w:val="00950D16"/>
    <w:rsid w:val="00954819"/>
    <w:rsid w:val="00962B5D"/>
    <w:rsid w:val="00967CD2"/>
    <w:rsid w:val="00974CE4"/>
    <w:rsid w:val="0097619D"/>
    <w:rsid w:val="00976D71"/>
    <w:rsid w:val="00977CAA"/>
    <w:rsid w:val="009816DC"/>
    <w:rsid w:val="00985F1F"/>
    <w:rsid w:val="00997B14"/>
    <w:rsid w:val="009A7024"/>
    <w:rsid w:val="009B0017"/>
    <w:rsid w:val="009C1DFC"/>
    <w:rsid w:val="009C5B8C"/>
    <w:rsid w:val="009C5DBF"/>
    <w:rsid w:val="009C658F"/>
    <w:rsid w:val="009D1ECC"/>
    <w:rsid w:val="009D4C74"/>
    <w:rsid w:val="009D5A84"/>
    <w:rsid w:val="009D7522"/>
    <w:rsid w:val="009E0EBA"/>
    <w:rsid w:val="009E3F7E"/>
    <w:rsid w:val="009E4A79"/>
    <w:rsid w:val="009E5241"/>
    <w:rsid w:val="009F2E84"/>
    <w:rsid w:val="009F63F7"/>
    <w:rsid w:val="00A34A9D"/>
    <w:rsid w:val="00A40E58"/>
    <w:rsid w:val="00A42008"/>
    <w:rsid w:val="00A43E7B"/>
    <w:rsid w:val="00A4436A"/>
    <w:rsid w:val="00A46E22"/>
    <w:rsid w:val="00A52D21"/>
    <w:rsid w:val="00A61953"/>
    <w:rsid w:val="00A62726"/>
    <w:rsid w:val="00A70AC4"/>
    <w:rsid w:val="00A72EDF"/>
    <w:rsid w:val="00A75432"/>
    <w:rsid w:val="00A77E24"/>
    <w:rsid w:val="00A84721"/>
    <w:rsid w:val="00A90299"/>
    <w:rsid w:val="00A9064B"/>
    <w:rsid w:val="00A92276"/>
    <w:rsid w:val="00AA2541"/>
    <w:rsid w:val="00AA3B46"/>
    <w:rsid w:val="00AB0BF8"/>
    <w:rsid w:val="00AB392F"/>
    <w:rsid w:val="00AC3D3B"/>
    <w:rsid w:val="00AD6CC0"/>
    <w:rsid w:val="00AE4017"/>
    <w:rsid w:val="00AE53B8"/>
    <w:rsid w:val="00AE5E7D"/>
    <w:rsid w:val="00AE685C"/>
    <w:rsid w:val="00AF1E33"/>
    <w:rsid w:val="00AF3A1E"/>
    <w:rsid w:val="00AF48EB"/>
    <w:rsid w:val="00AF5B17"/>
    <w:rsid w:val="00AF7902"/>
    <w:rsid w:val="00B0194F"/>
    <w:rsid w:val="00B06A51"/>
    <w:rsid w:val="00B1520E"/>
    <w:rsid w:val="00B23875"/>
    <w:rsid w:val="00B36373"/>
    <w:rsid w:val="00B363F1"/>
    <w:rsid w:val="00B44122"/>
    <w:rsid w:val="00B46241"/>
    <w:rsid w:val="00B56A93"/>
    <w:rsid w:val="00B56CA2"/>
    <w:rsid w:val="00B61318"/>
    <w:rsid w:val="00B621FA"/>
    <w:rsid w:val="00B65EE7"/>
    <w:rsid w:val="00B74AF6"/>
    <w:rsid w:val="00B7752D"/>
    <w:rsid w:val="00B85F02"/>
    <w:rsid w:val="00B87FF0"/>
    <w:rsid w:val="00B91D6E"/>
    <w:rsid w:val="00B9793D"/>
    <w:rsid w:val="00BA21A6"/>
    <w:rsid w:val="00BA46DD"/>
    <w:rsid w:val="00BA580A"/>
    <w:rsid w:val="00BB5139"/>
    <w:rsid w:val="00BB5729"/>
    <w:rsid w:val="00BB7CFD"/>
    <w:rsid w:val="00BC5C3E"/>
    <w:rsid w:val="00BD5F18"/>
    <w:rsid w:val="00BF103E"/>
    <w:rsid w:val="00BF1780"/>
    <w:rsid w:val="00BF1802"/>
    <w:rsid w:val="00BF1B35"/>
    <w:rsid w:val="00BF7443"/>
    <w:rsid w:val="00C014EC"/>
    <w:rsid w:val="00C10F1E"/>
    <w:rsid w:val="00C11335"/>
    <w:rsid w:val="00C12CD8"/>
    <w:rsid w:val="00C12D2F"/>
    <w:rsid w:val="00C16354"/>
    <w:rsid w:val="00C16EBA"/>
    <w:rsid w:val="00C232A6"/>
    <w:rsid w:val="00C317C8"/>
    <w:rsid w:val="00C3771A"/>
    <w:rsid w:val="00C51AF3"/>
    <w:rsid w:val="00C656D1"/>
    <w:rsid w:val="00C741DD"/>
    <w:rsid w:val="00C83E39"/>
    <w:rsid w:val="00C87A63"/>
    <w:rsid w:val="00C93EB9"/>
    <w:rsid w:val="00C948F5"/>
    <w:rsid w:val="00CA166A"/>
    <w:rsid w:val="00CA2183"/>
    <w:rsid w:val="00CA2C0F"/>
    <w:rsid w:val="00CB1A56"/>
    <w:rsid w:val="00CB7624"/>
    <w:rsid w:val="00CB77D3"/>
    <w:rsid w:val="00CE08ED"/>
    <w:rsid w:val="00CE184D"/>
    <w:rsid w:val="00CE239C"/>
    <w:rsid w:val="00CF02A3"/>
    <w:rsid w:val="00D11669"/>
    <w:rsid w:val="00D12A07"/>
    <w:rsid w:val="00D1452A"/>
    <w:rsid w:val="00D20897"/>
    <w:rsid w:val="00D25BC1"/>
    <w:rsid w:val="00D31510"/>
    <w:rsid w:val="00D5795A"/>
    <w:rsid w:val="00D63081"/>
    <w:rsid w:val="00D63329"/>
    <w:rsid w:val="00D656E5"/>
    <w:rsid w:val="00D719F2"/>
    <w:rsid w:val="00D728D5"/>
    <w:rsid w:val="00D76EFF"/>
    <w:rsid w:val="00D773CB"/>
    <w:rsid w:val="00DA0FFC"/>
    <w:rsid w:val="00DA6EC1"/>
    <w:rsid w:val="00DB3FD5"/>
    <w:rsid w:val="00DB7F66"/>
    <w:rsid w:val="00DC14BB"/>
    <w:rsid w:val="00DC3C59"/>
    <w:rsid w:val="00DD76E3"/>
    <w:rsid w:val="00DE0EDD"/>
    <w:rsid w:val="00DE31AF"/>
    <w:rsid w:val="00DE7D3C"/>
    <w:rsid w:val="00DF11EB"/>
    <w:rsid w:val="00DF4A8E"/>
    <w:rsid w:val="00E07B4A"/>
    <w:rsid w:val="00E205E4"/>
    <w:rsid w:val="00E33CF6"/>
    <w:rsid w:val="00E3443B"/>
    <w:rsid w:val="00E41D14"/>
    <w:rsid w:val="00E54221"/>
    <w:rsid w:val="00E60B70"/>
    <w:rsid w:val="00E60BDE"/>
    <w:rsid w:val="00E7678C"/>
    <w:rsid w:val="00E77B80"/>
    <w:rsid w:val="00E94D55"/>
    <w:rsid w:val="00E95F27"/>
    <w:rsid w:val="00EB22B7"/>
    <w:rsid w:val="00EB739C"/>
    <w:rsid w:val="00EC7153"/>
    <w:rsid w:val="00ED505F"/>
    <w:rsid w:val="00ED7751"/>
    <w:rsid w:val="00EF3014"/>
    <w:rsid w:val="00F014D9"/>
    <w:rsid w:val="00F03085"/>
    <w:rsid w:val="00F04FB3"/>
    <w:rsid w:val="00F13277"/>
    <w:rsid w:val="00F206F2"/>
    <w:rsid w:val="00F238C7"/>
    <w:rsid w:val="00F25796"/>
    <w:rsid w:val="00F35E11"/>
    <w:rsid w:val="00F45B0F"/>
    <w:rsid w:val="00F55273"/>
    <w:rsid w:val="00F611E5"/>
    <w:rsid w:val="00F65175"/>
    <w:rsid w:val="00F67946"/>
    <w:rsid w:val="00F771EC"/>
    <w:rsid w:val="00F81CBF"/>
    <w:rsid w:val="00F863B5"/>
    <w:rsid w:val="00F968DD"/>
    <w:rsid w:val="00FA049C"/>
    <w:rsid w:val="00FA3E9C"/>
    <w:rsid w:val="00FA4129"/>
    <w:rsid w:val="00FA5867"/>
    <w:rsid w:val="00FC3BD0"/>
    <w:rsid w:val="00FD6C96"/>
    <w:rsid w:val="00FD7DDD"/>
    <w:rsid w:val="00FE21B7"/>
    <w:rsid w:val="00FE3010"/>
    <w:rsid w:val="00FE6743"/>
    <w:rsid w:val="00FF7DD5"/>
    <w:rsid w:val="0B8D3B60"/>
    <w:rsid w:val="17FA0AF3"/>
    <w:rsid w:val="22925E4A"/>
    <w:rsid w:val="2C1834CC"/>
    <w:rsid w:val="468F0AA8"/>
    <w:rsid w:val="56144275"/>
    <w:rsid w:val="5D3C52B2"/>
    <w:rsid w:val="6042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rPr>
      <w:rFonts w:ascii="Calibri" w:hAnsi="Calibri" w:eastAsia="宋体" w:cs="Times New Roman"/>
    </w:rPr>
  </w:style>
  <w:style w:type="paragraph" w:styleId="4">
    <w:name w:val="Balloon Text"/>
    <w:basedOn w:val="1"/>
    <w:link w:val="17"/>
    <w:semiHidden/>
    <w:unhideWhenUsed/>
    <w:qFormat/>
    <w:uiPriority w:val="99"/>
    <w:rPr>
      <w:rFonts w:ascii="Calibri" w:hAnsi="Calibri" w:eastAsia="宋体" w:cs="Times New Roman"/>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9"/>
    <w:qFormat/>
    <w:uiPriority w:val="10"/>
    <w:pPr>
      <w:spacing w:before="240" w:after="60"/>
      <w:jc w:val="center"/>
      <w:outlineLvl w:val="0"/>
    </w:pPr>
    <w:rPr>
      <w:rFonts w:eastAsia="宋体" w:asciiTheme="majorHAnsi" w:hAnsiTheme="majorHAnsi" w:cstheme="majorBidi"/>
      <w:b/>
      <w:bCs/>
      <w:sz w:val="32"/>
      <w:szCs w:val="32"/>
    </w:rPr>
  </w:style>
  <w:style w:type="character" w:styleId="10">
    <w:name w:val="page number"/>
    <w:qFormat/>
    <w:uiPriority w:val="0"/>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日期 字符"/>
    <w:link w:val="3"/>
    <w:semiHidden/>
    <w:qFormat/>
    <w:uiPriority w:val="99"/>
    <w:rPr>
      <w:rFonts w:ascii="Calibri" w:hAnsi="Calibri" w:eastAsia="宋体" w:cs="Times New Roman"/>
    </w:rPr>
  </w:style>
  <w:style w:type="character" w:customStyle="1" w:styleId="14">
    <w:name w:val="日期 Char1"/>
    <w:basedOn w:val="9"/>
    <w:semiHidden/>
    <w:qFormat/>
    <w:uiPriority w:val="99"/>
  </w:style>
  <w:style w:type="character" w:customStyle="1" w:styleId="15">
    <w:name w:val="样式 列出段落 + Times New Roman Char"/>
    <w:link w:val="16"/>
    <w:qFormat/>
    <w:uiPriority w:val="0"/>
    <w:rPr>
      <w:szCs w:val="24"/>
    </w:rPr>
  </w:style>
  <w:style w:type="paragraph" w:customStyle="1" w:styleId="16">
    <w:name w:val="样式 列出段落 + Times New Roman"/>
    <w:basedOn w:val="1"/>
    <w:link w:val="15"/>
    <w:qFormat/>
    <w:uiPriority w:val="0"/>
    <w:pPr>
      <w:adjustRightInd w:val="0"/>
      <w:snapToGrid w:val="0"/>
      <w:ind w:firstLine="200" w:firstLineChars="200"/>
    </w:pPr>
    <w:rPr>
      <w:szCs w:val="24"/>
    </w:rPr>
  </w:style>
  <w:style w:type="character" w:customStyle="1" w:styleId="17">
    <w:name w:val="批注框文本 字符"/>
    <w:link w:val="4"/>
    <w:semiHidden/>
    <w:qFormat/>
    <w:uiPriority w:val="99"/>
    <w:rPr>
      <w:rFonts w:ascii="Calibri" w:hAnsi="Calibri" w:eastAsia="宋体" w:cs="Times New Roman"/>
      <w:sz w:val="18"/>
      <w:szCs w:val="18"/>
    </w:rPr>
  </w:style>
  <w:style w:type="character" w:customStyle="1" w:styleId="18">
    <w:name w:val="批注框文本 Char1"/>
    <w:basedOn w:val="9"/>
    <w:semiHidden/>
    <w:qFormat/>
    <w:uiPriority w:val="99"/>
    <w:rPr>
      <w:sz w:val="18"/>
      <w:szCs w:val="18"/>
    </w:rPr>
  </w:style>
  <w:style w:type="character" w:customStyle="1" w:styleId="19">
    <w:name w:val="标题 字符"/>
    <w:basedOn w:val="9"/>
    <w:link w:val="7"/>
    <w:qFormat/>
    <w:uiPriority w:val="10"/>
    <w:rPr>
      <w:rFonts w:eastAsia="宋体" w:asciiTheme="majorHAnsi" w:hAnsiTheme="majorHAnsi" w:cstheme="majorBidi"/>
      <w:b/>
      <w:bCs/>
      <w:sz w:val="32"/>
      <w:szCs w:val="32"/>
    </w:rPr>
  </w:style>
  <w:style w:type="paragraph" w:customStyle="1" w:styleId="20">
    <w:name w:val="Char Char1 Char Char"/>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21">
    <w:name w:val="标题 3 字符"/>
    <w:basedOn w:val="9"/>
    <w:link w:val="2"/>
    <w:semiHidden/>
    <w:qFormat/>
    <w:uiPriority w:val="9"/>
    <w:rPr>
      <w:b/>
      <w:bCs/>
      <w:kern w:val="2"/>
      <w:sz w:val="32"/>
      <w:szCs w:val="32"/>
    </w:rPr>
  </w:style>
  <w:style w:type="paragraph" w:customStyle="1" w:styleId="22">
    <w:name w:val="Char Char1 Char Char2"/>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paragraph" w:customStyle="1" w:styleId="23">
    <w:name w:val="Char Char1 Char Char1"/>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1023</Words>
  <Characters>5833</Characters>
  <Lines>48</Lines>
  <Paragraphs>13</Paragraphs>
  <TotalTime>1</TotalTime>
  <ScaleCrop>false</ScaleCrop>
  <LinksUpToDate>false</LinksUpToDate>
  <CharactersWithSpaces>6843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2019-04-09T10:16:00Z</dcterms:created>
  <dc:creator>Windows 用户</dc:creator>
  <cp:lastModifiedBy>①覑涳白</cp:lastModifiedBy>
  <cp:lastPrinted>2019-12-03T10:35:00Z</cp:lastPrinted>
  <dcterms:modified xsi:type="dcterms:W3CDTF">2020-01-17T04:52:05Z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